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3F1715">
        <w:tc>
          <w:tcPr>
            <w:tcW w:w="4699" w:type="dxa"/>
            <w:shd w:val="clear" w:color="auto" w:fill="00428B"/>
            <w:vAlign w:val="bottom"/>
          </w:tcPr>
          <w:p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rsidTr="003F1715">
        <w:trPr>
          <w:trHeight w:val="751"/>
        </w:trPr>
        <w:tc>
          <w:tcPr>
            <w:tcW w:w="4699" w:type="dxa"/>
          </w:tcPr>
          <w:p w:rsidR="00F3361C" w:rsidRPr="0001592E" w:rsidRDefault="00EA6015" w:rsidP="005A6B90">
            <w:pPr>
              <w:spacing w:before="120"/>
              <w:rPr>
                <w:szCs w:val="20"/>
              </w:rPr>
            </w:pPr>
            <w:r w:rsidRPr="00141392">
              <w:rPr>
                <w:rFonts w:cs="Arial"/>
                <w:szCs w:val="20"/>
              </w:rPr>
              <w:t xml:space="preserve">Supervisor </w:t>
            </w:r>
            <w:r>
              <w:rPr>
                <w:rFonts w:cs="Arial"/>
                <w:szCs w:val="20"/>
              </w:rPr>
              <w:t>/Crew leader</w:t>
            </w:r>
          </w:p>
        </w:tc>
        <w:tc>
          <w:tcPr>
            <w:tcW w:w="5496" w:type="dxa"/>
            <w:gridSpan w:val="2"/>
          </w:tcPr>
          <w:p w:rsidR="00F3361C" w:rsidRPr="0001592E" w:rsidRDefault="00CA3B57" w:rsidP="00EA6015">
            <w:pPr>
              <w:spacing w:before="120"/>
              <w:jc w:val="both"/>
              <w:rPr>
                <w:szCs w:val="20"/>
              </w:rPr>
            </w:pPr>
            <w:r>
              <w:rPr>
                <w:szCs w:val="20"/>
              </w:rPr>
              <w:t xml:space="preserve">This role has </w:t>
            </w:r>
            <w:r w:rsidR="00EA6015">
              <w:rPr>
                <w:szCs w:val="20"/>
              </w:rPr>
              <w:t>0</w:t>
            </w:r>
            <w:r>
              <w:rPr>
                <w:szCs w:val="20"/>
              </w:rPr>
              <w:t xml:space="preserve"> direct reports</w:t>
            </w:r>
          </w:p>
        </w:tc>
      </w:tr>
      <w:tr w:rsidR="0001592E" w:rsidRPr="0001592E" w:rsidTr="003F1715">
        <w:tc>
          <w:tcPr>
            <w:tcW w:w="10195" w:type="dxa"/>
            <w:gridSpan w:val="3"/>
            <w:shd w:val="clear" w:color="auto" w:fill="00428B"/>
          </w:tcPr>
          <w:p w:rsidR="00F3361C" w:rsidRPr="0001592E" w:rsidRDefault="00F3361C" w:rsidP="00946F5F">
            <w:pPr>
              <w:spacing w:before="120"/>
              <w:jc w:val="both"/>
              <w:rPr>
                <w:b/>
                <w:szCs w:val="20"/>
              </w:rPr>
            </w:pPr>
            <w:r w:rsidRPr="0001592E">
              <w:rPr>
                <w:b/>
                <w:szCs w:val="20"/>
              </w:rPr>
              <w:t>THIS ROLE EXISTS TO: (PURPOSE)</w:t>
            </w:r>
          </w:p>
        </w:tc>
      </w:tr>
      <w:tr w:rsidR="0001592E" w:rsidRPr="0001592E" w:rsidTr="003F1715">
        <w:trPr>
          <w:trHeight w:val="1131"/>
        </w:trPr>
        <w:tc>
          <w:tcPr>
            <w:tcW w:w="10195" w:type="dxa"/>
            <w:gridSpan w:val="3"/>
          </w:tcPr>
          <w:p w:rsidR="00F3361C" w:rsidRDefault="00EA6015" w:rsidP="005B2428">
            <w:pPr>
              <w:tabs>
                <w:tab w:val="clear" w:pos="9639"/>
              </w:tabs>
              <w:spacing w:after="0"/>
              <w:textAlignment w:val="baseline"/>
              <w:rPr>
                <w:szCs w:val="20"/>
              </w:rPr>
            </w:pPr>
            <w:r>
              <w:rPr>
                <w:szCs w:val="20"/>
              </w:rPr>
              <w:t>Project Fire Fighters assist in bushfire preparedness, suppression and planned burning operations. When not directly involved in firefighting activities, the project fire fighter will undertake a broad range of other activities including civil maintenance and natural resource management maintenance. Project fire fighters work under direct supervision from Crew leaders and Supervisors.</w:t>
            </w:r>
          </w:p>
          <w:p w:rsidR="00EA6015" w:rsidRPr="0001592E" w:rsidRDefault="00EA6015" w:rsidP="005B2428">
            <w:pPr>
              <w:tabs>
                <w:tab w:val="clear" w:pos="9639"/>
              </w:tabs>
              <w:spacing w:after="0"/>
              <w:textAlignment w:val="baseline"/>
              <w:rPr>
                <w:szCs w:val="20"/>
              </w:rPr>
            </w:pPr>
          </w:p>
        </w:tc>
      </w:tr>
      <w:tr w:rsidR="0001592E" w:rsidRPr="0001592E" w:rsidTr="003F1715">
        <w:tc>
          <w:tcPr>
            <w:tcW w:w="10195" w:type="dxa"/>
            <w:gridSpan w:val="3"/>
            <w:shd w:val="clear" w:color="auto" w:fill="00428B"/>
          </w:tcPr>
          <w:p w:rsidR="00F3361C" w:rsidRPr="0001592E" w:rsidRDefault="00F3361C" w:rsidP="00946F5F">
            <w:pPr>
              <w:spacing w:before="120"/>
              <w:jc w:val="both"/>
              <w:rPr>
                <w:b/>
                <w:caps/>
                <w:szCs w:val="20"/>
              </w:rPr>
            </w:pPr>
            <w:r w:rsidRPr="0001592E">
              <w:rPr>
                <w:b/>
                <w:caps/>
                <w:szCs w:val="20"/>
              </w:rPr>
              <w:t>Key accountabilities:</w:t>
            </w:r>
          </w:p>
        </w:tc>
      </w:tr>
      <w:tr w:rsidR="0001592E" w:rsidRPr="0001592E" w:rsidTr="003F1715">
        <w:trPr>
          <w:trHeight w:val="2164"/>
        </w:trPr>
        <w:tc>
          <w:tcPr>
            <w:tcW w:w="10195" w:type="dxa"/>
            <w:gridSpan w:val="3"/>
          </w:tcPr>
          <w:p w:rsidR="00EA6015" w:rsidRPr="00005F1F" w:rsidRDefault="00EA6015" w:rsidP="00EA6015">
            <w:pPr>
              <w:pStyle w:val="ListParagraph"/>
            </w:pPr>
            <w:r w:rsidRPr="006279DF">
              <w:t xml:space="preserve">Prompt and effective response and contribution to Melbourne Water’s firefighting </w:t>
            </w:r>
            <w:proofErr w:type="spellStart"/>
            <w:r w:rsidRPr="006279DF">
              <w:t>organisation</w:t>
            </w:r>
            <w:proofErr w:type="spellEnd"/>
            <w:r w:rsidRPr="006279DF">
              <w:t xml:space="preserve"> including</w:t>
            </w:r>
            <w:r>
              <w:t xml:space="preserve"> first attack fire response</w:t>
            </w:r>
            <w:r w:rsidRPr="006279DF">
              <w:t xml:space="preserve"> </w:t>
            </w:r>
          </w:p>
          <w:p w:rsidR="00EA6015" w:rsidRPr="00005F1F" w:rsidRDefault="00EA6015" w:rsidP="00EA6015">
            <w:pPr>
              <w:pStyle w:val="ListParagraph"/>
            </w:pPr>
            <w:r>
              <w:t>Undertake fire protection works including slashing and clearing tracks and culverts</w:t>
            </w:r>
          </w:p>
          <w:p w:rsidR="00EA6015" w:rsidRDefault="00EA6015" w:rsidP="00EA6015">
            <w:pPr>
              <w:pStyle w:val="ListParagraph"/>
            </w:pPr>
            <w:r>
              <w:t>Operate equipment, plant and vehicles in accordance with one’s role training and accreditation requirements.</w:t>
            </w:r>
          </w:p>
          <w:p w:rsidR="00EA6015" w:rsidRDefault="00EA6015" w:rsidP="00EA6015">
            <w:pPr>
              <w:pStyle w:val="ListParagraph"/>
            </w:pPr>
            <w:r>
              <w:t xml:space="preserve">Maintain Occupational Health &amp; Safety Standards within the workplace through compliance with </w:t>
            </w:r>
            <w:proofErr w:type="spellStart"/>
            <w:r>
              <w:t>organisational</w:t>
            </w:r>
            <w:proofErr w:type="spellEnd"/>
            <w:r>
              <w:t xml:space="preserve"> standards</w:t>
            </w:r>
          </w:p>
          <w:p w:rsidR="0059345D" w:rsidRDefault="0059345D" w:rsidP="00EA6015">
            <w:pPr>
              <w:pStyle w:val="ListParagraph"/>
            </w:pPr>
            <w:r w:rsidRPr="0001592E">
              <w:t xml:space="preserve">Taking care of own and colleagues Health and Safety through identification and reporting of </w:t>
            </w:r>
            <w:r w:rsidRPr="005414E3">
              <w:t>hazards</w:t>
            </w:r>
            <w:r w:rsidRPr="0001592E">
              <w:t xml:space="preserve"> and active involvement in improvement initiatives.</w:t>
            </w:r>
          </w:p>
          <w:p w:rsidR="003F1715" w:rsidRPr="0001592E" w:rsidRDefault="003F1715" w:rsidP="00EA6015">
            <w:pPr>
              <w:pStyle w:val="ListParagraph"/>
              <w:numPr>
                <w:ilvl w:val="0"/>
                <w:numId w:val="0"/>
              </w:numPr>
              <w:ind w:left="360"/>
            </w:pPr>
          </w:p>
        </w:tc>
      </w:tr>
      <w:tr w:rsidR="0001592E" w:rsidRPr="0001592E" w:rsidTr="003F1715">
        <w:tc>
          <w:tcPr>
            <w:tcW w:w="5991" w:type="dxa"/>
            <w:gridSpan w:val="2"/>
            <w:shd w:val="clear" w:color="auto" w:fill="00428B"/>
          </w:tcPr>
          <w:p w:rsidR="00F3361C" w:rsidRPr="0001592E" w:rsidRDefault="00F3361C" w:rsidP="00946F5F">
            <w:pPr>
              <w:spacing w:before="120"/>
              <w:jc w:val="both"/>
              <w:rPr>
                <w:b/>
                <w:szCs w:val="20"/>
              </w:rPr>
            </w:pPr>
            <w:r w:rsidRPr="0001592E">
              <w:rPr>
                <w:b/>
                <w:szCs w:val="20"/>
              </w:rPr>
              <w:t>KEY RESPONSIBILITIES</w:t>
            </w:r>
          </w:p>
        </w:tc>
        <w:tc>
          <w:tcPr>
            <w:tcW w:w="4204" w:type="dxa"/>
            <w:shd w:val="clear" w:color="auto" w:fill="00428B"/>
          </w:tcPr>
          <w:p w:rsidR="00F3361C" w:rsidRPr="0001592E" w:rsidRDefault="00F3361C" w:rsidP="00946F5F">
            <w:pPr>
              <w:spacing w:before="120"/>
              <w:jc w:val="both"/>
              <w:rPr>
                <w:b/>
                <w:szCs w:val="20"/>
              </w:rPr>
            </w:pPr>
            <w:r w:rsidRPr="0001592E">
              <w:rPr>
                <w:b/>
                <w:szCs w:val="20"/>
              </w:rPr>
              <w:t>KPIs</w:t>
            </w:r>
          </w:p>
        </w:tc>
      </w:tr>
      <w:tr w:rsidR="0001592E" w:rsidRPr="0001592E" w:rsidTr="003F1715">
        <w:trPr>
          <w:trHeight w:val="1647"/>
        </w:trPr>
        <w:tc>
          <w:tcPr>
            <w:tcW w:w="5991" w:type="dxa"/>
            <w:gridSpan w:val="2"/>
          </w:tcPr>
          <w:p w:rsidR="00F3361C" w:rsidRPr="003F1715" w:rsidRDefault="00EA6015" w:rsidP="00EA6015">
            <w:pPr>
              <w:rPr>
                <w:b/>
                <w:szCs w:val="20"/>
              </w:rPr>
            </w:pPr>
            <w:r>
              <w:rPr>
                <w:b/>
                <w:szCs w:val="20"/>
              </w:rPr>
              <w:t>General Duties:</w:t>
            </w:r>
          </w:p>
          <w:p w:rsidR="00EA6015" w:rsidRDefault="00EA6015" w:rsidP="00EA6015">
            <w:pPr>
              <w:pStyle w:val="ListParagraph"/>
              <w:jc w:val="left"/>
            </w:pPr>
            <w:r>
              <w:t>Undertake natural resource management, grass maintenance and civil asset maintenance activities in waterways and land delivery environments</w:t>
            </w:r>
          </w:p>
          <w:p w:rsidR="00EA6015" w:rsidRPr="00141392" w:rsidRDefault="00EA6015" w:rsidP="00EA6015">
            <w:pPr>
              <w:pStyle w:val="ListParagraph"/>
              <w:jc w:val="left"/>
              <w:rPr>
                <w:rFonts w:eastAsiaTheme="minorHAnsi"/>
                <w:lang w:val="en-AU"/>
              </w:rPr>
            </w:pPr>
            <w:r>
              <w:rPr>
                <w:rFonts w:eastAsiaTheme="minorHAnsi"/>
                <w:lang w:val="en-AU"/>
              </w:rPr>
              <w:t>Operation of a range of hand and power tools</w:t>
            </w:r>
          </w:p>
          <w:p w:rsidR="00EA6015" w:rsidRPr="00694C2C" w:rsidRDefault="00EA6015" w:rsidP="00EA6015">
            <w:pPr>
              <w:pStyle w:val="ListParagraph"/>
              <w:jc w:val="left"/>
              <w:rPr>
                <w:rFonts w:eastAsiaTheme="minorHAnsi"/>
                <w:lang w:val="en-AU"/>
              </w:rPr>
            </w:pPr>
            <w:r>
              <w:rPr>
                <w:rFonts w:eastAsiaTheme="minorHAnsi"/>
                <w:lang w:val="en-AU"/>
              </w:rPr>
              <w:t>O</w:t>
            </w:r>
            <w:r w:rsidRPr="00FD34DE">
              <w:rPr>
                <w:rFonts w:eastAsiaTheme="minorHAnsi"/>
                <w:lang w:val="en-AU"/>
              </w:rPr>
              <w:t>peration of heavy plant and equipmen</w:t>
            </w:r>
            <w:r>
              <w:rPr>
                <w:rFonts w:eastAsiaTheme="minorHAnsi"/>
                <w:lang w:val="en-AU"/>
              </w:rPr>
              <w:t>t with certificate of competency</w:t>
            </w:r>
          </w:p>
          <w:p w:rsidR="00EA6015" w:rsidRPr="003B7AEC" w:rsidRDefault="00EA6015" w:rsidP="00EA6015">
            <w:pPr>
              <w:pStyle w:val="ListParagraph"/>
              <w:jc w:val="left"/>
              <w:rPr>
                <w:rFonts w:eastAsiaTheme="minorHAnsi"/>
                <w:lang w:val="en-AU"/>
              </w:rPr>
            </w:pPr>
            <w:r>
              <w:rPr>
                <w:rFonts w:eastAsiaTheme="minorHAnsi"/>
                <w:lang w:val="en-AU"/>
              </w:rPr>
              <w:t>W</w:t>
            </w:r>
            <w:r w:rsidRPr="003B7AEC">
              <w:rPr>
                <w:rFonts w:eastAsiaTheme="minorHAnsi"/>
                <w:lang w:val="en-AU"/>
              </w:rPr>
              <w:t>ork under supervision either individually or in a team environment</w:t>
            </w:r>
          </w:p>
          <w:p w:rsidR="00EA6015" w:rsidRPr="008B40EC" w:rsidRDefault="00EA6015" w:rsidP="00EA6015">
            <w:pPr>
              <w:pStyle w:val="ListParagraph"/>
              <w:jc w:val="left"/>
            </w:pPr>
            <w:r>
              <w:rPr>
                <w:rFonts w:eastAsiaTheme="minorHAnsi"/>
                <w:lang w:val="en-AU"/>
              </w:rPr>
              <w:t>U</w:t>
            </w:r>
            <w:r w:rsidRPr="00141392">
              <w:rPr>
                <w:rFonts w:eastAsiaTheme="minorHAnsi"/>
                <w:lang w:val="en-AU"/>
              </w:rPr>
              <w:t xml:space="preserve">se and </w:t>
            </w:r>
            <w:r>
              <w:rPr>
                <w:rFonts w:eastAsiaTheme="minorHAnsi"/>
                <w:lang w:val="en-AU"/>
              </w:rPr>
              <w:t>perform routine maintenance on tools and equipment</w:t>
            </w:r>
          </w:p>
          <w:p w:rsidR="00EA6015" w:rsidRDefault="00EA6015" w:rsidP="00EA6015">
            <w:pPr>
              <w:pStyle w:val="ListParagraph"/>
              <w:jc w:val="left"/>
              <w:rPr>
                <w:rFonts w:eastAsiaTheme="minorHAnsi" w:cs="Arial"/>
                <w:lang w:val="en-AU"/>
              </w:rPr>
            </w:pPr>
            <w:r>
              <w:rPr>
                <w:rFonts w:eastAsiaTheme="minorHAnsi" w:cs="Arial"/>
                <w:lang w:val="en-AU"/>
              </w:rPr>
              <w:t xml:space="preserve">Operate within and contribute to improvement of </w:t>
            </w:r>
            <w:r w:rsidRPr="00141392">
              <w:t xml:space="preserve">Melbourne Water policies and procedures (including OH&amp;S procedures), Task Risk Assessments, Standard Operating Procedures and Environmental Management </w:t>
            </w:r>
            <w:r w:rsidRPr="00FD34DE">
              <w:t>System</w:t>
            </w:r>
            <w:r>
              <w:rPr>
                <w:rFonts w:eastAsiaTheme="minorHAnsi" w:cs="Arial"/>
                <w:lang w:val="en-AU"/>
              </w:rPr>
              <w:t xml:space="preserve"> requirements</w:t>
            </w:r>
          </w:p>
          <w:p w:rsidR="003F1715" w:rsidRDefault="00EA6015" w:rsidP="00EA6015">
            <w:pPr>
              <w:pStyle w:val="ListParagraph"/>
              <w:jc w:val="left"/>
            </w:pPr>
            <w:r w:rsidRPr="00D1688F">
              <w:t>Take care of own and colleagues Health and Safety through identification and reporting of hazards and active involvement in improvement initiatives</w:t>
            </w:r>
          </w:p>
          <w:p w:rsidR="00EA6015" w:rsidRPr="005B2428" w:rsidRDefault="00EA6015" w:rsidP="00EA6015">
            <w:pPr>
              <w:pStyle w:val="ListParagraph"/>
              <w:numPr>
                <w:ilvl w:val="0"/>
                <w:numId w:val="0"/>
              </w:numPr>
              <w:ind w:left="360"/>
              <w:jc w:val="left"/>
            </w:pPr>
          </w:p>
        </w:tc>
        <w:tc>
          <w:tcPr>
            <w:tcW w:w="4204" w:type="dxa"/>
          </w:tcPr>
          <w:p w:rsidR="00EA6015" w:rsidRDefault="00EA6015" w:rsidP="00EA6015">
            <w:pPr>
              <w:pStyle w:val="ListParagraph"/>
              <w:numPr>
                <w:ilvl w:val="0"/>
                <w:numId w:val="19"/>
              </w:numPr>
            </w:pPr>
            <w:r>
              <w:t xml:space="preserve">Service delivery targets, safety and customer service quality KPI’s as noted in agreed service levels and procedures </w:t>
            </w:r>
          </w:p>
          <w:p w:rsidR="00EA6015" w:rsidRDefault="00EA6015" w:rsidP="00EA6015">
            <w:pPr>
              <w:pStyle w:val="ListParagraph"/>
              <w:numPr>
                <w:ilvl w:val="0"/>
                <w:numId w:val="19"/>
              </w:numPr>
            </w:pPr>
            <w:r>
              <w:t>Accurate and timely reporting of all incidents, near misses and hazards</w:t>
            </w:r>
          </w:p>
          <w:p w:rsidR="008838A8" w:rsidRPr="0001592E" w:rsidRDefault="008838A8" w:rsidP="00EA6015">
            <w:pPr>
              <w:pStyle w:val="ListParagraph"/>
              <w:numPr>
                <w:ilvl w:val="0"/>
                <w:numId w:val="0"/>
              </w:numPr>
              <w:ind w:left="360"/>
            </w:pPr>
          </w:p>
        </w:tc>
      </w:tr>
      <w:tr w:rsidR="0001592E" w:rsidRPr="0001592E" w:rsidTr="003F1715">
        <w:trPr>
          <w:trHeight w:val="1701"/>
        </w:trPr>
        <w:tc>
          <w:tcPr>
            <w:tcW w:w="5991" w:type="dxa"/>
            <w:gridSpan w:val="2"/>
          </w:tcPr>
          <w:p w:rsidR="003F1715" w:rsidRPr="003F1715" w:rsidRDefault="00EA6015" w:rsidP="003F1715">
            <w:pPr>
              <w:rPr>
                <w:b/>
                <w:szCs w:val="20"/>
              </w:rPr>
            </w:pPr>
            <w:r>
              <w:rPr>
                <w:b/>
                <w:szCs w:val="20"/>
              </w:rPr>
              <w:t>Fire Response:</w:t>
            </w:r>
          </w:p>
          <w:p w:rsidR="00EA6015" w:rsidRPr="00EA6015" w:rsidRDefault="00EA6015" w:rsidP="00EA6015">
            <w:pPr>
              <w:pStyle w:val="ListParagraph"/>
            </w:pPr>
            <w:r w:rsidRPr="00EA6015">
              <w:t>Prompt and effective response and contribution to Melbourne Water’s firefighting organization, including first attack fire response activities and on the ground operations</w:t>
            </w:r>
          </w:p>
          <w:p w:rsidR="00EA6015" w:rsidRPr="00EA6015" w:rsidRDefault="00EA6015" w:rsidP="00EA6015">
            <w:pPr>
              <w:pStyle w:val="ListParagraph"/>
            </w:pPr>
            <w:r w:rsidRPr="00EA6015">
              <w:t xml:space="preserve">May be required to work in one or more of the following roles (subject to an individual’s training, </w:t>
            </w:r>
            <w:r w:rsidRPr="00EA6015">
              <w:lastRenderedPageBreak/>
              <w:t>skills and competency); General Fire Fighter, fire tanker operator, heavy machine operator, or team member of a Forest Fire Management Victoria taskforce</w:t>
            </w:r>
          </w:p>
          <w:p w:rsidR="00EA6015" w:rsidRPr="00EA6015" w:rsidRDefault="00EA6015" w:rsidP="00EA6015">
            <w:pPr>
              <w:pStyle w:val="ListParagraph"/>
            </w:pPr>
            <w:r w:rsidRPr="00EA6015">
              <w:t>Maintain annual fire fighter accreditation</w:t>
            </w:r>
          </w:p>
          <w:p w:rsidR="00EA6015" w:rsidRPr="00EA6015" w:rsidRDefault="00EA6015" w:rsidP="00EA6015">
            <w:pPr>
              <w:pStyle w:val="ListParagraph"/>
            </w:pPr>
            <w:r w:rsidRPr="00EA6015">
              <w:t>Maintain a level of fitness sufficient for fire fighting</w:t>
            </w:r>
          </w:p>
          <w:p w:rsidR="00EA6015" w:rsidRPr="00EA6015" w:rsidRDefault="00EA6015" w:rsidP="00EA6015">
            <w:pPr>
              <w:pStyle w:val="ListParagraph"/>
            </w:pPr>
            <w:r w:rsidRPr="00EA6015">
              <w:t xml:space="preserve">Must reside permanently within 20 minutes normal driving time of the relevant Work Centre (30 </w:t>
            </w:r>
            <w:proofErr w:type="spellStart"/>
            <w:r w:rsidRPr="00EA6015">
              <w:t>mins</w:t>
            </w:r>
            <w:proofErr w:type="spellEnd"/>
            <w:r w:rsidRPr="00EA6015">
              <w:t xml:space="preserve"> for Thomson)</w:t>
            </w:r>
          </w:p>
          <w:p w:rsidR="00EA6015" w:rsidRPr="00EA6015" w:rsidRDefault="00EA6015" w:rsidP="00EA6015">
            <w:pPr>
              <w:pStyle w:val="ListParagraph"/>
            </w:pPr>
            <w:r w:rsidRPr="00EA6015">
              <w:t>Be available for out of hours availability (24 hour a day recall to work) and out of hours emergency response (when rostered)</w:t>
            </w:r>
          </w:p>
          <w:p w:rsidR="00EA6015" w:rsidRPr="00EA6015" w:rsidRDefault="00EA6015" w:rsidP="00EA6015">
            <w:pPr>
              <w:pStyle w:val="ListParagraph"/>
            </w:pPr>
            <w:r w:rsidRPr="00EA6015">
              <w:t>Be available to go on a one-in-three week fire roster during the fire season (one in two for Thomson)</w:t>
            </w:r>
          </w:p>
          <w:p w:rsidR="00F3361C" w:rsidRDefault="00EA6015" w:rsidP="005B2428">
            <w:pPr>
              <w:rPr>
                <w:b/>
                <w:color w:val="000000"/>
                <w:szCs w:val="20"/>
              </w:rPr>
            </w:pPr>
            <w:r w:rsidRPr="000A6B88">
              <w:rPr>
                <w:b/>
                <w:color w:val="000000"/>
                <w:szCs w:val="20"/>
              </w:rPr>
              <w:t>Annual Leave over the Summer fire period will be restricted</w:t>
            </w:r>
          </w:p>
          <w:p w:rsidR="001C3A14" w:rsidRPr="005B2428" w:rsidRDefault="001C3A14" w:rsidP="005B2428">
            <w:pPr>
              <w:rPr>
                <w:szCs w:val="20"/>
              </w:rPr>
            </w:pPr>
          </w:p>
        </w:tc>
        <w:tc>
          <w:tcPr>
            <w:tcW w:w="4204" w:type="dxa"/>
          </w:tcPr>
          <w:p w:rsidR="00EA6015" w:rsidRDefault="00EA6015" w:rsidP="00EA6015">
            <w:pPr>
              <w:pStyle w:val="ListBullet"/>
              <w:numPr>
                <w:ilvl w:val="0"/>
                <w:numId w:val="19"/>
              </w:numPr>
              <w:spacing w:after="0" w:line="240" w:lineRule="auto"/>
            </w:pPr>
            <w:r>
              <w:lastRenderedPageBreak/>
              <w:t>General fire fighter accreditation</w:t>
            </w:r>
          </w:p>
          <w:p w:rsidR="008838A8" w:rsidRDefault="008838A8" w:rsidP="00EA6015">
            <w:pPr>
              <w:pStyle w:val="ListParagraph"/>
              <w:numPr>
                <w:ilvl w:val="0"/>
                <w:numId w:val="0"/>
              </w:numPr>
              <w:ind w:left="360"/>
            </w:pPr>
          </w:p>
          <w:p w:rsidR="00F3361C" w:rsidRPr="008838A8" w:rsidRDefault="00F3361C" w:rsidP="008838A8">
            <w:pPr>
              <w:spacing w:before="120"/>
              <w:ind w:left="175"/>
              <w:jc w:val="both"/>
              <w:rPr>
                <w:szCs w:val="20"/>
              </w:rPr>
            </w:pPr>
          </w:p>
        </w:tc>
      </w:tr>
      <w:tr w:rsidR="0001592E" w:rsidRPr="0001592E" w:rsidTr="001C3A14">
        <w:tc>
          <w:tcPr>
            <w:tcW w:w="10195" w:type="dxa"/>
            <w:gridSpan w:val="3"/>
            <w:shd w:val="clear" w:color="auto" w:fill="00428B"/>
          </w:tcPr>
          <w:p w:rsidR="00F3361C" w:rsidRPr="0001592E" w:rsidRDefault="00F3361C" w:rsidP="003751D1">
            <w:pPr>
              <w:keepNext/>
              <w:keepLines/>
              <w:spacing w:before="120"/>
              <w:rPr>
                <w:b/>
                <w:szCs w:val="20"/>
              </w:rPr>
            </w:pPr>
            <w:r w:rsidRPr="0001592E">
              <w:rPr>
                <w:b/>
                <w:szCs w:val="20"/>
              </w:rPr>
              <w:t>SKILLS, KNOWLEDGE AND EXPERIENCE REQUIRED:</w:t>
            </w:r>
          </w:p>
        </w:tc>
      </w:tr>
      <w:tr w:rsidR="0001592E" w:rsidRPr="0001592E" w:rsidTr="001C3A14">
        <w:trPr>
          <w:trHeight w:val="470"/>
        </w:trPr>
        <w:tc>
          <w:tcPr>
            <w:tcW w:w="10195" w:type="dxa"/>
            <w:gridSpan w:val="3"/>
          </w:tcPr>
          <w:p w:rsidR="00EA6015" w:rsidRPr="003B7AEC" w:rsidRDefault="00EA6015" w:rsidP="00EA6015">
            <w:pPr>
              <w:pStyle w:val="ListParagraph"/>
              <w:numPr>
                <w:ilvl w:val="0"/>
                <w:numId w:val="19"/>
              </w:numPr>
              <w:tabs>
                <w:tab w:val="clear" w:pos="9639"/>
              </w:tabs>
              <w:autoSpaceDE w:val="0"/>
              <w:autoSpaceDN w:val="0"/>
              <w:adjustRightInd w:val="0"/>
              <w:spacing w:before="0" w:after="0"/>
              <w:jc w:val="left"/>
            </w:pPr>
            <w:r>
              <w:t>Ability to work proactively as a member of the team, contribute fully to team decision-making and take responsibility for own role in ensuring the safety of all team members and other personnel on site</w:t>
            </w:r>
          </w:p>
          <w:p w:rsidR="00EA6015" w:rsidRPr="002B43DC" w:rsidRDefault="00EA6015" w:rsidP="00EA6015">
            <w:pPr>
              <w:pStyle w:val="ListParagraph"/>
              <w:numPr>
                <w:ilvl w:val="0"/>
                <w:numId w:val="19"/>
              </w:numPr>
              <w:tabs>
                <w:tab w:val="clear" w:pos="9639"/>
              </w:tabs>
              <w:autoSpaceDE w:val="0"/>
              <w:autoSpaceDN w:val="0"/>
              <w:adjustRightInd w:val="0"/>
              <w:spacing w:before="0" w:after="0"/>
              <w:jc w:val="left"/>
            </w:pPr>
            <w:r>
              <w:rPr>
                <w:rFonts w:eastAsiaTheme="minorHAnsi" w:cs="Arial"/>
                <w:lang w:val="en-AU"/>
              </w:rPr>
              <w:t>E</w:t>
            </w:r>
            <w:r w:rsidRPr="00F5357E">
              <w:rPr>
                <w:rFonts w:eastAsiaTheme="minorHAnsi" w:cs="Arial"/>
                <w:lang w:val="en-AU"/>
              </w:rPr>
              <w:t xml:space="preserve">xperience in </w:t>
            </w:r>
            <w:r>
              <w:rPr>
                <w:rFonts w:eastAsiaTheme="minorHAnsi" w:cs="Arial"/>
                <w:lang w:val="en-AU"/>
              </w:rPr>
              <w:t>natural resource management, grass maintenance</w:t>
            </w:r>
            <w:r w:rsidRPr="00F5357E">
              <w:rPr>
                <w:rFonts w:eastAsiaTheme="minorHAnsi" w:cs="Arial"/>
                <w:lang w:val="en-AU"/>
              </w:rPr>
              <w:t xml:space="preserve"> </w:t>
            </w:r>
            <w:r>
              <w:rPr>
                <w:rFonts w:eastAsiaTheme="minorHAnsi" w:cs="Arial"/>
                <w:lang w:val="en-AU"/>
              </w:rPr>
              <w:t>or civil asset maintenance/project work</w:t>
            </w:r>
          </w:p>
          <w:p w:rsidR="00EA6015" w:rsidRPr="002B43DC" w:rsidRDefault="00EA6015" w:rsidP="00EA6015">
            <w:pPr>
              <w:pStyle w:val="ListParagraph"/>
              <w:numPr>
                <w:ilvl w:val="0"/>
                <w:numId w:val="19"/>
              </w:numPr>
              <w:tabs>
                <w:tab w:val="clear" w:pos="9639"/>
              </w:tabs>
              <w:autoSpaceDE w:val="0"/>
              <w:autoSpaceDN w:val="0"/>
              <w:adjustRightInd w:val="0"/>
              <w:spacing w:before="0" w:after="0"/>
              <w:jc w:val="left"/>
            </w:pPr>
            <w:r>
              <w:rPr>
                <w:rFonts w:eastAsiaTheme="minorHAnsi" w:cs="Arial"/>
                <w:lang w:val="en-AU"/>
              </w:rPr>
              <w:t>Ability to undertake work requiring sustained physical effort and intense concentration in adverse conditions over extended periods of time</w:t>
            </w:r>
          </w:p>
          <w:p w:rsidR="005A6B90" w:rsidRPr="001C3A14" w:rsidRDefault="00EA6015" w:rsidP="00EA6015">
            <w:pPr>
              <w:pStyle w:val="ListParagraph"/>
              <w:numPr>
                <w:ilvl w:val="0"/>
                <w:numId w:val="19"/>
              </w:numPr>
            </w:pPr>
            <w:r>
              <w:rPr>
                <w:rFonts w:eastAsiaTheme="minorHAnsi" w:cs="Arial"/>
                <w:lang w:val="en-AU"/>
              </w:rPr>
              <w:t>Understanding of the safe use of tools and equipment including non- powered and small hand tools, chainsaws, brush cutters and pole saws</w:t>
            </w:r>
          </w:p>
          <w:p w:rsidR="001C3A14" w:rsidRPr="005A6B90" w:rsidRDefault="001C3A14" w:rsidP="001C3A14">
            <w:pPr>
              <w:pStyle w:val="ListParagraph"/>
              <w:numPr>
                <w:ilvl w:val="0"/>
                <w:numId w:val="0"/>
              </w:numPr>
              <w:ind w:left="360"/>
            </w:pPr>
          </w:p>
        </w:tc>
      </w:tr>
      <w:tr w:rsidR="0001592E" w:rsidRPr="0001592E" w:rsidTr="001C3A14">
        <w:tc>
          <w:tcPr>
            <w:tcW w:w="10195" w:type="dxa"/>
            <w:gridSpan w:val="3"/>
            <w:shd w:val="clear" w:color="auto" w:fill="00428B"/>
          </w:tcPr>
          <w:p w:rsidR="00F3361C" w:rsidRPr="0001592E" w:rsidRDefault="00F3361C" w:rsidP="00946F5F">
            <w:pPr>
              <w:spacing w:before="120"/>
              <w:rPr>
                <w:b/>
                <w:szCs w:val="20"/>
              </w:rPr>
            </w:pPr>
            <w:r w:rsidRPr="0001592E">
              <w:rPr>
                <w:b/>
                <w:szCs w:val="20"/>
              </w:rPr>
              <w:t>KEY RELATIONSHIPS:</w:t>
            </w:r>
          </w:p>
        </w:tc>
      </w:tr>
      <w:tr w:rsidR="0001592E" w:rsidRPr="0001592E" w:rsidTr="001C3A14">
        <w:trPr>
          <w:trHeight w:val="2687"/>
        </w:trPr>
        <w:tc>
          <w:tcPr>
            <w:tcW w:w="10195" w:type="dxa"/>
            <w:gridSpan w:val="3"/>
          </w:tcPr>
          <w:p w:rsidR="0059345D" w:rsidRPr="0001592E" w:rsidRDefault="0059345D" w:rsidP="00946F5F">
            <w:pPr>
              <w:spacing w:before="120"/>
              <w:rPr>
                <w:b/>
                <w:szCs w:val="20"/>
              </w:rPr>
            </w:pPr>
            <w:r w:rsidRPr="0001592E">
              <w:rPr>
                <w:szCs w:val="20"/>
              </w:rPr>
              <w:t>All Melbourne Water employees are responsible for managing aspects of our customer/stakeholder relationships and service interactions, and will work proactively to deliver a consistent customer experience.</w:t>
            </w:r>
          </w:p>
          <w:p w:rsidR="00F3361C" w:rsidRPr="0001592E" w:rsidRDefault="003F1715" w:rsidP="00946F5F">
            <w:pPr>
              <w:spacing w:before="120"/>
              <w:rPr>
                <w:b/>
                <w:szCs w:val="20"/>
              </w:rPr>
            </w:pPr>
            <w:r>
              <w:rPr>
                <w:b/>
                <w:szCs w:val="20"/>
              </w:rPr>
              <w:t>Internal</w:t>
            </w:r>
          </w:p>
          <w:p w:rsidR="00EA6015" w:rsidRPr="00141392" w:rsidRDefault="00EA6015" w:rsidP="00EA6015">
            <w:pPr>
              <w:tabs>
                <w:tab w:val="clear" w:pos="9639"/>
              </w:tabs>
              <w:autoSpaceDE w:val="0"/>
              <w:autoSpaceDN w:val="0"/>
              <w:adjustRightInd w:val="0"/>
              <w:spacing w:after="0"/>
              <w:rPr>
                <w:szCs w:val="20"/>
              </w:rPr>
            </w:pPr>
            <w:r>
              <w:rPr>
                <w:szCs w:val="20"/>
              </w:rPr>
              <w:t>Project fire fighters are</w:t>
            </w:r>
            <w:r w:rsidRPr="00141392">
              <w:rPr>
                <w:szCs w:val="20"/>
              </w:rPr>
              <w:t xml:space="preserve"> required to communicate with a broad range of internal teams. </w:t>
            </w:r>
          </w:p>
          <w:p w:rsidR="00EA6015" w:rsidRDefault="00EA6015" w:rsidP="00946F5F">
            <w:pPr>
              <w:spacing w:before="120"/>
              <w:rPr>
                <w:b/>
                <w:szCs w:val="20"/>
              </w:rPr>
            </w:pPr>
          </w:p>
          <w:p w:rsidR="00E80934" w:rsidRPr="0001592E" w:rsidRDefault="003F1715" w:rsidP="00946F5F">
            <w:pPr>
              <w:spacing w:before="120"/>
              <w:rPr>
                <w:b/>
                <w:szCs w:val="20"/>
              </w:rPr>
            </w:pPr>
            <w:r>
              <w:rPr>
                <w:b/>
                <w:szCs w:val="20"/>
              </w:rPr>
              <w:t>External</w:t>
            </w:r>
          </w:p>
          <w:p w:rsidR="00E80934" w:rsidRDefault="00EA6015" w:rsidP="00EA6015">
            <w:pPr>
              <w:ind w:left="24" w:hanging="24"/>
            </w:pPr>
            <w:r w:rsidRPr="00EA6015">
              <w:t>Project fire fighters are required to communicate with external stakeholders as required including members of the general public and various other government agencies work alongside in fire response including the Department of Environment, Land, Water, Planning (DELWP), CFA, Parks Victoria</w:t>
            </w:r>
          </w:p>
          <w:p w:rsidR="00EA6015" w:rsidRPr="005A6B90" w:rsidRDefault="00EA6015" w:rsidP="00EA6015">
            <w:pPr>
              <w:ind w:left="24" w:hanging="24"/>
            </w:pPr>
          </w:p>
        </w:tc>
      </w:tr>
      <w:tr w:rsidR="0001592E" w:rsidRPr="0001592E" w:rsidTr="001C3A14">
        <w:tc>
          <w:tcPr>
            <w:tcW w:w="10195" w:type="dxa"/>
            <w:gridSpan w:val="3"/>
            <w:shd w:val="clear" w:color="auto" w:fill="00428B"/>
          </w:tcPr>
          <w:p w:rsidR="00F3361C" w:rsidRPr="0001592E" w:rsidRDefault="00F3361C" w:rsidP="00946F5F">
            <w:pPr>
              <w:spacing w:before="120"/>
              <w:rPr>
                <w:b/>
                <w:szCs w:val="20"/>
              </w:rPr>
            </w:pPr>
            <w:r w:rsidRPr="0001592E">
              <w:rPr>
                <w:b/>
                <w:szCs w:val="20"/>
              </w:rPr>
              <w:t>SALARY RANGE:</w:t>
            </w:r>
          </w:p>
        </w:tc>
      </w:tr>
      <w:tr w:rsidR="0001592E" w:rsidRPr="0001592E" w:rsidTr="001C3A14">
        <w:trPr>
          <w:trHeight w:val="70"/>
        </w:trPr>
        <w:tc>
          <w:tcPr>
            <w:tcW w:w="10195" w:type="dxa"/>
            <w:gridSpan w:val="3"/>
          </w:tcPr>
          <w:p w:rsidR="00946F5F" w:rsidRDefault="00946F5F" w:rsidP="00D52BEB">
            <w:r w:rsidRPr="0001592E">
              <w:t>Melbourne Water reserves the right to remunerate people according to their ability to perform the functions of the role based on their qualifications, skills and experience.</w:t>
            </w:r>
            <w:r w:rsidR="009A070C" w:rsidRPr="0001592E">
              <w:t xml:space="preserve"> </w:t>
            </w:r>
          </w:p>
          <w:p w:rsidR="00EA6015" w:rsidRPr="0001592E" w:rsidRDefault="00EA6015" w:rsidP="00D52BEB"/>
        </w:tc>
      </w:tr>
      <w:tr w:rsidR="0001592E" w:rsidRPr="0001592E" w:rsidTr="001C3A14">
        <w:tc>
          <w:tcPr>
            <w:tcW w:w="10195" w:type="dxa"/>
            <w:gridSpan w:val="3"/>
            <w:shd w:val="clear" w:color="auto" w:fill="00428B"/>
          </w:tcPr>
          <w:p w:rsidR="00F3361C" w:rsidRPr="0001592E" w:rsidRDefault="00F3361C" w:rsidP="00946F5F">
            <w:pPr>
              <w:spacing w:before="120"/>
              <w:rPr>
                <w:b/>
                <w:szCs w:val="20"/>
              </w:rPr>
            </w:pPr>
            <w:r w:rsidRPr="0001592E">
              <w:rPr>
                <w:b/>
                <w:szCs w:val="20"/>
              </w:rPr>
              <w:lastRenderedPageBreak/>
              <w:t>OTHER COMMENTS:</w:t>
            </w:r>
          </w:p>
        </w:tc>
      </w:tr>
      <w:tr w:rsidR="0001592E" w:rsidRPr="0001592E" w:rsidTr="001C3A14">
        <w:tc>
          <w:tcPr>
            <w:tcW w:w="10195" w:type="dxa"/>
            <w:gridSpan w:val="3"/>
          </w:tcPr>
          <w:p w:rsidR="005B2428" w:rsidRPr="0001592E" w:rsidRDefault="005B2428" w:rsidP="005B2428">
            <w:pPr>
              <w:spacing w:after="0"/>
              <w:rPr>
                <w:szCs w:val="20"/>
              </w:rPr>
            </w:pPr>
            <w:r w:rsidRPr="0001592E">
              <w:rPr>
                <w:szCs w:val="20"/>
              </w:rPr>
              <w:t>This role requires the following:</w:t>
            </w:r>
          </w:p>
          <w:p w:rsidR="00EA6015" w:rsidRPr="00EA6015" w:rsidRDefault="00EA6015" w:rsidP="00EA6015">
            <w:pPr>
              <w:pStyle w:val="ListParagraph"/>
            </w:pPr>
            <w:r w:rsidRPr="00EA6015">
              <w:t>Pass a National Police check</w:t>
            </w:r>
          </w:p>
          <w:p w:rsidR="001C3A14" w:rsidRDefault="001C3A14" w:rsidP="00EA6015">
            <w:pPr>
              <w:pStyle w:val="ListParagraph"/>
              <w:numPr>
                <w:ilvl w:val="0"/>
                <w:numId w:val="2"/>
              </w:numPr>
            </w:pPr>
            <w:r>
              <w:t>General Fire Fighter accreditation or the ability to achieve the accreditation through training</w:t>
            </w:r>
          </w:p>
          <w:p w:rsidR="00EA6015" w:rsidRPr="00EA6015" w:rsidRDefault="00EA6015" w:rsidP="00EA6015">
            <w:pPr>
              <w:pStyle w:val="ListParagraph"/>
              <w:numPr>
                <w:ilvl w:val="0"/>
                <w:numId w:val="2"/>
              </w:numPr>
            </w:pPr>
            <w:r w:rsidRPr="00EA6015">
              <w:t xml:space="preserve">Medical Assessment – meet the </w:t>
            </w:r>
            <w:r w:rsidRPr="00EA6015">
              <w:rPr>
                <w:b/>
              </w:rPr>
              <w:t>Category B – Fire fighter Arduous (Mandatory</w:t>
            </w:r>
            <w:r w:rsidRPr="00EA6015">
              <w:t>)</w:t>
            </w:r>
          </w:p>
          <w:p w:rsidR="00EA6015" w:rsidRPr="00EA6015" w:rsidRDefault="00EA6015" w:rsidP="00EA6015">
            <w:pPr>
              <w:pStyle w:val="ListParagraph"/>
            </w:pPr>
            <w:r w:rsidRPr="00EA6015">
              <w:t>Victorian Driver’s license</w:t>
            </w:r>
          </w:p>
          <w:p w:rsidR="00EA6015" w:rsidRPr="00EA6015" w:rsidRDefault="00EA6015" w:rsidP="00EA6015">
            <w:pPr>
              <w:pStyle w:val="ListParagraph"/>
            </w:pPr>
            <w:r w:rsidRPr="00EA6015">
              <w:t>Task based assessment for Fitness</w:t>
            </w:r>
          </w:p>
          <w:p w:rsidR="00EA6015" w:rsidRDefault="00EA6015" w:rsidP="00EA6015">
            <w:pPr>
              <w:pStyle w:val="ListParagraph"/>
            </w:pPr>
            <w:r w:rsidRPr="00EA6015">
              <w:t>Meet response time for First Attack roster</w:t>
            </w:r>
          </w:p>
          <w:p w:rsidR="001C3A14" w:rsidRDefault="001C3A14" w:rsidP="00EA6015">
            <w:pPr>
              <w:pStyle w:val="ListParagraph"/>
            </w:pPr>
            <w:r>
              <w:t>Have one or more of the following current Plant certificates of competency or truck licenses will be preferred:</w:t>
            </w:r>
          </w:p>
          <w:p w:rsidR="001C3A14" w:rsidRDefault="001C3A14" w:rsidP="001C3A14">
            <w:pPr>
              <w:pStyle w:val="ListParagraph"/>
              <w:ind w:left="733"/>
            </w:pPr>
            <w:r>
              <w:t>Bulldozer</w:t>
            </w:r>
          </w:p>
          <w:p w:rsidR="001C3A14" w:rsidRDefault="001C3A14" w:rsidP="001C3A14">
            <w:pPr>
              <w:pStyle w:val="ListParagraph"/>
              <w:ind w:left="733"/>
            </w:pPr>
            <w:r>
              <w:t>Excavator</w:t>
            </w:r>
          </w:p>
          <w:p w:rsidR="001C3A14" w:rsidRDefault="001C3A14" w:rsidP="001C3A14">
            <w:pPr>
              <w:pStyle w:val="ListParagraph"/>
              <w:ind w:left="733"/>
            </w:pPr>
            <w:r>
              <w:t>Backhoe</w:t>
            </w:r>
          </w:p>
          <w:p w:rsidR="001C3A14" w:rsidRDefault="001C3A14" w:rsidP="001C3A14">
            <w:pPr>
              <w:pStyle w:val="ListParagraph"/>
              <w:ind w:left="733"/>
            </w:pPr>
            <w:r>
              <w:t>Medium rigid truck</w:t>
            </w:r>
          </w:p>
          <w:p w:rsidR="001C3A14" w:rsidRDefault="001C3A14" w:rsidP="001C3A14">
            <w:pPr>
              <w:pStyle w:val="ListParagraph"/>
              <w:ind w:left="733"/>
            </w:pPr>
            <w:r>
              <w:t>Heavy rigid truck</w:t>
            </w:r>
          </w:p>
          <w:p w:rsidR="001C3A14" w:rsidRPr="00EA6015" w:rsidRDefault="001C3A14" w:rsidP="001C3A14">
            <w:pPr>
              <w:pStyle w:val="ListParagraph"/>
              <w:ind w:left="733"/>
            </w:pPr>
            <w:r>
              <w:t>Heavy combination truck</w:t>
            </w:r>
          </w:p>
          <w:p w:rsidR="00F3361C" w:rsidRPr="0001592E" w:rsidRDefault="00EA6015" w:rsidP="00EA6015">
            <w:pPr>
              <w:spacing w:before="120"/>
              <w:rPr>
                <w:szCs w:val="20"/>
              </w:rPr>
            </w:pPr>
            <w:r w:rsidRPr="00EA6015">
              <w:rPr>
                <w:szCs w:val="20"/>
              </w:rPr>
              <w:t xml:space="preserve">Location: </w:t>
            </w:r>
            <w:proofErr w:type="spellStart"/>
            <w:r w:rsidRPr="00EA6015">
              <w:rPr>
                <w:szCs w:val="20"/>
              </w:rPr>
              <w:t>Healesville</w:t>
            </w:r>
            <w:proofErr w:type="spellEnd"/>
            <w:r w:rsidRPr="00EA6015">
              <w:rPr>
                <w:szCs w:val="20"/>
              </w:rPr>
              <w:t xml:space="preserve"> , Warburton , Thomson</w:t>
            </w:r>
          </w:p>
        </w:tc>
      </w:tr>
    </w:tbl>
    <w:p w:rsidR="00946F5F" w:rsidRPr="00E80934" w:rsidRDefault="00946F5F">
      <w:pPr>
        <w:spacing w:before="120"/>
        <w:rPr>
          <w:szCs w:val="20"/>
        </w:rPr>
      </w:pPr>
    </w:p>
    <w:sectPr w:rsidR="00946F5F" w:rsidRPr="00E80934" w:rsidSect="0051137E">
      <w:headerReference w:type="default" r:id="rId8"/>
      <w:footerReference w:type="default" r:id="rId9"/>
      <w:pgSz w:w="11907" w:h="16839" w:code="9"/>
      <w:pgMar w:top="851" w:right="851" w:bottom="851" w:left="851" w:header="34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6F" w:rsidRDefault="0051476F" w:rsidP="00727219">
      <w:r>
        <w:separator/>
      </w:r>
    </w:p>
  </w:endnote>
  <w:endnote w:type="continuationSeparator" w:id="0">
    <w:p w:rsidR="0051476F" w:rsidRDefault="0051476F"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8" w:type="pct"/>
      <w:tblCellMar>
        <w:left w:w="57" w:type="dxa"/>
        <w:right w:w="57" w:type="dxa"/>
      </w:tblCellMar>
      <w:tblLook w:val="0000" w:firstRow="0" w:lastRow="0" w:firstColumn="0" w:lastColumn="0" w:noHBand="0" w:noVBand="0"/>
    </w:tblPr>
    <w:tblGrid>
      <w:gridCol w:w="1459"/>
      <w:gridCol w:w="6905"/>
    </w:tblGrid>
    <w:tr w:rsidR="00C300A8" w:rsidTr="00206FCB">
      <w:trPr>
        <w:trHeight w:val="170"/>
      </w:trPr>
      <w:tc>
        <w:tcPr>
          <w:tcW w:w="872" w:type="pct"/>
          <w:vAlign w:val="bottom"/>
        </w:tcPr>
        <w:p w:rsidR="0038551F" w:rsidRPr="00370129" w:rsidRDefault="0038551F" w:rsidP="004E680C">
          <w:pPr>
            <w:pStyle w:val="Footer"/>
            <w:spacing w:after="60"/>
            <w:rPr>
              <w:sz w:val="16"/>
              <w:szCs w:val="16"/>
            </w:rPr>
          </w:pPr>
        </w:p>
      </w:tc>
      <w:tc>
        <w:tcPr>
          <w:tcW w:w="4128" w:type="pct"/>
          <w:vAlign w:val="bottom"/>
        </w:tcPr>
        <w:p w:rsidR="00C300A8" w:rsidRPr="005414E3" w:rsidRDefault="00C300A8" w:rsidP="004E680C">
          <w:pPr>
            <w:pStyle w:val="Footer"/>
            <w:spacing w:after="60"/>
            <w:rPr>
              <w:sz w:val="16"/>
            </w:rPr>
          </w:pPr>
        </w:p>
      </w:tc>
    </w:tr>
    <w:tr w:rsidR="004E680C" w:rsidTr="00206FCB">
      <w:trPr>
        <w:trHeight w:val="170"/>
      </w:trPr>
      <w:tc>
        <w:tcPr>
          <w:tcW w:w="872" w:type="pct"/>
          <w:vAlign w:val="bottom"/>
        </w:tcPr>
        <w:p w:rsidR="004E680C" w:rsidRDefault="004E680C" w:rsidP="004E680C">
          <w:pPr>
            <w:pStyle w:val="Footer"/>
            <w:spacing w:after="60"/>
            <w:rPr>
              <w:sz w:val="16"/>
              <w:szCs w:val="16"/>
            </w:rPr>
          </w:pPr>
          <w:r>
            <w:rPr>
              <w:sz w:val="16"/>
              <w:szCs w:val="16"/>
            </w:rPr>
            <w:t>Assessed by:</w:t>
          </w:r>
        </w:p>
      </w:tc>
      <w:tc>
        <w:tcPr>
          <w:tcW w:w="4128" w:type="pct"/>
          <w:vAlign w:val="bottom"/>
        </w:tcPr>
        <w:p w:rsidR="004E680C" w:rsidRPr="005414E3" w:rsidRDefault="007434CD" w:rsidP="004E680C">
          <w:pPr>
            <w:pStyle w:val="Footer"/>
            <w:spacing w:after="60"/>
            <w:rPr>
              <w:noProof/>
              <w:sz w:val="16"/>
              <w:lang w:val="en-AU" w:eastAsia="en-AU"/>
            </w:rPr>
          </w:pPr>
          <w:r>
            <w:rPr>
              <w:noProof/>
              <w:sz w:val="16"/>
              <w:lang w:val="en-AU" w:eastAsia="en-AU"/>
            </w:rPr>
            <w:t>P&amp;C</w:t>
          </w:r>
        </w:p>
      </w:tc>
    </w:tr>
    <w:tr w:rsidR="004E680C" w:rsidTr="00206FCB">
      <w:trPr>
        <w:trHeight w:val="170"/>
      </w:trPr>
      <w:tc>
        <w:tcPr>
          <w:tcW w:w="872" w:type="pct"/>
          <w:vAlign w:val="bottom"/>
        </w:tcPr>
        <w:p w:rsidR="004E680C" w:rsidRDefault="004E680C" w:rsidP="004E680C">
          <w:pPr>
            <w:pStyle w:val="Footer"/>
            <w:spacing w:after="60"/>
            <w:rPr>
              <w:sz w:val="16"/>
              <w:szCs w:val="16"/>
            </w:rPr>
          </w:pPr>
          <w:r>
            <w:rPr>
              <w:sz w:val="16"/>
              <w:szCs w:val="16"/>
            </w:rPr>
            <w:t>Date:</w:t>
          </w:r>
        </w:p>
      </w:tc>
      <w:tc>
        <w:tcPr>
          <w:tcW w:w="4128" w:type="pct"/>
          <w:vAlign w:val="bottom"/>
        </w:tcPr>
        <w:p w:rsidR="004E680C" w:rsidRPr="005414E3" w:rsidRDefault="007434CD" w:rsidP="004E680C">
          <w:pPr>
            <w:pStyle w:val="Footer"/>
            <w:spacing w:after="60"/>
            <w:rPr>
              <w:noProof/>
              <w:sz w:val="16"/>
              <w:lang w:val="en-AU" w:eastAsia="en-AU"/>
            </w:rPr>
          </w:pPr>
          <w:r>
            <w:rPr>
              <w:noProof/>
              <w:sz w:val="16"/>
              <w:lang w:val="en-AU" w:eastAsia="en-AU"/>
            </w:rPr>
            <w:t>October 2019</w:t>
          </w: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6F" w:rsidRDefault="0051476F" w:rsidP="00727219">
      <w:r>
        <w:separator/>
      </w:r>
    </w:p>
  </w:footnote>
  <w:footnote w:type="continuationSeparator" w:id="0">
    <w:p w:rsidR="0051476F" w:rsidRDefault="0051476F"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573AFB" w:rsidP="00FC2868">
    <w:pPr>
      <w:pStyle w:val="Heading2"/>
      <w:rPr>
        <w:b/>
        <w:color w:val="4D4F53" w:themeColor="accent5"/>
      </w:rPr>
    </w:pPr>
    <w:r>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EA6015" w:rsidRDefault="00EA6015" w:rsidP="00EA6015">
    <w:pPr>
      <w:pStyle w:val="Heading3"/>
      <w:spacing w:after="0"/>
      <w:rPr>
        <w:color w:val="auto"/>
      </w:rPr>
    </w:pPr>
    <w:r>
      <w:rPr>
        <w:color w:val="auto"/>
      </w:rPr>
      <w:t xml:space="preserve">Project Fire Fighter - </w:t>
    </w:r>
    <w:r w:rsidRPr="007D53E4">
      <w:rPr>
        <w:color w:val="auto"/>
      </w:rPr>
      <w:t>W</w:t>
    </w:r>
    <w:r>
      <w:rPr>
        <w:color w:val="auto"/>
      </w:rPr>
      <w:t xml:space="preserve">aterways &amp; </w:t>
    </w:r>
    <w:r w:rsidRPr="007D53E4">
      <w:rPr>
        <w:color w:val="auto"/>
      </w:rPr>
      <w:t>L</w:t>
    </w:r>
    <w:r>
      <w:rPr>
        <w:color w:val="auto"/>
      </w:rPr>
      <w:t xml:space="preserve">and </w:t>
    </w:r>
    <w:r w:rsidRPr="007D53E4">
      <w:rPr>
        <w:color w:val="auto"/>
      </w:rPr>
      <w:t>D</w:t>
    </w:r>
    <w:r>
      <w:rPr>
        <w:color w:val="auto"/>
      </w:rPr>
      <w:t>elivery,</w:t>
    </w:r>
    <w:r w:rsidRPr="007D53E4">
      <w:rPr>
        <w:color w:val="auto"/>
      </w:rPr>
      <w:t xml:space="preserve"> </w:t>
    </w:r>
    <w:r>
      <w:rPr>
        <w:color w:val="auto"/>
      </w:rPr>
      <w:t xml:space="preserve">Works Execution </w:t>
    </w:r>
  </w:p>
  <w:p w:rsidR="00C300A8" w:rsidRDefault="00EA6015" w:rsidP="00EA6015">
    <w:pPr>
      <w:pStyle w:val="Heading3"/>
      <w:spacing w:after="0"/>
      <w:rPr>
        <w:color w:val="auto"/>
      </w:rPr>
    </w:pPr>
    <w:r>
      <w:rPr>
        <w:color w:val="auto"/>
      </w:rPr>
      <w:t xml:space="preserve">Team </w:t>
    </w:r>
  </w:p>
  <w:p w:rsidR="00EA6015" w:rsidRPr="00EA6015" w:rsidRDefault="00EA6015" w:rsidP="00EA60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3640CD"/>
    <w:multiLevelType w:val="hybridMultilevel"/>
    <w:tmpl w:val="48F4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8A024F"/>
    <w:multiLevelType w:val="hybridMultilevel"/>
    <w:tmpl w:val="36244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3" w15:restartNumberingAfterBreak="0">
    <w:nsid w:val="2C557502"/>
    <w:multiLevelType w:val="multilevel"/>
    <w:tmpl w:val="0178A2B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5" w15:restartNumberingAfterBreak="0">
    <w:nsid w:val="35147B67"/>
    <w:multiLevelType w:val="hybridMultilevel"/>
    <w:tmpl w:val="986AC54C"/>
    <w:lvl w:ilvl="0" w:tplc="99E8E73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46E98"/>
    <w:multiLevelType w:val="hybridMultilevel"/>
    <w:tmpl w:val="E972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2"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5F7003"/>
    <w:multiLevelType w:val="hybridMultilevel"/>
    <w:tmpl w:val="DF403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num>
  <w:num w:numId="4">
    <w:abstractNumId w:val="7"/>
  </w:num>
  <w:num w:numId="5">
    <w:abstractNumId w:val="14"/>
  </w:num>
  <w:num w:numId="6">
    <w:abstractNumId w:val="1"/>
  </w:num>
  <w:num w:numId="7">
    <w:abstractNumId w:val="27"/>
  </w:num>
  <w:num w:numId="8">
    <w:abstractNumId w:val="0"/>
  </w:num>
  <w:num w:numId="9">
    <w:abstractNumId w:val="24"/>
  </w:num>
  <w:num w:numId="10">
    <w:abstractNumId w:val="19"/>
  </w:num>
  <w:num w:numId="11">
    <w:abstractNumId w:val="20"/>
  </w:num>
  <w:num w:numId="12">
    <w:abstractNumId w:val="12"/>
  </w:num>
  <w:num w:numId="13">
    <w:abstractNumId w:val="6"/>
  </w:num>
  <w:num w:numId="14">
    <w:abstractNumId w:val="9"/>
  </w:num>
  <w:num w:numId="15">
    <w:abstractNumId w:val="28"/>
  </w:num>
  <w:num w:numId="16">
    <w:abstractNumId w:val="21"/>
  </w:num>
  <w:num w:numId="17">
    <w:abstractNumId w:val="4"/>
  </w:num>
  <w:num w:numId="18">
    <w:abstractNumId w:val="20"/>
  </w:num>
  <w:num w:numId="19">
    <w:abstractNumId w:val="8"/>
  </w:num>
  <w:num w:numId="20">
    <w:abstractNumId w:val="11"/>
  </w:num>
  <w:num w:numId="21">
    <w:abstractNumId w:val="16"/>
  </w:num>
  <w:num w:numId="22">
    <w:abstractNumId w:val="2"/>
  </w:num>
  <w:num w:numId="23">
    <w:abstractNumId w:val="10"/>
  </w:num>
  <w:num w:numId="24">
    <w:abstractNumId w:val="25"/>
  </w:num>
  <w:num w:numId="25">
    <w:abstractNumId w:val="23"/>
  </w:num>
  <w:num w:numId="26">
    <w:abstractNumId w:val="13"/>
  </w:num>
  <w:num w:numId="27">
    <w:abstractNumId w:val="29"/>
  </w:num>
  <w:num w:numId="28">
    <w:abstractNumId w:val="5"/>
  </w:num>
  <w:num w:numId="29">
    <w:abstractNumId w:val="18"/>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74834"/>
    <w:rsid w:val="00081E9D"/>
    <w:rsid w:val="000B1550"/>
    <w:rsid w:val="000B3631"/>
    <w:rsid w:val="000C5B93"/>
    <w:rsid w:val="000E5AE3"/>
    <w:rsid w:val="000F01A1"/>
    <w:rsid w:val="000F593A"/>
    <w:rsid w:val="00114B15"/>
    <w:rsid w:val="00124310"/>
    <w:rsid w:val="0012496F"/>
    <w:rsid w:val="00156E1B"/>
    <w:rsid w:val="001674AE"/>
    <w:rsid w:val="0017028E"/>
    <w:rsid w:val="00171B3D"/>
    <w:rsid w:val="00182C0D"/>
    <w:rsid w:val="00192692"/>
    <w:rsid w:val="001B0528"/>
    <w:rsid w:val="001B6E13"/>
    <w:rsid w:val="001C3A14"/>
    <w:rsid w:val="001C4978"/>
    <w:rsid w:val="001F5AFE"/>
    <w:rsid w:val="00206FCB"/>
    <w:rsid w:val="002128CB"/>
    <w:rsid w:val="00213C02"/>
    <w:rsid w:val="00216987"/>
    <w:rsid w:val="00225D9D"/>
    <w:rsid w:val="002323A2"/>
    <w:rsid w:val="002361D0"/>
    <w:rsid w:val="002649AC"/>
    <w:rsid w:val="002C4C00"/>
    <w:rsid w:val="002E2D9D"/>
    <w:rsid w:val="002F7701"/>
    <w:rsid w:val="00342B77"/>
    <w:rsid w:val="00370129"/>
    <w:rsid w:val="003751D1"/>
    <w:rsid w:val="0038551F"/>
    <w:rsid w:val="003A3A99"/>
    <w:rsid w:val="003A4A8D"/>
    <w:rsid w:val="003A568A"/>
    <w:rsid w:val="003C6CC7"/>
    <w:rsid w:val="003E7569"/>
    <w:rsid w:val="003F1715"/>
    <w:rsid w:val="00402A5B"/>
    <w:rsid w:val="00407991"/>
    <w:rsid w:val="00426B74"/>
    <w:rsid w:val="00432643"/>
    <w:rsid w:val="004A5B5B"/>
    <w:rsid w:val="004B4912"/>
    <w:rsid w:val="004C0121"/>
    <w:rsid w:val="004D1B7B"/>
    <w:rsid w:val="004E680C"/>
    <w:rsid w:val="00504896"/>
    <w:rsid w:val="0051137E"/>
    <w:rsid w:val="0051476F"/>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434CD"/>
    <w:rsid w:val="00756DE7"/>
    <w:rsid w:val="007809A5"/>
    <w:rsid w:val="00795F82"/>
    <w:rsid w:val="007B41EC"/>
    <w:rsid w:val="007D5731"/>
    <w:rsid w:val="007E0484"/>
    <w:rsid w:val="007F6490"/>
    <w:rsid w:val="00810971"/>
    <w:rsid w:val="00814F8C"/>
    <w:rsid w:val="0082433B"/>
    <w:rsid w:val="0084572F"/>
    <w:rsid w:val="00857492"/>
    <w:rsid w:val="008706BA"/>
    <w:rsid w:val="00870FE5"/>
    <w:rsid w:val="0087720B"/>
    <w:rsid w:val="008838A8"/>
    <w:rsid w:val="008A1872"/>
    <w:rsid w:val="008B6206"/>
    <w:rsid w:val="008D1920"/>
    <w:rsid w:val="00901C7C"/>
    <w:rsid w:val="00932893"/>
    <w:rsid w:val="0093699E"/>
    <w:rsid w:val="00941A8B"/>
    <w:rsid w:val="00946F5F"/>
    <w:rsid w:val="009510DE"/>
    <w:rsid w:val="009777B4"/>
    <w:rsid w:val="009A070C"/>
    <w:rsid w:val="009E6071"/>
    <w:rsid w:val="00A00DA9"/>
    <w:rsid w:val="00A01D21"/>
    <w:rsid w:val="00A17013"/>
    <w:rsid w:val="00A43A71"/>
    <w:rsid w:val="00A454B5"/>
    <w:rsid w:val="00A54333"/>
    <w:rsid w:val="00A60070"/>
    <w:rsid w:val="00A648CF"/>
    <w:rsid w:val="00A67705"/>
    <w:rsid w:val="00AE7DB7"/>
    <w:rsid w:val="00B22A72"/>
    <w:rsid w:val="00B428F8"/>
    <w:rsid w:val="00B4540E"/>
    <w:rsid w:val="00B6706D"/>
    <w:rsid w:val="00B80C70"/>
    <w:rsid w:val="00B97DC8"/>
    <w:rsid w:val="00BE5EFC"/>
    <w:rsid w:val="00BF4480"/>
    <w:rsid w:val="00C256FC"/>
    <w:rsid w:val="00C270B8"/>
    <w:rsid w:val="00C300A8"/>
    <w:rsid w:val="00C64682"/>
    <w:rsid w:val="00C726AD"/>
    <w:rsid w:val="00C96E2D"/>
    <w:rsid w:val="00CA3B57"/>
    <w:rsid w:val="00CE088A"/>
    <w:rsid w:val="00D24517"/>
    <w:rsid w:val="00D327ED"/>
    <w:rsid w:val="00D507B7"/>
    <w:rsid w:val="00D52BEB"/>
    <w:rsid w:val="00D56505"/>
    <w:rsid w:val="00D60348"/>
    <w:rsid w:val="00D6043E"/>
    <w:rsid w:val="00D6553E"/>
    <w:rsid w:val="00D80CF8"/>
    <w:rsid w:val="00DC2A95"/>
    <w:rsid w:val="00DD29EF"/>
    <w:rsid w:val="00DD45EC"/>
    <w:rsid w:val="00E5589B"/>
    <w:rsid w:val="00E72801"/>
    <w:rsid w:val="00E80934"/>
    <w:rsid w:val="00E8567C"/>
    <w:rsid w:val="00E94727"/>
    <w:rsid w:val="00E957E4"/>
    <w:rsid w:val="00EA6015"/>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EFC4-9201-42A1-9F88-73DDD2DC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Wells</cp:lastModifiedBy>
  <cp:revision>2</cp:revision>
  <cp:lastPrinted>2019-09-09T06:34:00Z</cp:lastPrinted>
  <dcterms:created xsi:type="dcterms:W3CDTF">2020-08-28T05:07:00Z</dcterms:created>
  <dcterms:modified xsi:type="dcterms:W3CDTF">2020-08-28T05:07:00Z</dcterms:modified>
</cp:coreProperties>
</file>