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01" w:rsidRDefault="00641501" w:rsidP="00FE28E6">
      <w:pPr>
        <w:pStyle w:val="Heading2centre"/>
        <w:rPr>
          <w:rFonts w:cs="Times New Roman"/>
          <w:b/>
          <w:bCs w:val="0"/>
          <w:szCs w:val="20"/>
        </w:rPr>
      </w:pPr>
      <w:r w:rsidRPr="00641501">
        <w:rPr>
          <w:rFonts w:cs="Times New Roman"/>
          <w:b/>
          <w:bCs w:val="0"/>
          <w:szCs w:val="20"/>
        </w:rPr>
        <w:t xml:space="preserve">Corporate, Strategy &amp; Policy </w:t>
      </w:r>
    </w:p>
    <w:p w:rsidR="00845111" w:rsidRDefault="007668D0" w:rsidP="00FE28E6">
      <w:pPr>
        <w:pStyle w:val="Heading2centre"/>
      </w:pPr>
      <w:r>
        <w:t>Statement of Duties</w:t>
      </w:r>
      <w:r w:rsidR="00576DF9">
        <w:t xml:space="preserve"> – </w:t>
      </w:r>
      <w:r w:rsidR="00A4358E">
        <w:t>April</w:t>
      </w:r>
      <w:r w:rsidR="00D6383D">
        <w:t xml:space="preserve"> 20</w:t>
      </w:r>
      <w:r w:rsidR="00641501">
        <w:t>21</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4"/>
        <w:gridCol w:w="6090"/>
      </w:tblGrid>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Title</w:t>
            </w:r>
          </w:p>
        </w:tc>
        <w:tc>
          <w:tcPr>
            <w:tcW w:w="6251" w:type="dxa"/>
            <w:shd w:val="clear" w:color="auto" w:fill="EEECE1"/>
            <w:vAlign w:val="center"/>
          </w:tcPr>
          <w:p w:rsidR="00005DBB" w:rsidRPr="003B0C19" w:rsidRDefault="00502E37" w:rsidP="00005DBB">
            <w:pPr>
              <w:pStyle w:val="Normaltable"/>
              <w:rPr>
                <w:sz w:val="24"/>
              </w:rPr>
            </w:pPr>
            <w:r w:rsidRPr="003B0C19">
              <w:rPr>
                <w:sz w:val="24"/>
              </w:rPr>
              <w:t>Senior Business Analyst</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Number</w:t>
            </w:r>
          </w:p>
        </w:tc>
        <w:tc>
          <w:tcPr>
            <w:tcW w:w="6251" w:type="dxa"/>
            <w:shd w:val="clear" w:color="auto" w:fill="EEECE1"/>
            <w:vAlign w:val="center"/>
          </w:tcPr>
          <w:p w:rsidR="00005DBB" w:rsidRPr="000C4C84" w:rsidRDefault="00FA4823" w:rsidP="00A4358E">
            <w:pPr>
              <w:pStyle w:val="Normaltable"/>
              <w:rPr>
                <w:sz w:val="24"/>
              </w:rPr>
            </w:pPr>
            <w:r>
              <w:rPr>
                <w:sz w:val="24"/>
              </w:rPr>
              <w:t>357</w:t>
            </w:r>
            <w:r w:rsidR="00A4358E">
              <w:rPr>
                <w:sz w:val="24"/>
              </w:rPr>
              <w:t>365</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Award</w:t>
            </w:r>
          </w:p>
        </w:tc>
        <w:tc>
          <w:tcPr>
            <w:tcW w:w="6251" w:type="dxa"/>
            <w:shd w:val="clear" w:color="auto" w:fill="EEECE1"/>
            <w:vAlign w:val="center"/>
          </w:tcPr>
          <w:p w:rsidR="00005DBB" w:rsidRPr="003B0C19" w:rsidRDefault="00502E37" w:rsidP="00005DBB">
            <w:pPr>
              <w:pStyle w:val="Normaltable"/>
              <w:rPr>
                <w:sz w:val="24"/>
              </w:rPr>
            </w:pPr>
            <w:r w:rsidRPr="003B0C19">
              <w:rPr>
                <w:sz w:val="24"/>
              </w:rPr>
              <w:t>Tasmanian State Service Award</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Classification</w:t>
            </w:r>
          </w:p>
        </w:tc>
        <w:tc>
          <w:tcPr>
            <w:tcW w:w="6251" w:type="dxa"/>
            <w:shd w:val="clear" w:color="auto" w:fill="EEECE1"/>
            <w:vAlign w:val="center"/>
          </w:tcPr>
          <w:p w:rsidR="00005DBB" w:rsidRPr="003B0C19" w:rsidRDefault="00502E37" w:rsidP="00502E37">
            <w:pPr>
              <w:pStyle w:val="Normaltable"/>
              <w:rPr>
                <w:sz w:val="24"/>
              </w:rPr>
            </w:pPr>
            <w:r w:rsidRPr="003B0C19">
              <w:rPr>
                <w:sz w:val="24"/>
              </w:rPr>
              <w:t>General Stream Band 6</w:t>
            </w:r>
          </w:p>
        </w:tc>
      </w:tr>
      <w:tr w:rsidR="002D27FF" w:rsidRPr="003B0C19" w:rsidTr="002D27FF">
        <w:trPr>
          <w:tblHeader/>
        </w:trPr>
        <w:tc>
          <w:tcPr>
            <w:tcW w:w="3369" w:type="dxa"/>
            <w:shd w:val="clear" w:color="auto" w:fill="EEECE1"/>
            <w:vAlign w:val="center"/>
          </w:tcPr>
          <w:p w:rsidR="00005DBB" w:rsidRPr="003B0C19" w:rsidRDefault="00FA11E0" w:rsidP="00005DBB">
            <w:pPr>
              <w:pStyle w:val="Heading3table"/>
              <w:rPr>
                <w:sz w:val="24"/>
              </w:rPr>
            </w:pPr>
            <w:r>
              <w:rPr>
                <w:sz w:val="24"/>
              </w:rPr>
              <w:t>Division</w:t>
            </w:r>
          </w:p>
        </w:tc>
        <w:tc>
          <w:tcPr>
            <w:tcW w:w="6251" w:type="dxa"/>
            <w:shd w:val="clear" w:color="auto" w:fill="EEECE1"/>
            <w:vAlign w:val="center"/>
          </w:tcPr>
          <w:p w:rsidR="00005DBB" w:rsidRPr="003B0C19" w:rsidRDefault="00FA11E0" w:rsidP="00335A9F">
            <w:pPr>
              <w:pStyle w:val="Normaltable"/>
              <w:rPr>
                <w:sz w:val="24"/>
              </w:rPr>
            </w:pPr>
            <w:r w:rsidRPr="00641501">
              <w:rPr>
                <w:sz w:val="24"/>
              </w:rPr>
              <w:t>Corporate, Strategy &amp; Policy</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Full Time Equivalent</w:t>
            </w:r>
          </w:p>
        </w:tc>
        <w:tc>
          <w:tcPr>
            <w:tcW w:w="6251" w:type="dxa"/>
            <w:shd w:val="clear" w:color="auto" w:fill="EEECE1"/>
            <w:vAlign w:val="center"/>
          </w:tcPr>
          <w:p w:rsidR="00005DBB" w:rsidRPr="003B0C19" w:rsidRDefault="00502E37" w:rsidP="00005DBB">
            <w:pPr>
              <w:pStyle w:val="Normaltable"/>
              <w:rPr>
                <w:sz w:val="24"/>
              </w:rPr>
            </w:pPr>
            <w:r w:rsidRPr="003B0C19">
              <w:rPr>
                <w:sz w:val="24"/>
              </w:rPr>
              <w:t>1.0</w:t>
            </w:r>
            <w:r w:rsidR="007E76D1">
              <w:rPr>
                <w:sz w:val="24"/>
              </w:rPr>
              <w:t xml:space="preserve"> FTE</w:t>
            </w:r>
          </w:p>
        </w:tc>
      </w:tr>
      <w:tr w:rsidR="002D27FF" w:rsidRPr="003B0C19" w:rsidTr="002D27FF">
        <w:trPr>
          <w:tblHeader/>
        </w:trPr>
        <w:tc>
          <w:tcPr>
            <w:tcW w:w="3369" w:type="dxa"/>
            <w:shd w:val="clear" w:color="auto" w:fill="EEECE1"/>
            <w:vAlign w:val="center"/>
          </w:tcPr>
          <w:p w:rsidR="00005DBB" w:rsidRPr="003B0C19" w:rsidRDefault="00FA11E0" w:rsidP="00005DBB">
            <w:pPr>
              <w:pStyle w:val="Heading3table"/>
              <w:rPr>
                <w:sz w:val="24"/>
              </w:rPr>
            </w:pPr>
            <w:r>
              <w:rPr>
                <w:sz w:val="24"/>
              </w:rPr>
              <w:t>Output Group</w:t>
            </w:r>
          </w:p>
        </w:tc>
        <w:tc>
          <w:tcPr>
            <w:tcW w:w="6251" w:type="dxa"/>
            <w:shd w:val="clear" w:color="auto" w:fill="EEECE1"/>
            <w:vAlign w:val="center"/>
          </w:tcPr>
          <w:p w:rsidR="00005DBB" w:rsidRPr="003B0C19" w:rsidRDefault="00FA11E0" w:rsidP="009D31B4">
            <w:pPr>
              <w:pStyle w:val="Normaltable"/>
              <w:rPr>
                <w:sz w:val="24"/>
              </w:rPr>
            </w:pPr>
            <w:r>
              <w:rPr>
                <w:sz w:val="24"/>
              </w:rPr>
              <w:t>Office of the CIO</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Branch</w:t>
            </w:r>
          </w:p>
        </w:tc>
        <w:tc>
          <w:tcPr>
            <w:tcW w:w="6251" w:type="dxa"/>
            <w:shd w:val="clear" w:color="auto" w:fill="EEECE1"/>
            <w:vAlign w:val="center"/>
          </w:tcPr>
          <w:p w:rsidR="00005DBB" w:rsidRPr="003B0C19" w:rsidRDefault="00C819C4" w:rsidP="00C819C4">
            <w:pPr>
              <w:pStyle w:val="Normaltable"/>
              <w:rPr>
                <w:sz w:val="24"/>
              </w:rPr>
            </w:pPr>
            <w:r>
              <w:rPr>
                <w:rFonts w:cs="Arial"/>
                <w:sz w:val="24"/>
              </w:rPr>
              <w:t>Justice Connect</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Supervisor</w:t>
            </w:r>
          </w:p>
        </w:tc>
        <w:tc>
          <w:tcPr>
            <w:tcW w:w="6251" w:type="dxa"/>
            <w:shd w:val="clear" w:color="auto" w:fill="EEECE1"/>
            <w:vAlign w:val="center"/>
          </w:tcPr>
          <w:p w:rsidR="00005DBB" w:rsidRPr="003B0C19" w:rsidRDefault="00641501" w:rsidP="00C819C4">
            <w:pPr>
              <w:pStyle w:val="Normaltable"/>
              <w:rPr>
                <w:rFonts w:cs="Arial"/>
                <w:sz w:val="24"/>
              </w:rPr>
            </w:pPr>
            <w:r>
              <w:rPr>
                <w:rFonts w:cs="Arial"/>
                <w:sz w:val="24"/>
              </w:rPr>
              <w:t>Project Manager</w:t>
            </w:r>
            <w:r w:rsidR="00C819C4">
              <w:rPr>
                <w:rFonts w:cs="Arial"/>
                <w:sz w:val="24"/>
              </w:rPr>
              <w:t>, Justice Connect</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Direct Reports</w:t>
            </w:r>
          </w:p>
        </w:tc>
        <w:tc>
          <w:tcPr>
            <w:tcW w:w="6251" w:type="dxa"/>
            <w:shd w:val="clear" w:color="auto" w:fill="EEECE1"/>
            <w:vAlign w:val="center"/>
          </w:tcPr>
          <w:p w:rsidR="00005DBB" w:rsidRPr="003B0C19" w:rsidRDefault="00502E37" w:rsidP="00005DBB">
            <w:pPr>
              <w:pStyle w:val="Normaltable"/>
              <w:rPr>
                <w:rFonts w:cs="Arial"/>
                <w:sz w:val="24"/>
              </w:rPr>
            </w:pPr>
            <w:r w:rsidRPr="003B0C19">
              <w:rPr>
                <w:rFonts w:cs="Arial"/>
                <w:sz w:val="24"/>
              </w:rPr>
              <w:t>Nil</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Location</w:t>
            </w:r>
          </w:p>
        </w:tc>
        <w:tc>
          <w:tcPr>
            <w:tcW w:w="6251" w:type="dxa"/>
            <w:shd w:val="clear" w:color="auto" w:fill="EEECE1"/>
            <w:vAlign w:val="center"/>
          </w:tcPr>
          <w:p w:rsidR="00005DBB" w:rsidRPr="003B0C19" w:rsidRDefault="00502E37" w:rsidP="00005DBB">
            <w:pPr>
              <w:pStyle w:val="Normaltable"/>
              <w:rPr>
                <w:rFonts w:cs="Arial"/>
                <w:sz w:val="24"/>
              </w:rPr>
            </w:pPr>
            <w:r w:rsidRPr="003B0C19">
              <w:rPr>
                <w:rFonts w:cs="Arial"/>
                <w:sz w:val="24"/>
              </w:rPr>
              <w:t>Hobart</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Terms of Employment</w:t>
            </w:r>
          </w:p>
        </w:tc>
        <w:tc>
          <w:tcPr>
            <w:tcW w:w="6251" w:type="dxa"/>
            <w:shd w:val="clear" w:color="auto" w:fill="EEECE1"/>
            <w:vAlign w:val="center"/>
          </w:tcPr>
          <w:p w:rsidR="00005DBB" w:rsidRPr="003B0C19" w:rsidRDefault="00C819C4" w:rsidP="00641501">
            <w:pPr>
              <w:pStyle w:val="Normaltable"/>
              <w:rPr>
                <w:sz w:val="24"/>
              </w:rPr>
            </w:pPr>
            <w:r>
              <w:rPr>
                <w:sz w:val="24"/>
              </w:rPr>
              <w:t>Fixed term</w:t>
            </w:r>
            <w:r w:rsidR="00502E37" w:rsidRPr="003B0C19">
              <w:rPr>
                <w:sz w:val="24"/>
              </w:rPr>
              <w:t xml:space="preserve"> full-time</w:t>
            </w:r>
            <w:r w:rsidR="007E76D1">
              <w:rPr>
                <w:sz w:val="24"/>
              </w:rPr>
              <w:t xml:space="preserve"> for a period of </w:t>
            </w:r>
            <w:r w:rsidR="00641501">
              <w:rPr>
                <w:sz w:val="24"/>
              </w:rPr>
              <w:t>two</w:t>
            </w:r>
            <w:r w:rsidR="007E76D1">
              <w:rPr>
                <w:sz w:val="24"/>
              </w:rPr>
              <w:t xml:space="preserve"> (</w:t>
            </w:r>
            <w:r w:rsidR="00641501">
              <w:rPr>
                <w:sz w:val="24"/>
              </w:rPr>
              <w:t>2</w:t>
            </w:r>
            <w:r w:rsidR="007E76D1">
              <w:rPr>
                <w:sz w:val="24"/>
              </w:rPr>
              <w:t>) years,</w:t>
            </w:r>
            <w:r w:rsidR="00502E37" w:rsidRPr="003B0C19">
              <w:rPr>
                <w:sz w:val="24"/>
              </w:rPr>
              <w:t xml:space="preserve"> 73.5</w:t>
            </w:r>
            <w:r w:rsidR="009D31B4" w:rsidRPr="003B0C19">
              <w:rPr>
                <w:sz w:val="24"/>
              </w:rPr>
              <w:t>0</w:t>
            </w:r>
            <w:r w:rsidR="00502E37" w:rsidRPr="003B0C19">
              <w:rPr>
                <w:sz w:val="24"/>
              </w:rPr>
              <w:t xml:space="preserve"> hours per fortnight</w:t>
            </w:r>
            <w:r w:rsidR="009D31B4" w:rsidRPr="003B0C19">
              <w:rPr>
                <w:sz w:val="24"/>
              </w:rPr>
              <w:t>, 52 weeks per year</w:t>
            </w:r>
            <w:r w:rsidR="00502E37" w:rsidRPr="003B0C19">
              <w:rPr>
                <w:sz w:val="24"/>
              </w:rPr>
              <w:t xml:space="preserve">.  Some intrastate travel may be required.  </w:t>
            </w:r>
          </w:p>
        </w:tc>
      </w:tr>
      <w:tr w:rsidR="002D27FF" w:rsidRPr="003B0C19" w:rsidTr="002D27FF">
        <w:trPr>
          <w:tblHeader/>
        </w:trPr>
        <w:tc>
          <w:tcPr>
            <w:tcW w:w="3369" w:type="dxa"/>
            <w:shd w:val="clear" w:color="auto" w:fill="EEECE1"/>
            <w:vAlign w:val="center"/>
          </w:tcPr>
          <w:p w:rsidR="00005DBB" w:rsidRPr="003B0C19" w:rsidRDefault="00005DBB" w:rsidP="00005DBB">
            <w:pPr>
              <w:pStyle w:val="Heading3table"/>
              <w:rPr>
                <w:sz w:val="24"/>
              </w:rPr>
            </w:pPr>
            <w:r w:rsidRPr="003B0C19">
              <w:rPr>
                <w:sz w:val="24"/>
              </w:rPr>
              <w:t>Position category and funding</w:t>
            </w:r>
          </w:p>
        </w:tc>
        <w:tc>
          <w:tcPr>
            <w:tcW w:w="6251" w:type="dxa"/>
            <w:shd w:val="clear" w:color="auto" w:fill="EEECE1"/>
            <w:vAlign w:val="center"/>
          </w:tcPr>
          <w:p w:rsidR="00005DBB" w:rsidRPr="003A2576" w:rsidRDefault="003A2576" w:rsidP="00005DBB">
            <w:pPr>
              <w:pStyle w:val="Normaltable"/>
              <w:rPr>
                <w:b/>
                <w:strike/>
                <w:sz w:val="24"/>
              </w:rPr>
            </w:pPr>
            <w:r w:rsidRPr="003A2576">
              <w:rPr>
                <w:b/>
                <w:sz w:val="24"/>
              </w:rPr>
              <w:t>T731</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3B0C19" w:rsidRDefault="008702FF" w:rsidP="00996CC1">
      <w:pPr>
        <w:tabs>
          <w:tab w:val="left" w:pos="3750"/>
        </w:tabs>
        <w:rPr>
          <w:szCs w:val="22"/>
        </w:rPr>
      </w:pPr>
      <w:r w:rsidRPr="003B0C19">
        <w:rPr>
          <w:szCs w:val="22"/>
        </w:rPr>
        <w:t>A safe, fair and just Tasmania.</w:t>
      </w:r>
    </w:p>
    <w:p w:rsidR="00CE3850" w:rsidRDefault="00CE3850" w:rsidP="00CE3850">
      <w:pPr>
        <w:pStyle w:val="Heading3"/>
      </w:pPr>
      <w:r>
        <w:t>Purpose</w:t>
      </w:r>
    </w:p>
    <w:p w:rsidR="008702FF" w:rsidRPr="003B0C19" w:rsidRDefault="00CE3850" w:rsidP="008702FF">
      <w:pPr>
        <w:rPr>
          <w:szCs w:val="22"/>
        </w:rPr>
      </w:pPr>
      <w:r w:rsidRPr="003B0C19">
        <w:rPr>
          <w:szCs w:val="22"/>
        </w:rPr>
        <w:t>T</w:t>
      </w:r>
      <w:r w:rsidR="008702FF" w:rsidRPr="003B0C19">
        <w:rPr>
          <w:szCs w:val="22"/>
        </w:rPr>
        <w:t>o support the Tasmanian Governmen</w:t>
      </w:r>
      <w:r w:rsidRPr="003B0C19">
        <w:rPr>
          <w:szCs w:val="22"/>
        </w:rPr>
        <w:t>t to promote the rule of law by</w:t>
      </w:r>
    </w:p>
    <w:p w:rsidR="008702FF" w:rsidRPr="003B0C19" w:rsidRDefault="00CE3850" w:rsidP="00B2128A">
      <w:pPr>
        <w:numPr>
          <w:ilvl w:val="0"/>
          <w:numId w:val="4"/>
        </w:numPr>
        <w:rPr>
          <w:szCs w:val="22"/>
        </w:rPr>
      </w:pPr>
      <w:proofErr w:type="gramStart"/>
      <w:r w:rsidRPr="003B0C19">
        <w:rPr>
          <w:szCs w:val="22"/>
        </w:rPr>
        <w:t>e</w:t>
      </w:r>
      <w:r w:rsidR="008702FF" w:rsidRPr="003B0C19">
        <w:rPr>
          <w:szCs w:val="22"/>
        </w:rPr>
        <w:t>nsuring</w:t>
      </w:r>
      <w:proofErr w:type="gramEnd"/>
      <w:r w:rsidR="008702FF" w:rsidRPr="003B0C19">
        <w:rPr>
          <w:szCs w:val="22"/>
        </w:rPr>
        <w:t xml:space="preserve"> an effective, efficien</w:t>
      </w:r>
      <w:r w:rsidRPr="003B0C19">
        <w:rPr>
          <w:szCs w:val="22"/>
        </w:rPr>
        <w:t>t and accessible justice system.</w:t>
      </w:r>
    </w:p>
    <w:p w:rsidR="008702FF" w:rsidRPr="003B0C19" w:rsidRDefault="00CE3850" w:rsidP="00B2128A">
      <w:pPr>
        <w:numPr>
          <w:ilvl w:val="0"/>
          <w:numId w:val="4"/>
        </w:numPr>
        <w:rPr>
          <w:szCs w:val="22"/>
        </w:rPr>
      </w:pPr>
      <w:proofErr w:type="gramStart"/>
      <w:r w:rsidRPr="003B0C19">
        <w:rPr>
          <w:szCs w:val="22"/>
        </w:rPr>
        <w:t>protecting</w:t>
      </w:r>
      <w:proofErr w:type="gramEnd"/>
      <w:r w:rsidRPr="003B0C19">
        <w:rPr>
          <w:szCs w:val="22"/>
        </w:rPr>
        <w:t xml:space="preserve"> and respecting rights.</w:t>
      </w:r>
    </w:p>
    <w:p w:rsidR="008702FF" w:rsidRPr="003B0C19" w:rsidRDefault="00CE3850" w:rsidP="00B2128A">
      <w:pPr>
        <w:numPr>
          <w:ilvl w:val="0"/>
          <w:numId w:val="4"/>
        </w:numPr>
        <w:rPr>
          <w:szCs w:val="22"/>
        </w:rPr>
      </w:pPr>
      <w:proofErr w:type="gramStart"/>
      <w:r w:rsidRPr="003B0C19">
        <w:rPr>
          <w:szCs w:val="22"/>
        </w:rPr>
        <w:t>improving</w:t>
      </w:r>
      <w:proofErr w:type="gramEnd"/>
      <w:r w:rsidRPr="003B0C19">
        <w:rPr>
          <w:szCs w:val="22"/>
        </w:rPr>
        <w:t xml:space="preserve"> laws.</w:t>
      </w:r>
    </w:p>
    <w:p w:rsidR="008702FF" w:rsidRPr="003B0C19" w:rsidRDefault="00CE3850" w:rsidP="00B2128A">
      <w:pPr>
        <w:numPr>
          <w:ilvl w:val="0"/>
          <w:numId w:val="4"/>
        </w:numPr>
        <w:rPr>
          <w:szCs w:val="22"/>
        </w:rPr>
      </w:pPr>
      <w:proofErr w:type="gramStart"/>
      <w:r w:rsidRPr="003B0C19">
        <w:rPr>
          <w:szCs w:val="22"/>
        </w:rPr>
        <w:t>i</w:t>
      </w:r>
      <w:r w:rsidR="008702FF" w:rsidRPr="003B0C19">
        <w:rPr>
          <w:szCs w:val="22"/>
        </w:rPr>
        <w:t>nfluencing</w:t>
      </w:r>
      <w:proofErr w:type="gramEnd"/>
      <w:r w:rsidR="008702FF" w:rsidRPr="003B0C19">
        <w:rPr>
          <w:szCs w:val="22"/>
        </w:rPr>
        <w:t xml:space="preserve"> positive behaviour and enforcing responsibilities.</w:t>
      </w:r>
    </w:p>
    <w:p w:rsidR="00CE3850" w:rsidRPr="00CB47E4" w:rsidRDefault="00CE3850" w:rsidP="00CE3850">
      <w:r w:rsidRPr="00CB47E4">
        <w:t xml:space="preserve">Visit the </w:t>
      </w:r>
      <w:hyperlink r:id="rId7" w:history="1">
        <w:r w:rsidRPr="00CB47E4">
          <w:rPr>
            <w:rStyle w:val="Hyperlink"/>
          </w:rPr>
          <w:t>Department of Justice website</w:t>
        </w:r>
      </w:hyperlink>
      <w:r w:rsidRPr="00CB47E4">
        <w:t xml:space="preserve"> for more information. </w:t>
      </w:r>
    </w:p>
    <w:p w:rsidR="003B0C19" w:rsidRDefault="003B0C19" w:rsidP="003B0C19">
      <w:pPr>
        <w:pStyle w:val="Heading2"/>
      </w:pPr>
      <w:r w:rsidRPr="00CE3850">
        <w:lastRenderedPageBreak/>
        <w:t>Division</w:t>
      </w:r>
      <w:r>
        <w:t>al Information</w:t>
      </w:r>
    </w:p>
    <w:p w:rsidR="000C4C84" w:rsidRDefault="000C4C84" w:rsidP="000C4C84">
      <w:pPr>
        <w:rPr>
          <w:rFonts w:ascii="Calibri" w:hAnsi="Calibri"/>
          <w:sz w:val="22"/>
          <w:szCs w:val="22"/>
        </w:rPr>
      </w:pPr>
      <w:r>
        <w:t>The Corporate and Strategy Division provides a range of services to assist the Department’s Outputs to meet their objectives. The Division comprises the following branches and is led by the Deputy Secretary – Corporate and Strategy:</w:t>
      </w:r>
    </w:p>
    <w:p w:rsidR="000C4C84" w:rsidRPr="00F85D44" w:rsidRDefault="000C4C84" w:rsidP="00641501">
      <w:pPr>
        <w:pStyle w:val="ListBullet"/>
      </w:pPr>
      <w:r w:rsidRPr="00F85D44">
        <w:t>Finance Branch;</w:t>
      </w:r>
    </w:p>
    <w:p w:rsidR="000C4C84" w:rsidRPr="00F85D44" w:rsidRDefault="000C4C84" w:rsidP="00641501">
      <w:pPr>
        <w:pStyle w:val="ListBullet"/>
      </w:pPr>
      <w:r w:rsidRPr="00F85D44">
        <w:t>Human Resources Branch;</w:t>
      </w:r>
    </w:p>
    <w:p w:rsidR="000C4C84" w:rsidRPr="00F85D44" w:rsidRDefault="000C4C84" w:rsidP="00641501">
      <w:pPr>
        <w:pStyle w:val="ListBullet"/>
      </w:pPr>
      <w:r w:rsidRPr="00F85D44">
        <w:t>Office of the CIO, including the Justice Connect Program;</w:t>
      </w:r>
    </w:p>
    <w:p w:rsidR="000C4C84" w:rsidRPr="00F85D44" w:rsidRDefault="000C4C84" w:rsidP="00641501">
      <w:pPr>
        <w:pStyle w:val="ListBullet"/>
      </w:pPr>
      <w:r w:rsidRPr="00F85D44">
        <w:t>Communications and Executive Support;</w:t>
      </w:r>
    </w:p>
    <w:p w:rsidR="000C4C84" w:rsidRPr="00641501" w:rsidRDefault="000C4C84" w:rsidP="00641501">
      <w:pPr>
        <w:pStyle w:val="ListBullet"/>
      </w:pPr>
      <w:r w:rsidRPr="00641501">
        <w:t>Strategic Infrastructure Projects</w:t>
      </w:r>
    </w:p>
    <w:p w:rsidR="000C4C84" w:rsidRDefault="000C4C84" w:rsidP="000C4C84">
      <w:r>
        <w:t>More</w:t>
      </w:r>
      <w:r w:rsidR="009A2475">
        <w:t xml:space="preserve"> </w:t>
      </w:r>
      <w:r>
        <w:t>information</w:t>
      </w:r>
      <w:r w:rsidR="009A2475">
        <w:t xml:space="preserve"> </w:t>
      </w:r>
      <w:r>
        <w:t xml:space="preserve"> about</w:t>
      </w:r>
      <w:r w:rsidR="009A2475">
        <w:t xml:space="preserve"> </w:t>
      </w:r>
      <w:r>
        <w:t xml:space="preserve"> the</w:t>
      </w:r>
      <w:r w:rsidR="009A2475">
        <w:t xml:space="preserve"> </w:t>
      </w:r>
      <w:r>
        <w:t xml:space="preserve"> Corporate</w:t>
      </w:r>
      <w:r w:rsidR="009A2475">
        <w:t xml:space="preserve"> </w:t>
      </w:r>
      <w:r>
        <w:t xml:space="preserve"> Support</w:t>
      </w:r>
      <w:r w:rsidR="009A2475">
        <w:t xml:space="preserve"> </w:t>
      </w:r>
      <w:r>
        <w:t xml:space="preserve"> and</w:t>
      </w:r>
      <w:r w:rsidR="009A2475">
        <w:t xml:space="preserve"> </w:t>
      </w:r>
      <w:r>
        <w:t xml:space="preserve"> Strategy</w:t>
      </w:r>
      <w:r w:rsidR="009A2475">
        <w:t xml:space="preserve"> </w:t>
      </w:r>
      <w:r>
        <w:t xml:space="preserve"> Division</w:t>
      </w:r>
      <w:r w:rsidR="009A2475">
        <w:t xml:space="preserve"> </w:t>
      </w:r>
      <w:r>
        <w:t xml:space="preserve"> and</w:t>
      </w:r>
      <w:r w:rsidR="009A2475">
        <w:t xml:space="preserve"> </w:t>
      </w:r>
      <w:r>
        <w:t xml:space="preserve"> the</w:t>
      </w:r>
      <w:r w:rsidR="009A2475">
        <w:t xml:space="preserve"> </w:t>
      </w:r>
      <w:r>
        <w:t xml:space="preserve"> </w:t>
      </w:r>
      <w:r w:rsidR="009A2475">
        <w:t xml:space="preserve">operations </w:t>
      </w:r>
      <w:r>
        <w:t>of</w:t>
      </w:r>
      <w:r w:rsidR="009A2475">
        <w:t xml:space="preserve"> </w:t>
      </w:r>
      <w:r>
        <w:t xml:space="preserve"> the department are available on its </w:t>
      </w:r>
      <w:hyperlink r:id="rId8" w:history="1">
        <w:r>
          <w:rPr>
            <w:rStyle w:val="Hyperlink"/>
          </w:rPr>
          <w:t>website</w:t>
        </w:r>
      </w:hyperlink>
      <w:r>
        <w:t>.</w:t>
      </w:r>
    </w:p>
    <w:p w:rsidR="00764E32" w:rsidRDefault="00764E32" w:rsidP="00551E27">
      <w:pPr>
        <w:autoSpaceDE w:val="0"/>
        <w:autoSpaceDN w:val="0"/>
        <w:adjustRightInd w:val="0"/>
        <w:spacing w:after="0"/>
        <w:rPr>
          <w:rFonts w:cs="Gill Sans MT"/>
          <w:b/>
          <w:bCs/>
          <w:color w:val="000000"/>
          <w:sz w:val="22"/>
          <w:szCs w:val="22"/>
          <w:lang w:eastAsia="en-AU"/>
        </w:rPr>
      </w:pPr>
    </w:p>
    <w:p w:rsidR="00551E27" w:rsidRDefault="00551E27" w:rsidP="00551E27">
      <w:pPr>
        <w:autoSpaceDE w:val="0"/>
        <w:autoSpaceDN w:val="0"/>
        <w:adjustRightInd w:val="0"/>
        <w:spacing w:after="0"/>
        <w:rPr>
          <w:rFonts w:cs="Gill Sans MT"/>
          <w:b/>
          <w:bCs/>
          <w:color w:val="000000"/>
          <w:sz w:val="22"/>
          <w:szCs w:val="22"/>
          <w:lang w:eastAsia="en-AU"/>
        </w:rPr>
      </w:pPr>
      <w:r w:rsidRPr="00551E27">
        <w:rPr>
          <w:rFonts w:cs="Gill Sans MT"/>
          <w:b/>
          <w:bCs/>
          <w:color w:val="000000"/>
          <w:sz w:val="22"/>
          <w:szCs w:val="22"/>
          <w:lang w:eastAsia="en-AU"/>
        </w:rPr>
        <w:t xml:space="preserve">Program Information </w:t>
      </w:r>
    </w:p>
    <w:p w:rsidR="00764E32" w:rsidRPr="00551E27" w:rsidRDefault="00764E32" w:rsidP="00551E27">
      <w:pPr>
        <w:autoSpaceDE w:val="0"/>
        <w:autoSpaceDN w:val="0"/>
        <w:adjustRightInd w:val="0"/>
        <w:spacing w:after="0"/>
        <w:rPr>
          <w:rFonts w:cs="Gill Sans MT"/>
          <w:color w:val="000000"/>
          <w:sz w:val="22"/>
          <w:szCs w:val="22"/>
          <w:lang w:eastAsia="en-AU"/>
        </w:rPr>
      </w:pPr>
    </w:p>
    <w:p w:rsidR="00551E27" w:rsidRPr="00CB47E4" w:rsidRDefault="00551E27" w:rsidP="00CB47E4">
      <w:r w:rsidRPr="00551E27">
        <w:t xml:space="preserve">Justice Connect is a </w:t>
      </w:r>
      <w:r w:rsidR="00CB47E4" w:rsidRPr="00CB47E4">
        <w:t>p</w:t>
      </w:r>
      <w:r w:rsidRPr="00551E27">
        <w:t xml:space="preserve">rogram of work that will replace current out-dated systems with an integrated end-to-end system solution. It is a major program of work that will address shortcomings with existing systems, processes and data supporting the criminal, correctional and civil jurisdictions managed by the Department of Justice. It will replace outdated technologies with a contemporary architecture that enhances efficiencies and informed policy through better information sharing that provides access to timely and trusted information. </w:t>
      </w:r>
    </w:p>
    <w:p w:rsidR="00551E27" w:rsidRPr="00551E27" w:rsidRDefault="00551E27" w:rsidP="00CB47E4">
      <w:r w:rsidRPr="00551E27">
        <w:t xml:space="preserve">Justice Connect is a multi-year program of work to purchase and implement an integrated administration system supporting: </w:t>
      </w:r>
    </w:p>
    <w:p w:rsidR="00551E27" w:rsidRPr="00551E27" w:rsidRDefault="00551E27" w:rsidP="00641501">
      <w:pPr>
        <w:pStyle w:val="ListBullet"/>
      </w:pPr>
      <w:r w:rsidRPr="00551E27">
        <w:rPr>
          <w:rFonts w:cs="Gill Sans MT"/>
          <w:color w:val="000000"/>
          <w:sz w:val="22"/>
          <w:lang w:eastAsia="en-AU"/>
        </w:rPr>
        <w:t xml:space="preserve">The </w:t>
      </w:r>
      <w:r w:rsidRPr="00551E27">
        <w:t xml:space="preserve">Supreme Court of Tasmania </w:t>
      </w:r>
    </w:p>
    <w:p w:rsidR="00551E27" w:rsidRPr="00551E27" w:rsidRDefault="00551E27" w:rsidP="00641501">
      <w:pPr>
        <w:pStyle w:val="ListBullet"/>
      </w:pPr>
      <w:r w:rsidRPr="00551E27">
        <w:t xml:space="preserve">Child and Youth Services </w:t>
      </w:r>
    </w:p>
    <w:p w:rsidR="00551E27" w:rsidRPr="00551E27" w:rsidRDefault="00551E27" w:rsidP="00641501">
      <w:pPr>
        <w:pStyle w:val="ListBullet"/>
      </w:pPr>
      <w:r w:rsidRPr="00551E27">
        <w:t xml:space="preserve">The Magistrates’ Court of Tasmania </w:t>
      </w:r>
    </w:p>
    <w:p w:rsidR="00551E27" w:rsidRPr="00551E27" w:rsidRDefault="00551E27" w:rsidP="00641501">
      <w:pPr>
        <w:pStyle w:val="ListBullet"/>
      </w:pPr>
      <w:r w:rsidRPr="00551E27">
        <w:t xml:space="preserve">Safe Families, Safe Home </w:t>
      </w:r>
    </w:p>
    <w:p w:rsidR="00551E27" w:rsidRPr="00551E27" w:rsidRDefault="00551E27" w:rsidP="00641501">
      <w:pPr>
        <w:pStyle w:val="ListBullet"/>
      </w:pPr>
      <w:r w:rsidRPr="00551E27">
        <w:t xml:space="preserve">Tasmania Prison Service </w:t>
      </w:r>
    </w:p>
    <w:p w:rsidR="00551E27" w:rsidRPr="00551E27" w:rsidRDefault="00551E27" w:rsidP="00641501">
      <w:pPr>
        <w:pStyle w:val="ListBullet"/>
      </w:pPr>
      <w:r w:rsidRPr="00551E27">
        <w:t xml:space="preserve">Strong Families, Safe Kids </w:t>
      </w:r>
    </w:p>
    <w:p w:rsidR="00551E27" w:rsidRPr="00551E27" w:rsidRDefault="00551E27" w:rsidP="00641501">
      <w:pPr>
        <w:pStyle w:val="ListBullet"/>
      </w:pPr>
      <w:r w:rsidRPr="00551E27">
        <w:t xml:space="preserve">Community Corrections </w:t>
      </w:r>
    </w:p>
    <w:p w:rsidR="00551E27" w:rsidRPr="00551E27" w:rsidRDefault="00551E27" w:rsidP="00641501">
      <w:pPr>
        <w:pStyle w:val="ListBullet"/>
      </w:pPr>
      <w:r w:rsidRPr="00551E27">
        <w:t xml:space="preserve">Director of Public Prosecution </w:t>
      </w:r>
    </w:p>
    <w:p w:rsidR="00551E27" w:rsidRPr="00551E27" w:rsidRDefault="00551E27" w:rsidP="00641501">
      <w:pPr>
        <w:pStyle w:val="ListBullet"/>
      </w:pPr>
      <w:r w:rsidRPr="00551E27">
        <w:t xml:space="preserve">Victims Support Services </w:t>
      </w:r>
    </w:p>
    <w:p w:rsidR="00551E27" w:rsidRPr="00551E27" w:rsidRDefault="00551E27" w:rsidP="00641501">
      <w:pPr>
        <w:pStyle w:val="ListBullet"/>
      </w:pPr>
      <w:r w:rsidRPr="00551E27">
        <w:t xml:space="preserve">Department of Education </w:t>
      </w:r>
    </w:p>
    <w:p w:rsidR="00551E27" w:rsidRPr="00551E27" w:rsidRDefault="00551E27" w:rsidP="00641501">
      <w:pPr>
        <w:pStyle w:val="ListBullet"/>
      </w:pPr>
      <w:r w:rsidRPr="00551E27">
        <w:t xml:space="preserve">Tasmania Police </w:t>
      </w:r>
    </w:p>
    <w:p w:rsidR="00764E32" w:rsidRDefault="00551E27" w:rsidP="000C4C84">
      <w:pPr>
        <w:pStyle w:val="ListBullet"/>
        <w:rPr>
          <w:rFonts w:cs="Gill Sans MT"/>
          <w:color w:val="000000"/>
          <w:sz w:val="22"/>
          <w:lang w:eastAsia="en-AU"/>
        </w:rPr>
      </w:pPr>
      <w:r w:rsidRPr="00551E27">
        <w:t>Australian Criminal Intelligence</w:t>
      </w:r>
      <w:r w:rsidRPr="00551E27">
        <w:rPr>
          <w:rFonts w:cs="Gill Sans MT"/>
          <w:color w:val="000000"/>
          <w:sz w:val="22"/>
          <w:lang w:eastAsia="en-AU"/>
        </w:rPr>
        <w:t xml:space="preserve"> Commission </w:t>
      </w:r>
    </w:p>
    <w:p w:rsidR="00764E32" w:rsidRPr="00764E32" w:rsidRDefault="00764E32" w:rsidP="00764E32">
      <w:pPr>
        <w:pStyle w:val="ListBullet"/>
        <w:numPr>
          <w:ilvl w:val="0"/>
          <w:numId w:val="0"/>
        </w:numPr>
        <w:ind w:left="641"/>
        <w:rPr>
          <w:rFonts w:cs="Gill Sans MT"/>
          <w:color w:val="000000"/>
          <w:sz w:val="22"/>
          <w:lang w:eastAsia="en-AU"/>
        </w:rPr>
      </w:pPr>
    </w:p>
    <w:p w:rsidR="0095272E" w:rsidRDefault="0095272E" w:rsidP="000C4C84">
      <w:pPr>
        <w:pStyle w:val="Heading2"/>
      </w:pPr>
      <w:r>
        <w:lastRenderedPageBreak/>
        <w:t>About the position</w:t>
      </w:r>
    </w:p>
    <w:p w:rsidR="00347B75" w:rsidRPr="003B0C19" w:rsidRDefault="00C322B8" w:rsidP="0095272E">
      <w:pPr>
        <w:pStyle w:val="Heading3"/>
      </w:pPr>
      <w:r w:rsidRPr="003B0C19">
        <w:t>Objective</w:t>
      </w:r>
    </w:p>
    <w:p w:rsidR="0007637C" w:rsidRPr="003B0C19" w:rsidRDefault="0007637C" w:rsidP="0007637C">
      <w:pPr>
        <w:spacing w:after="0"/>
        <w:rPr>
          <w:rFonts w:cs="Arial"/>
        </w:rPr>
      </w:pPr>
      <w:r w:rsidRPr="003B0C19">
        <w:rPr>
          <w:rFonts w:cs="Arial"/>
        </w:rPr>
        <w:t xml:space="preserve">The senior business analyst will contribute to the successful delivery of the </w:t>
      </w:r>
      <w:r w:rsidR="00CB47E4">
        <w:rPr>
          <w:rFonts w:cs="Arial"/>
        </w:rPr>
        <w:t>p</w:t>
      </w:r>
      <w:r w:rsidRPr="003B0C19">
        <w:rPr>
          <w:rFonts w:cs="Arial"/>
        </w:rPr>
        <w:t>ro</w:t>
      </w:r>
      <w:r w:rsidR="00CB47E4">
        <w:rPr>
          <w:rFonts w:cs="Arial"/>
        </w:rPr>
        <w:t>gram</w:t>
      </w:r>
      <w:r w:rsidRPr="003B0C19">
        <w:rPr>
          <w:rFonts w:cs="Arial"/>
        </w:rPr>
        <w:t xml:space="preserve"> by providing domain specialist skills and knowledge, and developing a critical understanding of the specific business needs of affected s</w:t>
      </w:r>
      <w:r w:rsidR="0013011B" w:rsidRPr="003B0C19">
        <w:rPr>
          <w:rFonts w:cs="Arial"/>
        </w:rPr>
        <w:t xml:space="preserve">takeholders. </w:t>
      </w:r>
    </w:p>
    <w:p w:rsidR="00855A64" w:rsidRPr="003B0C19" w:rsidRDefault="00C322B8" w:rsidP="0095272E">
      <w:pPr>
        <w:pStyle w:val="Heading3"/>
      </w:pPr>
      <w:r w:rsidRPr="003B0C19">
        <w:t>Duties</w:t>
      </w:r>
    </w:p>
    <w:p w:rsidR="00EB697A" w:rsidRPr="003B0C19" w:rsidRDefault="00EB697A" w:rsidP="00641501">
      <w:pPr>
        <w:pStyle w:val="ListBullet"/>
      </w:pPr>
      <w:r w:rsidRPr="003B0C19">
        <w:t xml:space="preserve">Work closely with stakeholders </w:t>
      </w:r>
      <w:r w:rsidR="003A2576">
        <w:t xml:space="preserve">to </w:t>
      </w:r>
      <w:r w:rsidRPr="003B0C19">
        <w:t>defin</w:t>
      </w:r>
      <w:r w:rsidR="003A2576">
        <w:t>e</w:t>
      </w:r>
      <w:r w:rsidRPr="003B0C19">
        <w:t xml:space="preserve"> business requirements for the successful delivery of </w:t>
      </w:r>
      <w:r w:rsidR="003A2576">
        <w:t>p</w:t>
      </w:r>
      <w:r w:rsidRPr="003B0C19">
        <w:t>rojects.</w:t>
      </w:r>
    </w:p>
    <w:p w:rsidR="00EB697A" w:rsidRPr="003B0C19" w:rsidRDefault="00EB697A" w:rsidP="00641501">
      <w:pPr>
        <w:pStyle w:val="ListBullet"/>
      </w:pPr>
      <w:r w:rsidRPr="003B0C19">
        <w:t xml:space="preserve">Develop </w:t>
      </w:r>
      <w:r w:rsidR="003A2576" w:rsidRPr="003B0C19">
        <w:t xml:space="preserve">business requirements, </w:t>
      </w:r>
      <w:r w:rsidR="003A2576">
        <w:t xml:space="preserve">business cases, option papers, </w:t>
      </w:r>
      <w:r w:rsidRPr="003B0C19">
        <w:t>procurement documents</w:t>
      </w:r>
      <w:r w:rsidR="003A2576">
        <w:t>,</w:t>
      </w:r>
      <w:r w:rsidRPr="003B0C19">
        <w:t xml:space="preserve"> baseline documents</w:t>
      </w:r>
      <w:r w:rsidR="003A2576">
        <w:t>,</w:t>
      </w:r>
      <w:r w:rsidRPr="003B0C19">
        <w:t xml:space="preserve"> </w:t>
      </w:r>
      <w:r w:rsidR="003A2576">
        <w:t>w</w:t>
      </w:r>
      <w:r w:rsidRPr="003B0C19">
        <w:t>ork plans</w:t>
      </w:r>
      <w:r w:rsidR="003A2576">
        <w:t xml:space="preserve"> and other business analysis outputs as needed</w:t>
      </w:r>
      <w:r w:rsidRPr="003B0C19">
        <w:t>.</w:t>
      </w:r>
    </w:p>
    <w:p w:rsidR="00EB697A" w:rsidRPr="003B0C19" w:rsidRDefault="00EB697A" w:rsidP="00641501">
      <w:pPr>
        <w:pStyle w:val="ListBullet"/>
      </w:pPr>
      <w:r w:rsidRPr="003B0C19">
        <w:t>Describe and analyse problems and provide options to resolve.</w:t>
      </w:r>
    </w:p>
    <w:p w:rsidR="00E94F71" w:rsidRPr="00E94F71" w:rsidRDefault="00E94F71" w:rsidP="00641501">
      <w:pPr>
        <w:pStyle w:val="ListBullet"/>
      </w:pPr>
      <w:r>
        <w:t>Undertake the management of small projects in accordance with the Agency’s current project management practices.</w:t>
      </w:r>
    </w:p>
    <w:p w:rsidR="00EB697A" w:rsidRPr="003B0C19" w:rsidRDefault="00EB697A" w:rsidP="00641501">
      <w:pPr>
        <w:pStyle w:val="ListBullet"/>
      </w:pPr>
      <w:r w:rsidRPr="007E76D1">
        <w:t>Liaise with external suppliers, other Agencies and other areas of this Agency involved in the implementation of changes impacted by specific projects.</w:t>
      </w:r>
    </w:p>
    <w:p w:rsidR="00FF12A2" w:rsidRPr="003B0C19" w:rsidRDefault="00FF12A2" w:rsidP="00641501">
      <w:pPr>
        <w:pStyle w:val="ListBullet"/>
      </w:pPr>
      <w:r w:rsidRPr="003B0C19">
        <w:t>The incumbent can expect to be allocated duties, not specifically mentioned in this document, that are within the capacity, qualifications and experience normally expected from persons occupying positions at this classification level.</w:t>
      </w:r>
    </w:p>
    <w:p w:rsidR="00CD40EF" w:rsidRPr="003B0C19" w:rsidRDefault="00C322B8" w:rsidP="0095272E">
      <w:pPr>
        <w:pStyle w:val="Heading3"/>
      </w:pPr>
      <w:r w:rsidRPr="003B0C19">
        <w:t>Level of responsibility</w:t>
      </w:r>
    </w:p>
    <w:p w:rsidR="0007637C" w:rsidRPr="003B0C19" w:rsidRDefault="0007637C" w:rsidP="00641501">
      <w:pPr>
        <w:pStyle w:val="ListBullet"/>
      </w:pPr>
      <w:r w:rsidRPr="003B0C19">
        <w:t xml:space="preserve">The occupant is expected to act on their own initiative with regard to day-to-day activities.  </w:t>
      </w:r>
    </w:p>
    <w:p w:rsidR="0007637C" w:rsidRPr="003B0C19" w:rsidRDefault="0007637C" w:rsidP="00641501">
      <w:pPr>
        <w:pStyle w:val="ListBullet"/>
      </w:pPr>
      <w:r w:rsidRPr="003B0C19">
        <w:t>Exercise of independent judgement to resolve complex system issues.</w:t>
      </w:r>
    </w:p>
    <w:p w:rsidR="007668D0" w:rsidRPr="003B0C19" w:rsidRDefault="007668D0" w:rsidP="00641501">
      <w:pPr>
        <w:pStyle w:val="ListBullet"/>
      </w:pPr>
      <w:r w:rsidRPr="003B0C19">
        <w:t>Conduct your work in a safe manner such that it does not put yourself or others at risk.</w:t>
      </w:r>
    </w:p>
    <w:p w:rsidR="007668D0" w:rsidRPr="003B0C19" w:rsidRDefault="007668D0" w:rsidP="00641501">
      <w:pPr>
        <w:pStyle w:val="ListBullet"/>
      </w:pPr>
      <w:r w:rsidRPr="003B0C19">
        <w:t>Comply with any reasonable instruction contained in WHS policies, procedures and instructions and report hazards, near misses and incidents to your supervisors.</w:t>
      </w:r>
    </w:p>
    <w:p w:rsidR="00B0084B" w:rsidRPr="003B0C19" w:rsidRDefault="00B0084B" w:rsidP="0095272E">
      <w:pPr>
        <w:pStyle w:val="Heading3"/>
      </w:pPr>
      <w:r w:rsidRPr="003B0C19">
        <w:t>Direction and supervision received</w:t>
      </w:r>
    </w:p>
    <w:p w:rsidR="00EB697A" w:rsidRPr="007E76D1" w:rsidRDefault="00EB697A" w:rsidP="007E76D1">
      <w:pPr>
        <w:pStyle w:val="ListParagraph"/>
        <w:numPr>
          <w:ilvl w:val="0"/>
          <w:numId w:val="34"/>
        </w:numPr>
        <w:jc w:val="both"/>
        <w:rPr>
          <w:rFonts w:cs="Gill Sans MT"/>
        </w:rPr>
      </w:pPr>
      <w:r w:rsidRPr="007E76D1">
        <w:rPr>
          <w:rFonts w:cs="Gill Sans MT"/>
        </w:rPr>
        <w:t>Works with minimal supervision and with only broad direction from the</w:t>
      </w:r>
      <w:r w:rsidR="003A2576" w:rsidRPr="007E76D1">
        <w:rPr>
          <w:rFonts w:cs="Gill Sans MT"/>
        </w:rPr>
        <w:t xml:space="preserve"> Business Analyst Team Leader</w:t>
      </w:r>
      <w:r w:rsidR="00433060" w:rsidRPr="007E76D1">
        <w:rPr>
          <w:rFonts w:cs="Gill Sans MT"/>
        </w:rPr>
        <w:t>, Justice Connect</w:t>
      </w:r>
      <w:r w:rsidRPr="007E76D1">
        <w:rPr>
          <w:rFonts w:cs="Gill Sans MT"/>
        </w:rPr>
        <w:t xml:space="preserve">. Direction on specific requirements for the project products will be provided by the </w:t>
      </w:r>
      <w:r w:rsidR="003A2576" w:rsidRPr="007E76D1">
        <w:rPr>
          <w:rFonts w:cs="Gill Sans MT"/>
        </w:rPr>
        <w:t>Business Analyst Team Leader</w:t>
      </w:r>
      <w:r w:rsidRPr="007E76D1">
        <w:rPr>
          <w:rFonts w:cs="Gill Sans MT"/>
        </w:rPr>
        <w:t>.</w:t>
      </w:r>
    </w:p>
    <w:p w:rsidR="00C322B8" w:rsidRPr="0027445A" w:rsidRDefault="00C322B8" w:rsidP="0027445A">
      <w:pPr>
        <w:pStyle w:val="Heading2"/>
      </w:pPr>
      <w:r w:rsidRPr="0027445A">
        <w:t xml:space="preserve">Selection </w:t>
      </w:r>
      <w:r w:rsidR="003A2576">
        <w:t>C</w:t>
      </w:r>
      <w:r w:rsidRPr="0027445A">
        <w:t>riteria</w:t>
      </w:r>
    </w:p>
    <w:p w:rsidR="00A652E5" w:rsidRPr="00214257" w:rsidRDefault="00C322B8" w:rsidP="00A652E5">
      <w:pPr>
        <w:rPr>
          <w:rFonts w:cs="Arial"/>
          <w:szCs w:val="22"/>
        </w:rPr>
      </w:pPr>
      <w:r w:rsidRPr="00214257">
        <w:rPr>
          <w:rFonts w:cs="Arial"/>
          <w:szCs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rsidR="00EB697A" w:rsidRPr="00214257" w:rsidRDefault="00EB697A" w:rsidP="00EB697A">
      <w:pPr>
        <w:numPr>
          <w:ilvl w:val="0"/>
          <w:numId w:val="16"/>
        </w:numPr>
        <w:tabs>
          <w:tab w:val="clear" w:pos="720"/>
          <w:tab w:val="num" w:pos="360"/>
        </w:tabs>
        <w:ind w:left="360"/>
        <w:jc w:val="both"/>
        <w:rPr>
          <w:rFonts w:cs="Gill Sans MT"/>
          <w:szCs w:val="22"/>
        </w:rPr>
      </w:pPr>
      <w:r w:rsidRPr="00214257">
        <w:rPr>
          <w:rFonts w:cs="Gill Sans MT"/>
          <w:szCs w:val="22"/>
        </w:rPr>
        <w:t>Highly developed conceptual and analytical skills, with specific reference to the area of business analysis of government service delivery processes, information systems and interfaces.</w:t>
      </w:r>
    </w:p>
    <w:p w:rsidR="00EB697A" w:rsidRPr="00214257" w:rsidRDefault="00EB697A" w:rsidP="00EB697A">
      <w:pPr>
        <w:numPr>
          <w:ilvl w:val="0"/>
          <w:numId w:val="16"/>
        </w:numPr>
        <w:tabs>
          <w:tab w:val="clear" w:pos="720"/>
          <w:tab w:val="num" w:pos="360"/>
        </w:tabs>
        <w:ind w:left="360"/>
        <w:jc w:val="both"/>
        <w:rPr>
          <w:rFonts w:cs="Gill Sans MT"/>
          <w:szCs w:val="22"/>
        </w:rPr>
      </w:pPr>
      <w:r w:rsidRPr="00214257">
        <w:rPr>
          <w:rFonts w:cs="Gill Sans MT"/>
          <w:szCs w:val="22"/>
        </w:rPr>
        <w:lastRenderedPageBreak/>
        <w:t>High level interpersonal, negotiation and communication skills, particularly in the context of change management.</w:t>
      </w:r>
    </w:p>
    <w:p w:rsidR="00EB697A" w:rsidRPr="00214257" w:rsidRDefault="00EB697A" w:rsidP="00EB697A">
      <w:pPr>
        <w:numPr>
          <w:ilvl w:val="0"/>
          <w:numId w:val="16"/>
        </w:numPr>
        <w:tabs>
          <w:tab w:val="clear" w:pos="720"/>
          <w:tab w:val="num" w:pos="360"/>
        </w:tabs>
        <w:ind w:left="360"/>
        <w:jc w:val="both"/>
        <w:rPr>
          <w:rFonts w:cs="Gill Sans MT"/>
          <w:szCs w:val="22"/>
        </w:rPr>
      </w:pPr>
      <w:r w:rsidRPr="00214257">
        <w:rPr>
          <w:rFonts w:cs="Gill Sans MT"/>
          <w:szCs w:val="22"/>
        </w:rPr>
        <w:t>Demonstrated capacity to organise, plan and undertake business analysis and investigations together with the ability to develop innovative solutions to complex problems.</w:t>
      </w:r>
    </w:p>
    <w:p w:rsidR="00EB697A" w:rsidRPr="00214257" w:rsidRDefault="00EB697A" w:rsidP="00EB697A">
      <w:pPr>
        <w:numPr>
          <w:ilvl w:val="0"/>
          <w:numId w:val="16"/>
        </w:numPr>
        <w:tabs>
          <w:tab w:val="clear" w:pos="720"/>
          <w:tab w:val="num" w:pos="360"/>
        </w:tabs>
        <w:ind w:left="360"/>
        <w:jc w:val="both"/>
        <w:rPr>
          <w:rFonts w:cs="Gill Sans MT"/>
          <w:szCs w:val="22"/>
        </w:rPr>
      </w:pPr>
      <w:r w:rsidRPr="00214257">
        <w:rPr>
          <w:rFonts w:cs="Gill Sans MT"/>
          <w:szCs w:val="22"/>
        </w:rPr>
        <w:t>Proven self-management skills including a demonstrated capacity to work to strict deadlines, flexibility, problem solving and excellent organisation skills.</w:t>
      </w:r>
    </w:p>
    <w:p w:rsidR="00EB697A" w:rsidRPr="00214257" w:rsidRDefault="00EB697A" w:rsidP="00EB697A">
      <w:pPr>
        <w:numPr>
          <w:ilvl w:val="0"/>
          <w:numId w:val="16"/>
        </w:numPr>
        <w:tabs>
          <w:tab w:val="clear" w:pos="720"/>
          <w:tab w:val="num" w:pos="360"/>
        </w:tabs>
        <w:ind w:left="360"/>
        <w:jc w:val="both"/>
        <w:rPr>
          <w:rFonts w:cs="Gill Sans MT"/>
          <w:szCs w:val="22"/>
        </w:rPr>
      </w:pPr>
      <w:r w:rsidRPr="00214257">
        <w:rPr>
          <w:rFonts w:cs="Gill Sans MT"/>
          <w:szCs w:val="22"/>
        </w:rPr>
        <w:t>Demonstrated knowledge of project management and the ability to undertake or assist at a high level in projects of high complexity and priority.</w:t>
      </w:r>
    </w:p>
    <w:p w:rsidR="00EB697A" w:rsidRPr="00214257" w:rsidRDefault="00EB697A" w:rsidP="00EB697A">
      <w:pPr>
        <w:numPr>
          <w:ilvl w:val="0"/>
          <w:numId w:val="16"/>
        </w:numPr>
        <w:tabs>
          <w:tab w:val="clear" w:pos="720"/>
          <w:tab w:val="num" w:pos="360"/>
        </w:tabs>
        <w:ind w:left="360"/>
        <w:jc w:val="both"/>
        <w:rPr>
          <w:rFonts w:cs="Gill Sans MT"/>
          <w:szCs w:val="22"/>
        </w:rPr>
      </w:pPr>
      <w:r w:rsidRPr="00214257">
        <w:rPr>
          <w:rFonts w:cs="Gill Sans MT"/>
          <w:szCs w:val="22"/>
        </w:rPr>
        <w:t>Knowledge or experience of interpreting legislative and statutory requirements and creating business processes to ensure compliance with those requirements or the ability to acquire this in a short timeframe.</w:t>
      </w:r>
    </w:p>
    <w:p w:rsidR="00C322B8" w:rsidRPr="0027445A" w:rsidRDefault="00C322B8" w:rsidP="0027445A">
      <w:pPr>
        <w:pStyle w:val="Heading2"/>
      </w:pPr>
      <w:r w:rsidRPr="0027445A">
        <w:t>Working environment</w:t>
      </w:r>
    </w:p>
    <w:p w:rsidR="008702FF" w:rsidRPr="00214257" w:rsidRDefault="008702FF" w:rsidP="008702FF">
      <w:pPr>
        <w:jc w:val="both"/>
        <w:rPr>
          <w:rFonts w:cs="Arial"/>
          <w:szCs w:val="22"/>
        </w:rPr>
      </w:pPr>
      <w:r w:rsidRPr="00214257">
        <w:rPr>
          <w:rFonts w:cs="Arial"/>
          <w:szCs w:val="22"/>
        </w:rPr>
        <w:t xml:space="preserve">Employment in the State Service is governed by the </w:t>
      </w:r>
      <w:r w:rsidRPr="00214257">
        <w:rPr>
          <w:rFonts w:cs="Arial"/>
          <w:i/>
          <w:szCs w:val="22"/>
        </w:rPr>
        <w:t>State Service Act 2000</w:t>
      </w:r>
      <w:r w:rsidRPr="00214257">
        <w:rPr>
          <w:rFonts w:cs="Arial"/>
          <w:szCs w:val="22"/>
        </w:rPr>
        <w:t>. Both employees and officers are required to uphold and comply with the State Service Principles (Section 7) and the Code of Conduct (section 9)</w:t>
      </w:r>
      <w:r w:rsidRPr="00214257">
        <w:rPr>
          <w:rFonts w:cs="Arial"/>
          <w:color w:val="000000"/>
          <w:szCs w:val="22"/>
        </w:rPr>
        <w:t xml:space="preserve">. </w:t>
      </w:r>
      <w:r w:rsidRPr="00214257">
        <w:rPr>
          <w:rFonts w:cs="Arial"/>
          <w:szCs w:val="22"/>
        </w:rPr>
        <w:t xml:space="preserve">In particular the expectations are as follows:  </w:t>
      </w:r>
    </w:p>
    <w:p w:rsidR="008702FF" w:rsidRPr="00214257" w:rsidRDefault="008702FF" w:rsidP="008702FF">
      <w:pPr>
        <w:shd w:val="clear" w:color="auto" w:fill="FFFFFF"/>
        <w:spacing w:before="100" w:beforeAutospacing="1" w:after="100" w:afterAutospacing="1"/>
        <w:rPr>
          <w:rFonts w:cs="Arial"/>
          <w:szCs w:val="22"/>
          <w:lang w:eastAsia="en-AU"/>
        </w:rPr>
      </w:pPr>
      <w:r w:rsidRPr="00214257">
        <w:rPr>
          <w:rFonts w:cs="Arial"/>
          <w:szCs w:val="22"/>
          <w:lang w:eastAsia="en-AU"/>
        </w:rPr>
        <w:t>Department of Justice state service employees:</w:t>
      </w:r>
    </w:p>
    <w:p w:rsidR="008702FF" w:rsidRPr="00214257" w:rsidRDefault="008648E8" w:rsidP="00641501">
      <w:pPr>
        <w:pStyle w:val="ListBullet"/>
      </w:pPr>
      <w:r w:rsidRPr="00214257">
        <w:t>T</w:t>
      </w:r>
      <w:r w:rsidR="008702FF" w:rsidRPr="00214257">
        <w:t>reat all users of our services with respect and courtesy;</w:t>
      </w:r>
    </w:p>
    <w:p w:rsidR="008702FF" w:rsidRPr="00214257" w:rsidRDefault="008648E8" w:rsidP="00641501">
      <w:pPr>
        <w:pStyle w:val="ListBullet"/>
      </w:pPr>
      <w:r w:rsidRPr="00214257">
        <w:t>L</w:t>
      </w:r>
      <w:r w:rsidR="008702FF" w:rsidRPr="00214257">
        <w:t>isten to what users of our services have to say;</w:t>
      </w:r>
    </w:p>
    <w:p w:rsidR="008702FF" w:rsidRPr="00214257" w:rsidRDefault="008648E8" w:rsidP="00641501">
      <w:pPr>
        <w:pStyle w:val="ListBullet"/>
      </w:pPr>
      <w:r w:rsidRPr="00214257">
        <w:t>P</w:t>
      </w:r>
      <w:r w:rsidR="008702FF" w:rsidRPr="00214257">
        <w:t>ersonalise services to the needs and circumstances of each user of our services where practical</w:t>
      </w:r>
      <w:r w:rsidR="009D014B" w:rsidRPr="00214257">
        <w:t>;</w:t>
      </w:r>
    </w:p>
    <w:p w:rsidR="008702FF" w:rsidRPr="00214257" w:rsidRDefault="008648E8" w:rsidP="00641501">
      <w:pPr>
        <w:pStyle w:val="ListBullet"/>
      </w:pPr>
      <w:r w:rsidRPr="00214257">
        <w:t>A</w:t>
      </w:r>
      <w:r w:rsidR="008702FF" w:rsidRPr="00214257">
        <w:t>lways do what they say they are going to do, or update the appropriate people promptly if things change, offering an explanation for the change</w:t>
      </w:r>
      <w:r w:rsidR="009D014B" w:rsidRPr="00214257">
        <w:t>;</w:t>
      </w:r>
    </w:p>
    <w:p w:rsidR="008702FF" w:rsidRPr="00214257" w:rsidRDefault="008648E8" w:rsidP="00641501">
      <w:pPr>
        <w:pStyle w:val="ListBullet"/>
      </w:pPr>
      <w:r w:rsidRPr="00214257">
        <w:t>R</w:t>
      </w:r>
      <w:r w:rsidR="008702FF" w:rsidRPr="00214257">
        <w:t>espond to enquiries promptly and efficiently</w:t>
      </w:r>
      <w:r w:rsidR="009D014B" w:rsidRPr="00214257">
        <w:t>; and</w:t>
      </w:r>
    </w:p>
    <w:p w:rsidR="008702FF" w:rsidRPr="00214257" w:rsidRDefault="008648E8" w:rsidP="00641501">
      <w:pPr>
        <w:pStyle w:val="ListBullet"/>
      </w:pPr>
      <w:r w:rsidRPr="00214257">
        <w:t>C</w:t>
      </w:r>
      <w:r w:rsidR="008702FF" w:rsidRPr="00214257">
        <w:t>onsult the public and users of our services about their service needs</w:t>
      </w:r>
      <w:r w:rsidR="009D014B" w:rsidRPr="00214257">
        <w:t>.</w:t>
      </w:r>
    </w:p>
    <w:p w:rsidR="008702FF" w:rsidRPr="00214257" w:rsidRDefault="008702FF" w:rsidP="008702FF">
      <w:pPr>
        <w:shd w:val="clear" w:color="auto" w:fill="FFFFFF"/>
        <w:spacing w:before="100" w:beforeAutospacing="1" w:after="100" w:afterAutospacing="1"/>
        <w:rPr>
          <w:rFonts w:cs="Arial"/>
          <w:szCs w:val="22"/>
          <w:lang w:eastAsia="en-AU"/>
        </w:rPr>
      </w:pPr>
      <w:r w:rsidRPr="00214257">
        <w:rPr>
          <w:rFonts w:cs="Arial"/>
          <w:szCs w:val="22"/>
          <w:lang w:eastAsia="en-AU"/>
        </w:rPr>
        <w:t>The minimum standard of behaviour expected of all Department of Justice employees is to:</w:t>
      </w:r>
    </w:p>
    <w:p w:rsidR="008702FF" w:rsidRPr="00214257" w:rsidRDefault="008648E8" w:rsidP="00641501">
      <w:pPr>
        <w:pStyle w:val="ListBullet"/>
      </w:pPr>
      <w:r w:rsidRPr="00214257">
        <w:t>C</w:t>
      </w:r>
      <w:r w:rsidR="008702FF" w:rsidRPr="00214257">
        <w:t>onsider people equally without prejudice or favour</w:t>
      </w:r>
      <w:r w:rsidR="009D014B" w:rsidRPr="00214257">
        <w:t>.</w:t>
      </w:r>
    </w:p>
    <w:p w:rsidR="008702FF" w:rsidRPr="00214257" w:rsidRDefault="008702FF" w:rsidP="00641501">
      <w:pPr>
        <w:pStyle w:val="ListBullet"/>
      </w:pPr>
      <w:r w:rsidRPr="00214257">
        <w:t>Act professionally with honesty, consistency and impartiality</w:t>
      </w:r>
      <w:r w:rsidR="009D014B" w:rsidRPr="00214257">
        <w:t>.</w:t>
      </w:r>
    </w:p>
    <w:p w:rsidR="008702FF" w:rsidRPr="00214257" w:rsidRDefault="008702FF" w:rsidP="00641501">
      <w:pPr>
        <w:pStyle w:val="ListBullet"/>
      </w:pPr>
      <w:r w:rsidRPr="00214257">
        <w:t>Take responsibility for situations, showing leadership and courage</w:t>
      </w:r>
      <w:r w:rsidR="009D014B" w:rsidRPr="00214257">
        <w:t>.</w:t>
      </w:r>
    </w:p>
    <w:p w:rsidR="008702FF" w:rsidRPr="00214257" w:rsidRDefault="008702FF" w:rsidP="00641501">
      <w:pPr>
        <w:pStyle w:val="ListBullet"/>
      </w:pPr>
      <w:r w:rsidRPr="00214257">
        <w:t>Place the public interest over personal interest</w:t>
      </w:r>
      <w:r w:rsidR="009D014B" w:rsidRPr="00214257">
        <w:t>.</w:t>
      </w:r>
    </w:p>
    <w:p w:rsidR="008702FF" w:rsidRPr="00214257" w:rsidRDefault="008702FF" w:rsidP="00641501">
      <w:pPr>
        <w:pStyle w:val="ListBullet"/>
      </w:pPr>
      <w:r w:rsidRPr="00214257">
        <w:t>Appreciate difference and welcome learning from others</w:t>
      </w:r>
      <w:r w:rsidR="009D014B" w:rsidRPr="00214257">
        <w:t>.</w:t>
      </w:r>
    </w:p>
    <w:p w:rsidR="008702FF" w:rsidRPr="00214257" w:rsidRDefault="008702FF" w:rsidP="00641501">
      <w:pPr>
        <w:pStyle w:val="ListBullet"/>
      </w:pPr>
      <w:r w:rsidRPr="00214257">
        <w:t>Uphold the law, institutions of government and democratic principles</w:t>
      </w:r>
      <w:r w:rsidR="009D014B" w:rsidRPr="00214257">
        <w:t>.</w:t>
      </w:r>
    </w:p>
    <w:p w:rsidR="008702FF" w:rsidRPr="00214257" w:rsidRDefault="008702FF" w:rsidP="00641501">
      <w:pPr>
        <w:pStyle w:val="ListBullet"/>
      </w:pPr>
      <w:r w:rsidRPr="00214257">
        <w:t>Communicate intentions clearly and invite teamwork and collaboration</w:t>
      </w:r>
      <w:r w:rsidR="009D014B" w:rsidRPr="00214257">
        <w:t>.</w:t>
      </w:r>
    </w:p>
    <w:p w:rsidR="008702FF" w:rsidRPr="00214257" w:rsidRDefault="008702FF" w:rsidP="00641501">
      <w:pPr>
        <w:pStyle w:val="ListBullet"/>
      </w:pPr>
      <w:r w:rsidRPr="00214257">
        <w:t>Provide transparency to enable public scrutiny</w:t>
      </w:r>
      <w:r w:rsidR="009D014B" w:rsidRPr="00214257">
        <w:t>.</w:t>
      </w:r>
    </w:p>
    <w:p w:rsidR="008702FF" w:rsidRPr="00214257" w:rsidRDefault="008702FF" w:rsidP="00641501">
      <w:pPr>
        <w:pStyle w:val="ListBullet"/>
      </w:pPr>
      <w:r w:rsidRPr="00214257">
        <w:t>Be fiscally responsible and focus on efficient, effective and prudent use of resources</w:t>
      </w:r>
      <w:r w:rsidR="009D014B" w:rsidRPr="00214257">
        <w:t>.</w:t>
      </w:r>
    </w:p>
    <w:p w:rsidR="008702FF" w:rsidRPr="00214257" w:rsidRDefault="008702FF" w:rsidP="00996CC1">
      <w:pPr>
        <w:jc w:val="both"/>
        <w:rPr>
          <w:rFonts w:cs="Arial"/>
          <w:szCs w:val="22"/>
        </w:rPr>
      </w:pPr>
      <w:r w:rsidRPr="00214257">
        <w:rPr>
          <w:rFonts w:cs="Arial"/>
          <w:szCs w:val="22"/>
        </w:rPr>
        <w:lastRenderedPageBreak/>
        <w:t>Further information about employee expectations is on the Department of Justice Intranet site under Statement of Intent.</w:t>
      </w:r>
    </w:p>
    <w:p w:rsidR="00764E32" w:rsidRDefault="008702FF" w:rsidP="00996CC1">
      <w:pPr>
        <w:jc w:val="both"/>
        <w:rPr>
          <w:rFonts w:cs="Arial"/>
          <w:szCs w:val="22"/>
        </w:rPr>
      </w:pPr>
      <w:r w:rsidRPr="00214257">
        <w:rPr>
          <w:rFonts w:cs="Arial"/>
          <w:szCs w:val="22"/>
        </w:rPr>
        <w:t>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w:t>
      </w:r>
      <w:bookmarkStart w:id="0" w:name="_GoBack"/>
      <w:bookmarkEnd w:id="0"/>
      <w:r w:rsidRPr="00214257">
        <w:rPr>
          <w:rFonts w:cs="Arial"/>
          <w:szCs w:val="22"/>
        </w:rPr>
        <w:t xml:space="preserve">an contribute to the capacity of a person to perform the inherent requirements of the duties. </w:t>
      </w:r>
    </w:p>
    <w:p w:rsidR="00764E32" w:rsidRPr="00764E32" w:rsidRDefault="00764E32" w:rsidP="00764E32">
      <w:pPr>
        <w:shd w:val="clear" w:color="auto" w:fill="FFFFFF"/>
        <w:spacing w:before="100" w:beforeAutospacing="1" w:after="100" w:afterAutospacing="1" w:line="276" w:lineRule="auto"/>
        <w:jc w:val="both"/>
        <w:rPr>
          <w:rFonts w:cs="Arial"/>
          <w:szCs w:val="22"/>
        </w:rPr>
      </w:pPr>
      <w:r w:rsidRPr="00764E32">
        <w:rPr>
          <w:rFonts w:cs="Arial"/>
          <w:szCs w:val="22"/>
        </w:rPr>
        <w:t xml:space="preserve">DoJ has a zero tolerance approach to violence*, including any form of family violence. DoJ takes an active role in supporting employees and their families and is committed to providing a workplace that promotes safety and wellbeing of all employees. </w:t>
      </w:r>
    </w:p>
    <w:p w:rsidR="00764E32" w:rsidRPr="00772F4F" w:rsidRDefault="00764E32" w:rsidP="00764E32">
      <w:pPr>
        <w:shd w:val="clear" w:color="auto" w:fill="FFFFFF"/>
        <w:spacing w:before="100" w:beforeAutospacing="1" w:after="100" w:afterAutospacing="1" w:line="276" w:lineRule="auto"/>
        <w:jc w:val="both"/>
        <w:rPr>
          <w:rFonts w:cs="Arial"/>
          <w:i/>
          <w:sz w:val="22"/>
          <w:szCs w:val="22"/>
        </w:rPr>
      </w:pPr>
      <w:r w:rsidRPr="00772F4F">
        <w:rPr>
          <w:rFonts w:cs="Arial"/>
          <w:i/>
          <w:sz w:val="22"/>
          <w:szCs w:val="22"/>
        </w:rPr>
        <w:t>*The Department accepts the Tasmanian legal definition of violence</w:t>
      </w:r>
    </w:p>
    <w:p w:rsidR="008702FF" w:rsidRPr="00214257" w:rsidRDefault="008702FF" w:rsidP="00996CC1">
      <w:pPr>
        <w:jc w:val="both"/>
        <w:rPr>
          <w:rFonts w:cs="Arial"/>
          <w:szCs w:val="22"/>
        </w:rPr>
      </w:pPr>
      <w:r w:rsidRPr="00214257">
        <w:rPr>
          <w:rFonts w:cs="Arial"/>
          <w:szCs w:val="22"/>
        </w:rPr>
        <w:t>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214257" w:rsidRDefault="008702FF" w:rsidP="008702FF">
      <w:pPr>
        <w:jc w:val="both"/>
        <w:rPr>
          <w:rFonts w:cs="Arial"/>
          <w:szCs w:val="22"/>
        </w:rPr>
      </w:pPr>
      <w:r w:rsidRPr="00214257">
        <w:rPr>
          <w:rFonts w:cs="Arial"/>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C322B8" w:rsidRPr="00214257" w:rsidRDefault="008702FF" w:rsidP="008702FF">
      <w:pPr>
        <w:jc w:val="both"/>
        <w:rPr>
          <w:rFonts w:cs="Arial"/>
          <w:szCs w:val="22"/>
        </w:rPr>
      </w:pPr>
      <w:r w:rsidRPr="00214257">
        <w:rPr>
          <w:rFonts w:cs="Arial"/>
          <w:szCs w:val="22"/>
        </w:rPr>
        <w:t>Smoking is prohibited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C1235D" w:rsidRPr="00214257" w:rsidRDefault="008A6BF4" w:rsidP="00641501">
      <w:pPr>
        <w:pStyle w:val="ListBullet"/>
      </w:pPr>
      <w:r w:rsidRPr="00214257">
        <w:t>Nil</w:t>
      </w:r>
    </w:p>
    <w:p w:rsidR="008A6BF4" w:rsidRDefault="007918C6" w:rsidP="008A6BF4">
      <w:pPr>
        <w:pStyle w:val="Heading3"/>
      </w:pPr>
      <w:r w:rsidRPr="0027445A">
        <w:t>Desirable</w:t>
      </w:r>
      <w:r w:rsidR="003928FD">
        <w:t xml:space="preserve"> requirements</w:t>
      </w:r>
    </w:p>
    <w:p w:rsidR="003928FD" w:rsidRDefault="00502E37" w:rsidP="00641501">
      <w:pPr>
        <w:pStyle w:val="ListBullet"/>
      </w:pPr>
      <w:r>
        <w:t>R</w:t>
      </w:r>
      <w:r w:rsidR="00474AFE">
        <w:t>elevant tertiary qualifications</w:t>
      </w:r>
    </w:p>
    <w:p w:rsidR="0007637C" w:rsidRPr="00764E32" w:rsidRDefault="00CB5C6C" w:rsidP="00764E32">
      <w:pPr>
        <w:pStyle w:val="ListBullet"/>
      </w:pPr>
      <w:r>
        <w:t>Experience working with agile methodologies</w:t>
      </w:r>
    </w:p>
    <w:p w:rsidR="0007637C" w:rsidRPr="00764E32" w:rsidRDefault="0007637C" w:rsidP="00764E32">
      <w:pPr>
        <w:pStyle w:val="Heading2"/>
      </w:pPr>
      <w:r w:rsidRPr="00764E32">
        <w:t>Pre-Employment Checks</w:t>
      </w:r>
    </w:p>
    <w:p w:rsidR="0007637C" w:rsidRPr="00214257" w:rsidRDefault="0007637C" w:rsidP="0007637C">
      <w:pPr>
        <w:spacing w:before="40" w:after="40"/>
        <w:rPr>
          <w:rFonts w:cs="Arial"/>
          <w:szCs w:val="22"/>
        </w:rPr>
      </w:pPr>
      <w:r w:rsidRPr="00214257">
        <w:rPr>
          <w:rFonts w:cs="Arial"/>
          <w:szCs w:val="22"/>
        </w:rPr>
        <w:t>The Head of the State Service has determined that the person nominated for this position is to satisfy a pre-employment check before taking up the appointment, promotion or transfer.</w:t>
      </w:r>
    </w:p>
    <w:p w:rsidR="0007637C" w:rsidRPr="00214257" w:rsidRDefault="0007637C" w:rsidP="0007637C">
      <w:pPr>
        <w:spacing w:before="40" w:after="40"/>
        <w:rPr>
          <w:rFonts w:cs="Arial"/>
          <w:szCs w:val="22"/>
        </w:rPr>
      </w:pPr>
    </w:p>
    <w:p w:rsidR="0007637C" w:rsidRPr="00214257" w:rsidRDefault="0007637C" w:rsidP="0007637C">
      <w:pPr>
        <w:spacing w:before="40" w:after="40"/>
        <w:rPr>
          <w:rFonts w:cs="Arial"/>
          <w:szCs w:val="22"/>
        </w:rPr>
      </w:pPr>
      <w:r w:rsidRPr="00214257">
        <w:rPr>
          <w:rFonts w:cs="Arial"/>
          <w:szCs w:val="22"/>
        </w:rPr>
        <w:t>The following checks are to be conducted:</w:t>
      </w:r>
    </w:p>
    <w:p w:rsidR="0007637C" w:rsidRPr="00214257" w:rsidRDefault="0007637C" w:rsidP="0007637C">
      <w:pPr>
        <w:rPr>
          <w:rFonts w:cs="Arial"/>
          <w:szCs w:val="22"/>
        </w:rPr>
      </w:pPr>
      <w:r w:rsidRPr="00214257">
        <w:rPr>
          <w:rFonts w:cs="Arial"/>
          <w:szCs w:val="22"/>
        </w:rPr>
        <w:t>1. Pre-employment checks</w:t>
      </w:r>
    </w:p>
    <w:p w:rsidR="0007637C" w:rsidRPr="00214257" w:rsidRDefault="0007637C" w:rsidP="0007637C">
      <w:pPr>
        <w:numPr>
          <w:ilvl w:val="0"/>
          <w:numId w:val="24"/>
        </w:numPr>
        <w:spacing w:before="60" w:after="60"/>
        <w:jc w:val="both"/>
        <w:rPr>
          <w:rFonts w:cs="Arial"/>
          <w:szCs w:val="22"/>
        </w:rPr>
      </w:pPr>
      <w:r w:rsidRPr="00214257">
        <w:rPr>
          <w:rFonts w:cs="Arial"/>
          <w:szCs w:val="22"/>
        </w:rPr>
        <w:t>Arson and fire setting</w:t>
      </w:r>
    </w:p>
    <w:p w:rsidR="0007637C" w:rsidRPr="00214257" w:rsidRDefault="0007637C" w:rsidP="0007637C">
      <w:pPr>
        <w:numPr>
          <w:ilvl w:val="0"/>
          <w:numId w:val="24"/>
        </w:numPr>
        <w:spacing w:before="60" w:after="60"/>
        <w:jc w:val="both"/>
        <w:rPr>
          <w:rFonts w:cs="Arial"/>
          <w:szCs w:val="22"/>
        </w:rPr>
      </w:pPr>
      <w:r w:rsidRPr="00214257">
        <w:rPr>
          <w:rFonts w:cs="Arial"/>
          <w:szCs w:val="22"/>
        </w:rPr>
        <w:t>Violent crimes and crimes against the person</w:t>
      </w:r>
    </w:p>
    <w:p w:rsidR="0007637C" w:rsidRPr="00214257" w:rsidRDefault="0007637C" w:rsidP="0007637C">
      <w:pPr>
        <w:numPr>
          <w:ilvl w:val="0"/>
          <w:numId w:val="24"/>
        </w:numPr>
        <w:spacing w:before="60" w:after="60"/>
        <w:jc w:val="both"/>
        <w:rPr>
          <w:rFonts w:cs="Arial"/>
          <w:szCs w:val="22"/>
        </w:rPr>
      </w:pPr>
      <w:r w:rsidRPr="00214257">
        <w:rPr>
          <w:rFonts w:cs="Arial"/>
          <w:szCs w:val="22"/>
        </w:rPr>
        <w:t>Sex-related offences</w:t>
      </w:r>
    </w:p>
    <w:p w:rsidR="0007637C" w:rsidRPr="00214257" w:rsidRDefault="0007637C" w:rsidP="0007637C">
      <w:pPr>
        <w:numPr>
          <w:ilvl w:val="0"/>
          <w:numId w:val="24"/>
        </w:numPr>
        <w:spacing w:before="60" w:after="60"/>
        <w:jc w:val="both"/>
        <w:rPr>
          <w:rFonts w:cs="Arial"/>
          <w:szCs w:val="22"/>
        </w:rPr>
      </w:pPr>
      <w:r w:rsidRPr="00214257">
        <w:rPr>
          <w:rFonts w:cs="Arial"/>
          <w:szCs w:val="22"/>
        </w:rPr>
        <w:t>Drug and alcohol related offences</w:t>
      </w:r>
    </w:p>
    <w:p w:rsidR="0007637C" w:rsidRPr="00214257" w:rsidRDefault="0007637C" w:rsidP="0007637C">
      <w:pPr>
        <w:numPr>
          <w:ilvl w:val="0"/>
          <w:numId w:val="24"/>
        </w:numPr>
        <w:spacing w:before="60" w:after="60"/>
        <w:jc w:val="both"/>
        <w:rPr>
          <w:rFonts w:cs="Arial"/>
          <w:szCs w:val="22"/>
        </w:rPr>
      </w:pPr>
      <w:r w:rsidRPr="00214257">
        <w:rPr>
          <w:rFonts w:cs="Arial"/>
          <w:szCs w:val="22"/>
        </w:rPr>
        <w:lastRenderedPageBreak/>
        <w:t>Crimes involving dishonesty</w:t>
      </w:r>
    </w:p>
    <w:p w:rsidR="0007637C" w:rsidRPr="00214257" w:rsidRDefault="0007637C" w:rsidP="0007637C">
      <w:pPr>
        <w:numPr>
          <w:ilvl w:val="0"/>
          <w:numId w:val="24"/>
        </w:numPr>
        <w:spacing w:before="60" w:after="60"/>
        <w:jc w:val="both"/>
        <w:rPr>
          <w:rFonts w:cs="Arial"/>
          <w:szCs w:val="22"/>
        </w:rPr>
      </w:pPr>
      <w:r w:rsidRPr="00214257">
        <w:rPr>
          <w:rFonts w:cs="Arial"/>
          <w:szCs w:val="22"/>
        </w:rPr>
        <w:t>Crimes involving deception</w:t>
      </w:r>
    </w:p>
    <w:p w:rsidR="0007637C" w:rsidRPr="00214257" w:rsidRDefault="0007637C" w:rsidP="0007637C">
      <w:pPr>
        <w:numPr>
          <w:ilvl w:val="0"/>
          <w:numId w:val="24"/>
        </w:numPr>
        <w:spacing w:before="60" w:after="60"/>
        <w:jc w:val="both"/>
        <w:rPr>
          <w:rFonts w:cs="Arial"/>
          <w:szCs w:val="22"/>
        </w:rPr>
      </w:pPr>
      <w:r w:rsidRPr="00214257">
        <w:rPr>
          <w:rFonts w:cs="Arial"/>
          <w:szCs w:val="22"/>
        </w:rPr>
        <w:t>Making false declarations</w:t>
      </w:r>
    </w:p>
    <w:p w:rsidR="0007637C" w:rsidRPr="00214257" w:rsidRDefault="0007637C" w:rsidP="0007637C">
      <w:pPr>
        <w:numPr>
          <w:ilvl w:val="0"/>
          <w:numId w:val="24"/>
        </w:numPr>
        <w:spacing w:before="60" w:after="60"/>
        <w:jc w:val="both"/>
        <w:rPr>
          <w:rFonts w:cs="Arial"/>
          <w:szCs w:val="22"/>
        </w:rPr>
      </w:pPr>
      <w:r w:rsidRPr="00214257">
        <w:rPr>
          <w:rFonts w:cs="Arial"/>
          <w:szCs w:val="22"/>
        </w:rPr>
        <w:t>Malicious damage and destruction to property</w:t>
      </w:r>
    </w:p>
    <w:p w:rsidR="0007637C" w:rsidRPr="00214257" w:rsidRDefault="0007637C" w:rsidP="0007637C">
      <w:pPr>
        <w:numPr>
          <w:ilvl w:val="0"/>
          <w:numId w:val="24"/>
        </w:numPr>
        <w:spacing w:before="60" w:after="60"/>
        <w:jc w:val="both"/>
        <w:rPr>
          <w:rFonts w:cs="Arial"/>
          <w:szCs w:val="22"/>
        </w:rPr>
      </w:pPr>
      <w:r w:rsidRPr="00214257">
        <w:rPr>
          <w:rFonts w:cs="Arial"/>
          <w:szCs w:val="22"/>
        </w:rPr>
        <w:t>Serious traffic offences</w:t>
      </w:r>
    </w:p>
    <w:p w:rsidR="0007637C" w:rsidRPr="00214257" w:rsidRDefault="0007637C" w:rsidP="0007637C">
      <w:pPr>
        <w:numPr>
          <w:ilvl w:val="0"/>
          <w:numId w:val="24"/>
        </w:numPr>
        <w:spacing w:before="60" w:after="60"/>
        <w:jc w:val="both"/>
        <w:rPr>
          <w:rFonts w:cs="Arial"/>
          <w:szCs w:val="22"/>
        </w:rPr>
      </w:pPr>
      <w:r w:rsidRPr="00214257">
        <w:rPr>
          <w:rFonts w:cs="Arial"/>
          <w:szCs w:val="22"/>
        </w:rPr>
        <w:t>Crimes against public order or relating to the Administration of Law and Justice</w:t>
      </w:r>
    </w:p>
    <w:p w:rsidR="0007637C" w:rsidRPr="00214257" w:rsidRDefault="0007637C" w:rsidP="0007637C">
      <w:pPr>
        <w:numPr>
          <w:ilvl w:val="0"/>
          <w:numId w:val="24"/>
        </w:numPr>
        <w:spacing w:before="60" w:after="60"/>
        <w:jc w:val="both"/>
        <w:rPr>
          <w:rFonts w:cs="Arial"/>
          <w:szCs w:val="22"/>
        </w:rPr>
      </w:pPr>
      <w:r w:rsidRPr="00214257">
        <w:rPr>
          <w:rFonts w:cs="Arial"/>
          <w:szCs w:val="22"/>
        </w:rPr>
        <w:t>Crimes against Executive or the Legislative Power</w:t>
      </w:r>
    </w:p>
    <w:p w:rsidR="0007637C" w:rsidRPr="00214257" w:rsidRDefault="0007637C" w:rsidP="0007637C">
      <w:pPr>
        <w:numPr>
          <w:ilvl w:val="0"/>
          <w:numId w:val="24"/>
        </w:numPr>
        <w:spacing w:before="60" w:after="60"/>
        <w:jc w:val="both"/>
        <w:rPr>
          <w:rFonts w:cs="Arial"/>
          <w:szCs w:val="22"/>
        </w:rPr>
      </w:pPr>
      <w:r w:rsidRPr="00214257">
        <w:rPr>
          <w:rFonts w:cs="Arial"/>
          <w:szCs w:val="22"/>
        </w:rPr>
        <w:t>Crimes involving Conspiracy.</w:t>
      </w:r>
    </w:p>
    <w:p w:rsidR="0007637C" w:rsidRPr="00214257" w:rsidRDefault="0007637C" w:rsidP="0007637C">
      <w:pPr>
        <w:spacing w:before="60" w:after="60"/>
        <w:jc w:val="both"/>
        <w:rPr>
          <w:rFonts w:cs="Arial"/>
          <w:szCs w:val="22"/>
        </w:rPr>
      </w:pPr>
      <w:r w:rsidRPr="00214257">
        <w:rPr>
          <w:rFonts w:cs="Arial"/>
          <w:szCs w:val="22"/>
        </w:rPr>
        <w:t>2. Disciplinary action in previous employment.</w:t>
      </w:r>
    </w:p>
    <w:p w:rsidR="0007637C" w:rsidRPr="00214257" w:rsidRDefault="0007637C" w:rsidP="0007637C">
      <w:pPr>
        <w:rPr>
          <w:rFonts w:cs="Arial"/>
          <w:szCs w:val="22"/>
        </w:rPr>
      </w:pPr>
      <w:r w:rsidRPr="00214257">
        <w:rPr>
          <w:rFonts w:cs="Arial"/>
          <w:szCs w:val="22"/>
        </w:rPr>
        <w:t>3. Identification check.</w:t>
      </w:r>
    </w:p>
    <w:p w:rsidR="0092433D" w:rsidRPr="00214257" w:rsidRDefault="0092433D" w:rsidP="0007637C">
      <w:pPr>
        <w:pStyle w:val="Heading2"/>
        <w:rPr>
          <w:sz w:val="24"/>
          <w:szCs w:val="22"/>
        </w:rPr>
      </w:pPr>
    </w:p>
    <w:sectPr w:rsidR="0092433D" w:rsidRPr="00214257" w:rsidSect="00171F3F">
      <w:headerReference w:type="first" r:id="rId9"/>
      <w:pgSz w:w="12240" w:h="15840" w:code="1"/>
      <w:pgMar w:top="1440" w:right="1418" w:bottom="1440" w:left="1418" w:header="709" w:footer="709"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B1" w:rsidRDefault="004815B1" w:rsidP="00967FD5">
      <w:r>
        <w:separator/>
      </w:r>
    </w:p>
  </w:endnote>
  <w:endnote w:type="continuationSeparator" w:id="0">
    <w:p w:rsidR="004815B1" w:rsidRDefault="004815B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B1" w:rsidRDefault="004815B1" w:rsidP="00967FD5">
      <w:r>
        <w:separator/>
      </w:r>
    </w:p>
  </w:footnote>
  <w:footnote w:type="continuationSeparator" w:id="0">
    <w:p w:rsidR="004815B1" w:rsidRDefault="004815B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3F" w:rsidRPr="00FE28E6" w:rsidRDefault="0056675D"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F3F"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789B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50D7D93"/>
    <w:multiLevelType w:val="hybridMultilevel"/>
    <w:tmpl w:val="01963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563B21"/>
    <w:multiLevelType w:val="hybridMultilevel"/>
    <w:tmpl w:val="48E286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08CCD24E"/>
    <w:lvl w:ilvl="0" w:tplc="9154AE8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31F58"/>
    <w:multiLevelType w:val="hybridMultilevel"/>
    <w:tmpl w:val="B810C642"/>
    <w:lvl w:ilvl="0" w:tplc="ED50B82A">
      <w:numFmt w:val="bullet"/>
      <w:lvlText w:val="-"/>
      <w:lvlJc w:val="left"/>
      <w:pPr>
        <w:ind w:left="1800" w:hanging="360"/>
      </w:pPr>
      <w:rPr>
        <w:rFonts w:ascii="Gill Sans MT" w:eastAsia="Cambria" w:hAnsi="Gill Sans MT"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23755AE"/>
    <w:multiLevelType w:val="hybridMultilevel"/>
    <w:tmpl w:val="6442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D75AE"/>
    <w:multiLevelType w:val="hybridMultilevel"/>
    <w:tmpl w:val="E2FA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D242B0"/>
    <w:multiLevelType w:val="hybridMultilevel"/>
    <w:tmpl w:val="38881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BF05BC2"/>
    <w:multiLevelType w:val="hybridMultilevel"/>
    <w:tmpl w:val="C7AA5B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AE6622"/>
    <w:multiLevelType w:val="hybridMultilevel"/>
    <w:tmpl w:val="D6E21AD8"/>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43854"/>
    <w:multiLevelType w:val="hybridMultilevel"/>
    <w:tmpl w:val="3632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0E10C72"/>
    <w:multiLevelType w:val="hybridMultilevel"/>
    <w:tmpl w:val="6436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4" w15:restartNumberingAfterBreak="0">
    <w:nsid w:val="65AE21F8"/>
    <w:multiLevelType w:val="hybridMultilevel"/>
    <w:tmpl w:val="CB36686C"/>
    <w:lvl w:ilvl="0" w:tplc="28767F46">
      <w:start w:val="1"/>
      <w:numFmt w:val="bullet"/>
      <w:lvlText w:val=""/>
      <w:lvlJc w:val="left"/>
      <w:pPr>
        <w:tabs>
          <w:tab w:val="num" w:pos="502"/>
        </w:tabs>
        <w:ind w:left="50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5B554B"/>
    <w:multiLevelType w:val="hybridMultilevel"/>
    <w:tmpl w:val="B4A6CBAA"/>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7"/>
  </w:num>
  <w:num w:numId="5">
    <w:abstractNumId w:val="22"/>
  </w:num>
  <w:num w:numId="6">
    <w:abstractNumId w:val="9"/>
  </w:num>
  <w:num w:numId="7">
    <w:abstractNumId w:val="3"/>
  </w:num>
  <w:num w:numId="8">
    <w:abstractNumId w:val="8"/>
  </w:num>
  <w:num w:numId="9">
    <w:abstractNumId w:val="26"/>
  </w:num>
  <w:num w:numId="10">
    <w:abstractNumId w:val="10"/>
  </w:num>
  <w:num w:numId="11">
    <w:abstractNumId w:val="1"/>
  </w:num>
  <w:num w:numId="12">
    <w:abstractNumId w:val="1"/>
    <w:lvlOverride w:ilvl="0">
      <w:startOverride w:val="1"/>
    </w:lvlOverride>
  </w:num>
  <w:num w:numId="13">
    <w:abstractNumId w:val="0"/>
  </w:num>
  <w:num w:numId="14">
    <w:abstractNumId w:val="4"/>
  </w:num>
  <w:num w:numId="15">
    <w:abstractNumId w:val="25"/>
  </w:num>
  <w:num w:numId="16">
    <w:abstractNumId w:val="20"/>
  </w:num>
  <w:num w:numId="17">
    <w:abstractNumId w:val="24"/>
  </w:num>
  <w:num w:numId="18">
    <w:abstractNumId w:val="5"/>
  </w:num>
  <w:num w:numId="19">
    <w:abstractNumId w:val="11"/>
  </w:num>
  <w:num w:numId="20">
    <w:abstractNumId w:val="6"/>
  </w:num>
  <w:num w:numId="21">
    <w:abstractNumId w:val="16"/>
  </w:num>
  <w:num w:numId="22">
    <w:abstractNumId w:val="18"/>
  </w:num>
  <w:num w:numId="23">
    <w:abstractNumId w:val="19"/>
  </w:num>
  <w:num w:numId="24">
    <w:abstractNumId w:val="13"/>
  </w:num>
  <w:num w:numId="25">
    <w:abstractNumId w:val="15"/>
  </w:num>
  <w:num w:numId="26">
    <w:abstractNumId w:val="12"/>
  </w:num>
  <w:num w:numId="27">
    <w:abstractNumId w:val="10"/>
  </w:num>
  <w:num w:numId="28">
    <w:abstractNumId w:val="10"/>
  </w:num>
  <w:num w:numId="29">
    <w:abstractNumId w:val="10"/>
  </w:num>
  <w:num w:numId="30">
    <w:abstractNumId w:val="10"/>
  </w:num>
  <w:num w:numId="31">
    <w:abstractNumId w:val="10"/>
  </w:num>
  <w:num w:numId="32">
    <w:abstractNumId w:val="27"/>
  </w:num>
  <w:num w:numId="33">
    <w:abstractNumId w:val="10"/>
  </w:num>
  <w:num w:numId="34">
    <w:abstractNumId w:val="21"/>
  </w:num>
  <w:num w:numId="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FF"/>
    <w:rsid w:val="00003D77"/>
    <w:rsid w:val="00005DBB"/>
    <w:rsid w:val="000121AD"/>
    <w:rsid w:val="00017C34"/>
    <w:rsid w:val="00031015"/>
    <w:rsid w:val="0003475E"/>
    <w:rsid w:val="0004749E"/>
    <w:rsid w:val="00051AFF"/>
    <w:rsid w:val="0007637C"/>
    <w:rsid w:val="0008538F"/>
    <w:rsid w:val="0009181C"/>
    <w:rsid w:val="000A6575"/>
    <w:rsid w:val="000A7409"/>
    <w:rsid w:val="000C4C84"/>
    <w:rsid w:val="000C692A"/>
    <w:rsid w:val="000D1CC0"/>
    <w:rsid w:val="000E2D8E"/>
    <w:rsid w:val="000F68B3"/>
    <w:rsid w:val="0010212D"/>
    <w:rsid w:val="001135BD"/>
    <w:rsid w:val="00113801"/>
    <w:rsid w:val="00120113"/>
    <w:rsid w:val="00125630"/>
    <w:rsid w:val="00127277"/>
    <w:rsid w:val="0013011B"/>
    <w:rsid w:val="00140A16"/>
    <w:rsid w:val="001431C7"/>
    <w:rsid w:val="00144CDE"/>
    <w:rsid w:val="001559CA"/>
    <w:rsid w:val="00163C77"/>
    <w:rsid w:val="00171F3F"/>
    <w:rsid w:val="00173B37"/>
    <w:rsid w:val="00193E41"/>
    <w:rsid w:val="00196C94"/>
    <w:rsid w:val="001A4936"/>
    <w:rsid w:val="001A7157"/>
    <w:rsid w:val="001B5873"/>
    <w:rsid w:val="001B6E2B"/>
    <w:rsid w:val="001C1B9D"/>
    <w:rsid w:val="001D6BD0"/>
    <w:rsid w:val="001F675E"/>
    <w:rsid w:val="0021092C"/>
    <w:rsid w:val="00213D4D"/>
    <w:rsid w:val="00214257"/>
    <w:rsid w:val="002151FF"/>
    <w:rsid w:val="002256BD"/>
    <w:rsid w:val="0022755B"/>
    <w:rsid w:val="00244469"/>
    <w:rsid w:val="00245E5C"/>
    <w:rsid w:val="00265A3A"/>
    <w:rsid w:val="0027445A"/>
    <w:rsid w:val="00294618"/>
    <w:rsid w:val="002B048A"/>
    <w:rsid w:val="002B2E31"/>
    <w:rsid w:val="002B64B9"/>
    <w:rsid w:val="002C3039"/>
    <w:rsid w:val="002D27FF"/>
    <w:rsid w:val="002D407E"/>
    <w:rsid w:val="002F15F9"/>
    <w:rsid w:val="002F1F99"/>
    <w:rsid w:val="002F4097"/>
    <w:rsid w:val="00311490"/>
    <w:rsid w:val="00326331"/>
    <w:rsid w:val="003323B3"/>
    <w:rsid w:val="00335A9F"/>
    <w:rsid w:val="00341C22"/>
    <w:rsid w:val="00347B75"/>
    <w:rsid w:val="003830BC"/>
    <w:rsid w:val="0038478C"/>
    <w:rsid w:val="003928FD"/>
    <w:rsid w:val="003A2576"/>
    <w:rsid w:val="003B0C19"/>
    <w:rsid w:val="003B2635"/>
    <w:rsid w:val="003B6598"/>
    <w:rsid w:val="003C5A60"/>
    <w:rsid w:val="003E1131"/>
    <w:rsid w:val="003E6A4C"/>
    <w:rsid w:val="003F2EA3"/>
    <w:rsid w:val="00405E01"/>
    <w:rsid w:val="00412D43"/>
    <w:rsid w:val="00433060"/>
    <w:rsid w:val="004340E0"/>
    <w:rsid w:val="0043463F"/>
    <w:rsid w:val="00436854"/>
    <w:rsid w:val="004407DE"/>
    <w:rsid w:val="004433C5"/>
    <w:rsid w:val="00450D07"/>
    <w:rsid w:val="00452B98"/>
    <w:rsid w:val="00454A11"/>
    <w:rsid w:val="004643AB"/>
    <w:rsid w:val="00465817"/>
    <w:rsid w:val="00474AFE"/>
    <w:rsid w:val="00477450"/>
    <w:rsid w:val="004815B1"/>
    <w:rsid w:val="00482E8E"/>
    <w:rsid w:val="00486189"/>
    <w:rsid w:val="004B060F"/>
    <w:rsid w:val="004B5862"/>
    <w:rsid w:val="004C04C4"/>
    <w:rsid w:val="004C53F9"/>
    <w:rsid w:val="004D1E0B"/>
    <w:rsid w:val="004D2A72"/>
    <w:rsid w:val="004D3474"/>
    <w:rsid w:val="004D5BED"/>
    <w:rsid w:val="004E5113"/>
    <w:rsid w:val="004E56C4"/>
    <w:rsid w:val="004F1D33"/>
    <w:rsid w:val="004F22C7"/>
    <w:rsid w:val="004F3DB1"/>
    <w:rsid w:val="00502E37"/>
    <w:rsid w:val="005109F8"/>
    <w:rsid w:val="00531939"/>
    <w:rsid w:val="0054362E"/>
    <w:rsid w:val="00550727"/>
    <w:rsid w:val="00551E27"/>
    <w:rsid w:val="0056348A"/>
    <w:rsid w:val="00563BE1"/>
    <w:rsid w:val="0056675D"/>
    <w:rsid w:val="00576DF9"/>
    <w:rsid w:val="00583ABE"/>
    <w:rsid w:val="005944D3"/>
    <w:rsid w:val="00594C69"/>
    <w:rsid w:val="005A238A"/>
    <w:rsid w:val="005C0339"/>
    <w:rsid w:val="005C0CA8"/>
    <w:rsid w:val="005D23C9"/>
    <w:rsid w:val="005E0EAE"/>
    <w:rsid w:val="005E20F0"/>
    <w:rsid w:val="005F4D61"/>
    <w:rsid w:val="00602173"/>
    <w:rsid w:val="0060566C"/>
    <w:rsid w:val="006363F9"/>
    <w:rsid w:val="00641501"/>
    <w:rsid w:val="0065087F"/>
    <w:rsid w:val="00665AA3"/>
    <w:rsid w:val="00667011"/>
    <w:rsid w:val="0068448E"/>
    <w:rsid w:val="00687229"/>
    <w:rsid w:val="00691584"/>
    <w:rsid w:val="00692A60"/>
    <w:rsid w:val="00694396"/>
    <w:rsid w:val="00695079"/>
    <w:rsid w:val="006957A7"/>
    <w:rsid w:val="00695A5A"/>
    <w:rsid w:val="0069720C"/>
    <w:rsid w:val="006A2217"/>
    <w:rsid w:val="006A3403"/>
    <w:rsid w:val="006B0170"/>
    <w:rsid w:val="006C1852"/>
    <w:rsid w:val="006C48FE"/>
    <w:rsid w:val="006D4B9E"/>
    <w:rsid w:val="00702C19"/>
    <w:rsid w:val="00706584"/>
    <w:rsid w:val="0071386E"/>
    <w:rsid w:val="00713D61"/>
    <w:rsid w:val="00715D89"/>
    <w:rsid w:val="00717D05"/>
    <w:rsid w:val="00746D48"/>
    <w:rsid w:val="007552D7"/>
    <w:rsid w:val="007569BB"/>
    <w:rsid w:val="00764E32"/>
    <w:rsid w:val="00764E72"/>
    <w:rsid w:val="007668D0"/>
    <w:rsid w:val="007918C6"/>
    <w:rsid w:val="007A7803"/>
    <w:rsid w:val="007B2563"/>
    <w:rsid w:val="007B6E69"/>
    <w:rsid w:val="007C3C3D"/>
    <w:rsid w:val="007C501D"/>
    <w:rsid w:val="007E648B"/>
    <w:rsid w:val="007E76D1"/>
    <w:rsid w:val="007F0308"/>
    <w:rsid w:val="007F09F5"/>
    <w:rsid w:val="00801E37"/>
    <w:rsid w:val="008245D7"/>
    <w:rsid w:val="00844B35"/>
    <w:rsid w:val="00845111"/>
    <w:rsid w:val="0085017A"/>
    <w:rsid w:val="00855A64"/>
    <w:rsid w:val="00856C38"/>
    <w:rsid w:val="00861FB8"/>
    <w:rsid w:val="008648E8"/>
    <w:rsid w:val="008702FF"/>
    <w:rsid w:val="00872A19"/>
    <w:rsid w:val="008815BE"/>
    <w:rsid w:val="00884962"/>
    <w:rsid w:val="00886390"/>
    <w:rsid w:val="008A4EC3"/>
    <w:rsid w:val="008A52B9"/>
    <w:rsid w:val="008A6815"/>
    <w:rsid w:val="008A6BF4"/>
    <w:rsid w:val="008A7946"/>
    <w:rsid w:val="008A7B85"/>
    <w:rsid w:val="008B33DF"/>
    <w:rsid w:val="008B3B21"/>
    <w:rsid w:val="008C04AE"/>
    <w:rsid w:val="008D0532"/>
    <w:rsid w:val="008D0775"/>
    <w:rsid w:val="008D1D17"/>
    <w:rsid w:val="008F31D4"/>
    <w:rsid w:val="008F4000"/>
    <w:rsid w:val="008F6267"/>
    <w:rsid w:val="008F7214"/>
    <w:rsid w:val="008F7B20"/>
    <w:rsid w:val="0092433D"/>
    <w:rsid w:val="009327DC"/>
    <w:rsid w:val="0094004A"/>
    <w:rsid w:val="00940B9F"/>
    <w:rsid w:val="0095272E"/>
    <w:rsid w:val="00955B00"/>
    <w:rsid w:val="00965FDE"/>
    <w:rsid w:val="00967FD5"/>
    <w:rsid w:val="009777D7"/>
    <w:rsid w:val="00990A35"/>
    <w:rsid w:val="00991902"/>
    <w:rsid w:val="00994038"/>
    <w:rsid w:val="00996CC1"/>
    <w:rsid w:val="009972A0"/>
    <w:rsid w:val="009A2475"/>
    <w:rsid w:val="009A30BF"/>
    <w:rsid w:val="009B10FA"/>
    <w:rsid w:val="009C0260"/>
    <w:rsid w:val="009C1035"/>
    <w:rsid w:val="009C1513"/>
    <w:rsid w:val="009C4D51"/>
    <w:rsid w:val="009C6FD4"/>
    <w:rsid w:val="009D014B"/>
    <w:rsid w:val="009D31B4"/>
    <w:rsid w:val="009E7D00"/>
    <w:rsid w:val="009F580A"/>
    <w:rsid w:val="00A02BAB"/>
    <w:rsid w:val="00A073AC"/>
    <w:rsid w:val="00A17CE2"/>
    <w:rsid w:val="00A24AB8"/>
    <w:rsid w:val="00A258AC"/>
    <w:rsid w:val="00A27FB6"/>
    <w:rsid w:val="00A36C0A"/>
    <w:rsid w:val="00A4358E"/>
    <w:rsid w:val="00A43EEC"/>
    <w:rsid w:val="00A469CE"/>
    <w:rsid w:val="00A54015"/>
    <w:rsid w:val="00A652E5"/>
    <w:rsid w:val="00A66EF0"/>
    <w:rsid w:val="00A67453"/>
    <w:rsid w:val="00A7595F"/>
    <w:rsid w:val="00A760CB"/>
    <w:rsid w:val="00A8075D"/>
    <w:rsid w:val="00A95163"/>
    <w:rsid w:val="00AA233B"/>
    <w:rsid w:val="00AE157E"/>
    <w:rsid w:val="00AE169E"/>
    <w:rsid w:val="00AE1CB9"/>
    <w:rsid w:val="00AE6D3E"/>
    <w:rsid w:val="00AF08FC"/>
    <w:rsid w:val="00AF7C7B"/>
    <w:rsid w:val="00B0084B"/>
    <w:rsid w:val="00B13153"/>
    <w:rsid w:val="00B2128A"/>
    <w:rsid w:val="00B21737"/>
    <w:rsid w:val="00B35943"/>
    <w:rsid w:val="00B435DB"/>
    <w:rsid w:val="00B46063"/>
    <w:rsid w:val="00B5464B"/>
    <w:rsid w:val="00B56D26"/>
    <w:rsid w:val="00B61F33"/>
    <w:rsid w:val="00B64442"/>
    <w:rsid w:val="00B74436"/>
    <w:rsid w:val="00B76A4B"/>
    <w:rsid w:val="00B82324"/>
    <w:rsid w:val="00B83334"/>
    <w:rsid w:val="00B902DA"/>
    <w:rsid w:val="00B939D8"/>
    <w:rsid w:val="00B96D95"/>
    <w:rsid w:val="00BA1FFD"/>
    <w:rsid w:val="00BD55F7"/>
    <w:rsid w:val="00BE4CC1"/>
    <w:rsid w:val="00BE4D5D"/>
    <w:rsid w:val="00BF1EB1"/>
    <w:rsid w:val="00C02C0F"/>
    <w:rsid w:val="00C03968"/>
    <w:rsid w:val="00C050DE"/>
    <w:rsid w:val="00C06B65"/>
    <w:rsid w:val="00C1235D"/>
    <w:rsid w:val="00C20338"/>
    <w:rsid w:val="00C2260D"/>
    <w:rsid w:val="00C26012"/>
    <w:rsid w:val="00C26183"/>
    <w:rsid w:val="00C322B8"/>
    <w:rsid w:val="00C326D3"/>
    <w:rsid w:val="00C5319A"/>
    <w:rsid w:val="00C552B9"/>
    <w:rsid w:val="00C752BA"/>
    <w:rsid w:val="00C77598"/>
    <w:rsid w:val="00C775EF"/>
    <w:rsid w:val="00C8151A"/>
    <w:rsid w:val="00C819C4"/>
    <w:rsid w:val="00CB47E4"/>
    <w:rsid w:val="00CB5C6C"/>
    <w:rsid w:val="00CC0F41"/>
    <w:rsid w:val="00CD40EF"/>
    <w:rsid w:val="00CD7CB6"/>
    <w:rsid w:val="00CE3850"/>
    <w:rsid w:val="00CF4934"/>
    <w:rsid w:val="00CF4EBE"/>
    <w:rsid w:val="00D0101A"/>
    <w:rsid w:val="00D054A7"/>
    <w:rsid w:val="00D154DA"/>
    <w:rsid w:val="00D174FB"/>
    <w:rsid w:val="00D31CE6"/>
    <w:rsid w:val="00D3462E"/>
    <w:rsid w:val="00D3723A"/>
    <w:rsid w:val="00D46AB4"/>
    <w:rsid w:val="00D46B8E"/>
    <w:rsid w:val="00D63027"/>
    <w:rsid w:val="00D6383D"/>
    <w:rsid w:val="00D77FA2"/>
    <w:rsid w:val="00D96C65"/>
    <w:rsid w:val="00DA0031"/>
    <w:rsid w:val="00DC1ECF"/>
    <w:rsid w:val="00DC42AD"/>
    <w:rsid w:val="00DC50E9"/>
    <w:rsid w:val="00DC71E3"/>
    <w:rsid w:val="00DD3AF1"/>
    <w:rsid w:val="00DD4878"/>
    <w:rsid w:val="00DD53BD"/>
    <w:rsid w:val="00DE2ADC"/>
    <w:rsid w:val="00DE6F38"/>
    <w:rsid w:val="00DE7219"/>
    <w:rsid w:val="00DF514D"/>
    <w:rsid w:val="00E025B8"/>
    <w:rsid w:val="00E23844"/>
    <w:rsid w:val="00E25048"/>
    <w:rsid w:val="00E34C95"/>
    <w:rsid w:val="00E67E15"/>
    <w:rsid w:val="00E70003"/>
    <w:rsid w:val="00E85FF0"/>
    <w:rsid w:val="00E86A27"/>
    <w:rsid w:val="00E86F28"/>
    <w:rsid w:val="00E9114D"/>
    <w:rsid w:val="00E929FA"/>
    <w:rsid w:val="00E932D1"/>
    <w:rsid w:val="00E94F71"/>
    <w:rsid w:val="00EB697A"/>
    <w:rsid w:val="00ED1F4B"/>
    <w:rsid w:val="00EE5CEA"/>
    <w:rsid w:val="00F06334"/>
    <w:rsid w:val="00F12CF8"/>
    <w:rsid w:val="00F15D19"/>
    <w:rsid w:val="00F1787A"/>
    <w:rsid w:val="00F345E2"/>
    <w:rsid w:val="00F34A62"/>
    <w:rsid w:val="00F37011"/>
    <w:rsid w:val="00F417D5"/>
    <w:rsid w:val="00F531EA"/>
    <w:rsid w:val="00F62020"/>
    <w:rsid w:val="00F62E6D"/>
    <w:rsid w:val="00F66A74"/>
    <w:rsid w:val="00F71D29"/>
    <w:rsid w:val="00F84AC9"/>
    <w:rsid w:val="00F85D44"/>
    <w:rsid w:val="00F87C4A"/>
    <w:rsid w:val="00F9045E"/>
    <w:rsid w:val="00FA11E0"/>
    <w:rsid w:val="00FA4823"/>
    <w:rsid w:val="00FA5ACF"/>
    <w:rsid w:val="00FB787C"/>
    <w:rsid w:val="00FD1423"/>
    <w:rsid w:val="00FD6D8D"/>
    <w:rsid w:val="00FE28E6"/>
    <w:rsid w:val="00FF12A2"/>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3EF429"/>
  <w15:chartTrackingRefBased/>
  <w15:docId w15:val="{903E1653-3C83-4A5D-BFC6-A329D670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641501"/>
    <w:pPr>
      <w:numPr>
        <w:numId w:val="10"/>
      </w:numPr>
      <w:spacing w:after="60"/>
      <w:ind w:left="641" w:hanging="357"/>
    </w:pPr>
    <w:rPr>
      <w:rFonts w:cs="Arial"/>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tas.gov.au/annual-report" TargetMode="External"/><Relationship Id="rId3" Type="http://schemas.openxmlformats.org/officeDocument/2006/relationships/settings" Target="settings.xml"/><Relationship Id="rId7" Type="http://schemas.openxmlformats.org/officeDocument/2006/relationships/hyperlink" Target="http://www.justice.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9660</CharactersWithSpaces>
  <SharedDoc>false</SharedDoc>
  <HLinks>
    <vt:vector size="12" baseType="variant">
      <vt:variant>
        <vt:i4>4325386</vt:i4>
      </vt:variant>
      <vt:variant>
        <vt:i4>3</vt:i4>
      </vt:variant>
      <vt:variant>
        <vt:i4>0</vt:i4>
      </vt:variant>
      <vt:variant>
        <vt:i4>5</vt:i4>
      </vt:variant>
      <vt:variant>
        <vt:lpwstr>https://www.justice.tas.gov.au/annual-report</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Webb, Daphne</dc:creator>
  <cp:keywords/>
  <cp:lastModifiedBy>Copelin, Shannon</cp:lastModifiedBy>
  <cp:revision>2</cp:revision>
  <cp:lastPrinted>2021-02-23T00:12:00Z</cp:lastPrinted>
  <dcterms:created xsi:type="dcterms:W3CDTF">2021-04-19T06:09:00Z</dcterms:created>
  <dcterms:modified xsi:type="dcterms:W3CDTF">2021-04-19T06:09:00Z</dcterms:modified>
</cp:coreProperties>
</file>