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48EC" w14:textId="77777777" w:rsidR="00644882" w:rsidRPr="006C2ED7" w:rsidRDefault="00644882" w:rsidP="00B34190">
      <w:pPr>
        <w:pStyle w:val="Heading1"/>
        <w:jc w:val="center"/>
      </w:pPr>
      <w:r w:rsidRPr="006C2ED7">
        <w:t>Department of State Growth</w:t>
      </w:r>
    </w:p>
    <w:p w14:paraId="0D054BCC" w14:textId="77777777" w:rsidR="00644882" w:rsidRPr="001327D4" w:rsidRDefault="00644882" w:rsidP="00B34190">
      <w:pPr>
        <w:pStyle w:val="Heading1"/>
        <w:jc w:val="center"/>
        <w:rPr>
          <w:rFonts w:cs="Arial"/>
          <w:sz w:val="32"/>
          <w:szCs w:val="32"/>
        </w:rPr>
      </w:pPr>
      <w:r w:rsidRPr="001327D4">
        <w:rPr>
          <w:rFonts w:cs="Arial"/>
          <w:noProof/>
          <w:sz w:val="32"/>
          <w:szCs w:val="32"/>
        </w:rPr>
        <w:t>Statement of Duties</w:t>
      </w:r>
    </w:p>
    <w:p w14:paraId="1F397E38" w14:textId="77777777" w:rsidR="00644882" w:rsidRPr="001327D4" w:rsidRDefault="00644882" w:rsidP="008966A8">
      <w:pPr>
        <w:pBdr>
          <w:bottom w:val="single" w:sz="4" w:space="1" w:color="auto"/>
        </w:pBdr>
        <w:spacing w:before="0"/>
        <w:rPr>
          <w:sz w:val="22"/>
        </w:rPr>
      </w:pPr>
    </w:p>
    <w:p w14:paraId="7BABEB27" w14:textId="1C6B8677" w:rsidR="00644882" w:rsidRDefault="00644882" w:rsidP="008966A8">
      <w:pPr>
        <w:tabs>
          <w:tab w:val="clear" w:pos="2835"/>
          <w:tab w:val="right" w:pos="0"/>
          <w:tab w:val="left" w:pos="3119"/>
        </w:tabs>
        <w:ind w:left="3969" w:right="-1" w:hanging="3969"/>
        <w:rPr>
          <w:rStyle w:val="Heading3Char"/>
          <w:sz w:val="22"/>
        </w:rPr>
      </w:pPr>
      <w:r>
        <w:rPr>
          <w:rStyle w:val="Heading3Char"/>
          <w:sz w:val="22"/>
        </w:rPr>
        <w:t>Position Title:</w:t>
      </w:r>
      <w:r>
        <w:rPr>
          <w:rStyle w:val="Heading3Char"/>
          <w:sz w:val="22"/>
        </w:rPr>
        <w:tab/>
      </w:r>
      <w:r w:rsidR="00D96B4C">
        <w:rPr>
          <w:rStyle w:val="Heading3Char"/>
          <w:b w:val="0"/>
          <w:bCs/>
          <w:sz w:val="22"/>
        </w:rPr>
        <w:t>Strategic</w:t>
      </w:r>
      <w:r w:rsidR="00D96B4C" w:rsidRPr="002D76A3">
        <w:rPr>
          <w:rStyle w:val="Heading3Char"/>
          <w:b w:val="0"/>
          <w:bCs/>
          <w:sz w:val="22"/>
        </w:rPr>
        <w:t xml:space="preserve"> </w:t>
      </w:r>
      <w:r w:rsidRPr="002D76A3">
        <w:rPr>
          <w:rStyle w:val="Heading3Char"/>
          <w:b w:val="0"/>
          <w:bCs/>
          <w:sz w:val="22"/>
        </w:rPr>
        <w:t xml:space="preserve">Engagement </w:t>
      </w:r>
      <w:r w:rsidR="00FA24A5" w:rsidRPr="002D76A3">
        <w:rPr>
          <w:rStyle w:val="Heading3Char"/>
          <w:b w:val="0"/>
          <w:bCs/>
          <w:sz w:val="22"/>
        </w:rPr>
        <w:t xml:space="preserve">Support </w:t>
      </w:r>
      <w:r w:rsidRPr="002D76A3">
        <w:rPr>
          <w:rStyle w:val="Heading3Char"/>
          <w:b w:val="0"/>
          <w:bCs/>
          <w:sz w:val="22"/>
        </w:rPr>
        <w:t>Officer</w:t>
      </w:r>
      <w:r w:rsidRPr="00094E6B">
        <w:rPr>
          <w:rStyle w:val="Heading3Char"/>
          <w:sz w:val="22"/>
        </w:rPr>
        <w:t xml:space="preserve"> </w:t>
      </w:r>
    </w:p>
    <w:p w14:paraId="0D693BF2" w14:textId="793FD9C0" w:rsidR="00644882" w:rsidRDefault="00644882" w:rsidP="008966A8">
      <w:pPr>
        <w:tabs>
          <w:tab w:val="clear" w:pos="2835"/>
          <w:tab w:val="right" w:pos="0"/>
          <w:tab w:val="left" w:pos="3119"/>
        </w:tabs>
        <w:ind w:left="3969" w:right="-1" w:hanging="3969"/>
        <w:rPr>
          <w:sz w:val="22"/>
        </w:rPr>
      </w:pPr>
      <w:r w:rsidRPr="001327D4">
        <w:rPr>
          <w:rStyle w:val="Heading3Char"/>
          <w:sz w:val="22"/>
        </w:rPr>
        <w:t>Position number</w:t>
      </w:r>
      <w:r w:rsidRPr="001327D4">
        <w:rPr>
          <w:rStyle w:val="Heading3Char"/>
          <w:sz w:val="22"/>
        </w:rPr>
        <w:t>:</w:t>
      </w:r>
      <w:r w:rsidRPr="001327D4">
        <w:rPr>
          <w:sz w:val="22"/>
        </w:rPr>
        <w:tab/>
      </w:r>
      <w:r w:rsidR="00C30AC8">
        <w:rPr>
          <w:sz w:val="22"/>
        </w:rPr>
        <w:t>005415</w:t>
      </w:r>
    </w:p>
    <w:p w14:paraId="192D614C" w14:textId="709DF8D6" w:rsidR="00644882" w:rsidRPr="001327D4" w:rsidRDefault="00644882" w:rsidP="008966A8">
      <w:pPr>
        <w:tabs>
          <w:tab w:val="clear" w:pos="2835"/>
          <w:tab w:val="right" w:pos="0"/>
          <w:tab w:val="left" w:pos="3119"/>
        </w:tabs>
        <w:ind w:left="3969" w:right="-1" w:hanging="3969"/>
        <w:rPr>
          <w:sz w:val="22"/>
        </w:rPr>
      </w:pPr>
      <w:r w:rsidRPr="001327D4">
        <w:rPr>
          <w:rStyle w:val="Heading3Char"/>
          <w:sz w:val="22"/>
        </w:rPr>
        <w:t>Award/Agreement:</w:t>
      </w:r>
      <w:r w:rsidRPr="001327D4">
        <w:rPr>
          <w:sz w:val="22"/>
        </w:rPr>
        <w:t xml:space="preserve"> </w:t>
      </w:r>
      <w:r w:rsidRPr="001327D4">
        <w:rPr>
          <w:sz w:val="22"/>
        </w:rPr>
        <w:tab/>
      </w:r>
      <w:r w:rsidR="008555A2">
        <w:rPr>
          <w:sz w:val="22"/>
        </w:rPr>
        <w:t xml:space="preserve">Tasmanian </w:t>
      </w:r>
      <w:r w:rsidRPr="002D76A3">
        <w:rPr>
          <w:rStyle w:val="Heading3Char"/>
          <w:b w:val="0"/>
          <w:bCs/>
          <w:sz w:val="22"/>
        </w:rPr>
        <w:t>State Service Award</w:t>
      </w:r>
    </w:p>
    <w:p w14:paraId="7CFA64CA" w14:textId="59C49570" w:rsidR="00644882" w:rsidRPr="001327D4" w:rsidRDefault="00644882" w:rsidP="008966A8">
      <w:pPr>
        <w:tabs>
          <w:tab w:val="clear" w:pos="2835"/>
          <w:tab w:val="left" w:pos="3119"/>
          <w:tab w:val="left" w:pos="3261"/>
        </w:tabs>
        <w:rPr>
          <w:sz w:val="22"/>
        </w:rPr>
      </w:pPr>
      <w:r w:rsidRPr="001327D4">
        <w:rPr>
          <w:rStyle w:val="Heading3Char"/>
          <w:sz w:val="22"/>
        </w:rPr>
        <w:t>Classification level:</w:t>
      </w:r>
      <w:r w:rsidRPr="001327D4">
        <w:rPr>
          <w:sz w:val="22"/>
        </w:rPr>
        <w:tab/>
      </w:r>
      <w:r w:rsidR="008555A2">
        <w:rPr>
          <w:sz w:val="22"/>
        </w:rPr>
        <w:t xml:space="preserve">General Stream </w:t>
      </w:r>
      <w:r w:rsidRPr="002D76A3">
        <w:rPr>
          <w:rStyle w:val="Heading3Char"/>
          <w:b w:val="0"/>
          <w:bCs/>
          <w:sz w:val="22"/>
        </w:rPr>
        <w:t>Band 4</w:t>
      </w:r>
    </w:p>
    <w:p w14:paraId="2CF9A4D3" w14:textId="06207CE1" w:rsidR="00644882" w:rsidRPr="001327D4" w:rsidRDefault="00644882" w:rsidP="008966A8">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Pr="002D76A3">
        <w:rPr>
          <w:rStyle w:val="Heading3Char"/>
          <w:b w:val="0"/>
          <w:bCs/>
          <w:sz w:val="22"/>
        </w:rPr>
        <w:t>State Roads Division</w:t>
      </w:r>
      <w:r w:rsidR="008555A2">
        <w:rPr>
          <w:rStyle w:val="Heading3Char"/>
          <w:b w:val="0"/>
          <w:bCs/>
          <w:sz w:val="22"/>
        </w:rPr>
        <w:t>/Stakeholder Communications Branch</w:t>
      </w:r>
    </w:p>
    <w:p w14:paraId="00350DD8" w14:textId="77777777" w:rsidR="00644882" w:rsidRPr="001327D4" w:rsidRDefault="00644882" w:rsidP="008966A8">
      <w:pPr>
        <w:tabs>
          <w:tab w:val="clear" w:pos="2835"/>
          <w:tab w:val="left" w:pos="3119"/>
          <w:tab w:val="left" w:pos="3261"/>
        </w:tabs>
        <w:rPr>
          <w:sz w:val="22"/>
        </w:rPr>
      </w:pPr>
      <w:r w:rsidRPr="001327D4">
        <w:rPr>
          <w:rStyle w:val="Heading3Char"/>
          <w:sz w:val="22"/>
        </w:rPr>
        <w:t>Location:</w:t>
      </w:r>
      <w:r>
        <w:rPr>
          <w:sz w:val="22"/>
        </w:rPr>
        <w:tab/>
      </w:r>
      <w:r w:rsidRPr="002D76A3">
        <w:rPr>
          <w:rStyle w:val="Heading3Char"/>
          <w:b w:val="0"/>
          <w:bCs/>
          <w:sz w:val="22"/>
        </w:rPr>
        <w:t>South</w:t>
      </w:r>
    </w:p>
    <w:p w14:paraId="0E60CD1F" w14:textId="2F5EC3FC" w:rsidR="00644882" w:rsidRDefault="00644882" w:rsidP="008966A8">
      <w:pPr>
        <w:tabs>
          <w:tab w:val="clear" w:pos="2835"/>
          <w:tab w:val="left" w:pos="3119"/>
          <w:tab w:val="left" w:pos="3261"/>
        </w:tabs>
        <w:rPr>
          <w:rStyle w:val="Heading3Char"/>
          <w:sz w:val="22"/>
        </w:rPr>
      </w:pPr>
      <w:r w:rsidRPr="001327D4">
        <w:rPr>
          <w:rStyle w:val="Heading3Char"/>
          <w:sz w:val="22"/>
        </w:rPr>
        <w:t>Employment status:</w:t>
      </w:r>
      <w:r w:rsidRPr="001327D4">
        <w:rPr>
          <w:sz w:val="22"/>
        </w:rPr>
        <w:tab/>
      </w:r>
      <w:r>
        <w:rPr>
          <w:sz w:val="22"/>
        </w:rPr>
        <w:t>F</w:t>
      </w:r>
      <w:r w:rsidR="002D76A3">
        <w:rPr>
          <w:sz w:val="22"/>
        </w:rPr>
        <w:t>lexible</w:t>
      </w:r>
    </w:p>
    <w:p w14:paraId="32A9D3D7" w14:textId="64123205" w:rsidR="00644882" w:rsidRDefault="00644882" w:rsidP="008966A8">
      <w:pPr>
        <w:tabs>
          <w:tab w:val="clear" w:pos="2835"/>
          <w:tab w:val="left" w:pos="3119"/>
          <w:tab w:val="left" w:pos="3261"/>
        </w:tabs>
        <w:rPr>
          <w:sz w:val="22"/>
        </w:rPr>
      </w:pPr>
      <w:r w:rsidRPr="001327D4">
        <w:rPr>
          <w:rStyle w:val="Heading3Char"/>
          <w:sz w:val="22"/>
        </w:rPr>
        <w:t>Supervisor:</w:t>
      </w:r>
      <w:r w:rsidRPr="001327D4">
        <w:rPr>
          <w:sz w:val="22"/>
        </w:rPr>
        <w:tab/>
      </w:r>
      <w:r w:rsidR="00AB47F1">
        <w:rPr>
          <w:sz w:val="22"/>
        </w:rPr>
        <w:t>Senior Strategic</w:t>
      </w:r>
      <w:r>
        <w:rPr>
          <w:sz w:val="22"/>
        </w:rPr>
        <w:t xml:space="preserve"> Engagement </w:t>
      </w:r>
      <w:r w:rsidR="00AB47F1">
        <w:rPr>
          <w:sz w:val="22"/>
        </w:rPr>
        <w:t>Officer</w:t>
      </w:r>
    </w:p>
    <w:p w14:paraId="7E437DCF" w14:textId="77777777" w:rsidR="00644882" w:rsidRPr="001327D4" w:rsidRDefault="00644882" w:rsidP="008966A8">
      <w:pPr>
        <w:pStyle w:val="Heading3"/>
        <w:pBdr>
          <w:top w:val="single" w:sz="4" w:space="1" w:color="auto"/>
        </w:pBdr>
        <w:spacing w:before="0" w:after="0" w:line="240" w:lineRule="auto"/>
        <w:rPr>
          <w:b w:val="0"/>
          <w:sz w:val="22"/>
        </w:rPr>
      </w:pPr>
    </w:p>
    <w:p w14:paraId="7E3E6748" w14:textId="77777777" w:rsidR="00644882" w:rsidRPr="00B5403C" w:rsidRDefault="00644882" w:rsidP="008966A8">
      <w:pPr>
        <w:pStyle w:val="Heading3"/>
      </w:pPr>
      <w:r w:rsidRPr="00B5403C">
        <w:t>Position Objective</w:t>
      </w:r>
    </w:p>
    <w:p w14:paraId="53FD0383" w14:textId="2915E783" w:rsidR="00B64393" w:rsidRDefault="00644882" w:rsidP="008966A8">
      <w:pPr>
        <w:pStyle w:val="Heading3"/>
        <w:rPr>
          <w:rFonts w:cs="Arial"/>
          <w:b w:val="0"/>
          <w:color w:val="auto"/>
          <w:sz w:val="22"/>
        </w:rPr>
      </w:pPr>
      <w:r w:rsidRPr="000314C9">
        <w:rPr>
          <w:rFonts w:cs="Arial"/>
          <w:b w:val="0"/>
          <w:color w:val="auto"/>
          <w:sz w:val="22"/>
        </w:rPr>
        <w:t xml:space="preserve">Develop and </w:t>
      </w:r>
      <w:r>
        <w:rPr>
          <w:rFonts w:cs="Arial"/>
          <w:b w:val="0"/>
          <w:color w:val="auto"/>
          <w:sz w:val="22"/>
        </w:rPr>
        <w:t>support</w:t>
      </w:r>
      <w:r w:rsidRPr="000314C9">
        <w:rPr>
          <w:rFonts w:cs="Arial"/>
          <w:b w:val="0"/>
          <w:color w:val="auto"/>
          <w:sz w:val="22"/>
        </w:rPr>
        <w:t xml:space="preserve"> </w:t>
      </w:r>
      <w:r w:rsidR="008555A2">
        <w:rPr>
          <w:rFonts w:cs="Arial"/>
          <w:b w:val="0"/>
          <w:color w:val="auto"/>
          <w:sz w:val="22"/>
        </w:rPr>
        <w:t xml:space="preserve">stakeholder engagement </w:t>
      </w:r>
      <w:r>
        <w:rPr>
          <w:rFonts w:cs="Arial"/>
          <w:b w:val="0"/>
          <w:color w:val="auto"/>
          <w:sz w:val="22"/>
        </w:rPr>
        <w:t>activity</w:t>
      </w:r>
      <w:r w:rsidRPr="000314C9">
        <w:rPr>
          <w:rFonts w:cs="Arial"/>
          <w:b w:val="0"/>
          <w:color w:val="auto"/>
          <w:sz w:val="22"/>
        </w:rPr>
        <w:t xml:space="preserve"> for the State Roads Division, including </w:t>
      </w:r>
      <w:r w:rsidR="005A23DE">
        <w:rPr>
          <w:rFonts w:cs="Arial"/>
          <w:b w:val="0"/>
          <w:color w:val="auto"/>
          <w:sz w:val="22"/>
        </w:rPr>
        <w:t xml:space="preserve">assisting with </w:t>
      </w:r>
      <w:r w:rsidRPr="000314C9">
        <w:rPr>
          <w:rFonts w:cs="Arial"/>
          <w:b w:val="0"/>
          <w:color w:val="auto"/>
          <w:sz w:val="22"/>
        </w:rPr>
        <w:t xml:space="preserve">the </w:t>
      </w:r>
      <w:r w:rsidRPr="00B74207">
        <w:rPr>
          <w:rFonts w:cs="Arial"/>
          <w:b w:val="0"/>
          <w:color w:val="auto"/>
          <w:sz w:val="22"/>
        </w:rPr>
        <w:t xml:space="preserve">analysis of complex data and </w:t>
      </w:r>
      <w:r w:rsidR="00B64393" w:rsidRPr="00B74207">
        <w:rPr>
          <w:rFonts w:cs="Arial"/>
          <w:b w:val="0"/>
          <w:color w:val="auto"/>
          <w:sz w:val="22"/>
        </w:rPr>
        <w:t xml:space="preserve">interrogation of current </w:t>
      </w:r>
      <w:r w:rsidR="00D96B4C">
        <w:rPr>
          <w:rFonts w:cs="Arial"/>
          <w:b w:val="0"/>
          <w:color w:val="auto"/>
          <w:sz w:val="22"/>
        </w:rPr>
        <w:t>engagement platforms</w:t>
      </w:r>
      <w:r w:rsidR="00B64393" w:rsidRPr="00B74207">
        <w:rPr>
          <w:rFonts w:cs="Arial"/>
          <w:b w:val="0"/>
          <w:color w:val="auto"/>
          <w:sz w:val="22"/>
        </w:rPr>
        <w:t>.</w:t>
      </w:r>
      <w:r w:rsidRPr="00B74207">
        <w:rPr>
          <w:rFonts w:cs="Arial"/>
          <w:b w:val="0"/>
          <w:color w:val="auto"/>
          <w:sz w:val="22"/>
        </w:rPr>
        <w:t xml:space="preserve"> </w:t>
      </w:r>
      <w:r w:rsidR="00753502">
        <w:rPr>
          <w:rFonts w:cs="Arial"/>
          <w:b w:val="0"/>
          <w:color w:val="auto"/>
          <w:sz w:val="22"/>
        </w:rPr>
        <w:t>The role will also p</w:t>
      </w:r>
      <w:r w:rsidRPr="00B74207">
        <w:rPr>
          <w:rFonts w:cs="Arial"/>
          <w:b w:val="0"/>
          <w:color w:val="auto"/>
          <w:sz w:val="22"/>
        </w:rPr>
        <w:t>rovide</w:t>
      </w:r>
      <w:r w:rsidRPr="000314C9">
        <w:rPr>
          <w:rFonts w:cs="Arial"/>
          <w:b w:val="0"/>
          <w:color w:val="auto"/>
          <w:sz w:val="22"/>
        </w:rPr>
        <w:t xml:space="preserve"> </w:t>
      </w:r>
      <w:r w:rsidR="00B74207">
        <w:rPr>
          <w:rFonts w:cs="Arial"/>
          <w:b w:val="0"/>
          <w:color w:val="auto"/>
          <w:sz w:val="22"/>
        </w:rPr>
        <w:t xml:space="preserve">administration </w:t>
      </w:r>
      <w:r w:rsidRPr="000314C9">
        <w:rPr>
          <w:rFonts w:cs="Arial"/>
          <w:b w:val="0"/>
          <w:color w:val="auto"/>
          <w:sz w:val="22"/>
        </w:rPr>
        <w:t xml:space="preserve">support for </w:t>
      </w:r>
      <w:r w:rsidR="00B74207">
        <w:rPr>
          <w:rFonts w:cs="Arial"/>
          <w:b w:val="0"/>
          <w:color w:val="auto"/>
          <w:sz w:val="22"/>
        </w:rPr>
        <w:t>the S</w:t>
      </w:r>
      <w:r w:rsidRPr="000314C9">
        <w:rPr>
          <w:rFonts w:cs="Arial"/>
          <w:b w:val="0"/>
          <w:color w:val="auto"/>
          <w:sz w:val="22"/>
        </w:rPr>
        <w:t xml:space="preserve">takeholder </w:t>
      </w:r>
      <w:r w:rsidR="00B74207">
        <w:rPr>
          <w:rFonts w:cs="Arial"/>
          <w:b w:val="0"/>
          <w:color w:val="auto"/>
          <w:sz w:val="22"/>
        </w:rPr>
        <w:t>E</w:t>
      </w:r>
      <w:r w:rsidRPr="000314C9">
        <w:rPr>
          <w:rFonts w:cs="Arial"/>
          <w:b w:val="0"/>
          <w:color w:val="auto"/>
          <w:sz w:val="22"/>
        </w:rPr>
        <w:t xml:space="preserve">ngagement </w:t>
      </w:r>
      <w:r w:rsidR="00B74207">
        <w:rPr>
          <w:rFonts w:cs="Arial"/>
          <w:b w:val="0"/>
          <w:color w:val="auto"/>
          <w:sz w:val="22"/>
        </w:rPr>
        <w:t>team</w:t>
      </w:r>
      <w:r w:rsidRPr="000314C9">
        <w:rPr>
          <w:rFonts w:cs="Arial"/>
          <w:b w:val="0"/>
          <w:color w:val="auto"/>
          <w:sz w:val="22"/>
        </w:rPr>
        <w:t>.</w:t>
      </w:r>
    </w:p>
    <w:p w14:paraId="220361E0" w14:textId="77777777" w:rsidR="00B74207" w:rsidRPr="00B74207" w:rsidRDefault="00B74207" w:rsidP="00B74207"/>
    <w:p w14:paraId="6691F566" w14:textId="77777777" w:rsidR="00B64393" w:rsidRPr="001327D4" w:rsidRDefault="00B64393" w:rsidP="008966A8">
      <w:pPr>
        <w:pStyle w:val="Heading3"/>
      </w:pPr>
      <w:r w:rsidRPr="001327D4">
        <w:t>Major Duties</w:t>
      </w:r>
    </w:p>
    <w:p w14:paraId="08803A00" w14:textId="485F47C8" w:rsidR="00B64393" w:rsidRDefault="00B64393" w:rsidP="001E26BC">
      <w:pPr>
        <w:pStyle w:val="BodyText"/>
        <w:numPr>
          <w:ilvl w:val="0"/>
          <w:numId w:val="1"/>
        </w:numPr>
        <w:tabs>
          <w:tab w:val="clear" w:pos="2835"/>
        </w:tabs>
        <w:spacing w:before="0"/>
        <w:ind w:right="142" w:hanging="357"/>
        <w:rPr>
          <w:rFonts w:ascii="Arial" w:hAnsi="Arial"/>
          <w:sz w:val="22"/>
        </w:rPr>
      </w:pPr>
      <w:r>
        <w:rPr>
          <w:sz w:val="22"/>
        </w:rPr>
        <w:t xml:space="preserve">Work with the </w:t>
      </w:r>
      <w:r w:rsidR="00AB47F1">
        <w:rPr>
          <w:sz w:val="22"/>
        </w:rPr>
        <w:t>Senior Strategic</w:t>
      </w:r>
      <w:r>
        <w:rPr>
          <w:sz w:val="22"/>
        </w:rPr>
        <w:t xml:space="preserve"> Engagement</w:t>
      </w:r>
      <w:r w:rsidR="00AB47F1">
        <w:rPr>
          <w:sz w:val="22"/>
        </w:rPr>
        <w:t xml:space="preserve"> Officer</w:t>
      </w:r>
      <w:r>
        <w:rPr>
          <w:sz w:val="22"/>
        </w:rPr>
        <w:t xml:space="preserve">, and the wider </w:t>
      </w:r>
      <w:r w:rsidR="00B74207">
        <w:rPr>
          <w:sz w:val="22"/>
        </w:rPr>
        <w:t>S</w:t>
      </w:r>
      <w:r>
        <w:rPr>
          <w:sz w:val="22"/>
        </w:rPr>
        <w:t xml:space="preserve">takeholder </w:t>
      </w:r>
      <w:r w:rsidR="00B74207">
        <w:rPr>
          <w:sz w:val="22"/>
        </w:rPr>
        <w:t>E</w:t>
      </w:r>
      <w:r>
        <w:rPr>
          <w:sz w:val="22"/>
        </w:rPr>
        <w:t>ngagement team, to develop and deliver best practice</w:t>
      </w:r>
      <w:r w:rsidR="00B74207">
        <w:rPr>
          <w:sz w:val="22"/>
        </w:rPr>
        <w:t xml:space="preserve"> project evaluation and</w:t>
      </w:r>
      <w:r>
        <w:rPr>
          <w:sz w:val="22"/>
        </w:rPr>
        <w:t xml:space="preserve"> data analytics to help inform </w:t>
      </w:r>
      <w:r w:rsidR="008966A8">
        <w:rPr>
          <w:sz w:val="22"/>
        </w:rPr>
        <w:t>stakeholder engagement plans</w:t>
      </w:r>
      <w:r>
        <w:rPr>
          <w:sz w:val="22"/>
        </w:rPr>
        <w:t xml:space="preserve">. </w:t>
      </w:r>
    </w:p>
    <w:p w14:paraId="3B6842E4" w14:textId="59D2D251" w:rsidR="00B64393" w:rsidRDefault="00B64393" w:rsidP="001E26BC">
      <w:pPr>
        <w:pStyle w:val="BodyText"/>
        <w:numPr>
          <w:ilvl w:val="0"/>
          <w:numId w:val="1"/>
        </w:numPr>
        <w:tabs>
          <w:tab w:val="clear" w:pos="2835"/>
        </w:tabs>
        <w:spacing w:before="0"/>
        <w:ind w:right="142" w:hanging="357"/>
        <w:rPr>
          <w:sz w:val="22"/>
        </w:rPr>
      </w:pPr>
      <w:r>
        <w:rPr>
          <w:sz w:val="22"/>
        </w:rPr>
        <w:t>Monitor</w:t>
      </w:r>
      <w:r w:rsidR="00B74207">
        <w:rPr>
          <w:sz w:val="22"/>
        </w:rPr>
        <w:t xml:space="preserve"> and report on</w:t>
      </w:r>
      <w:r>
        <w:rPr>
          <w:sz w:val="22"/>
        </w:rPr>
        <w:t xml:space="preserve"> the State Roads Division’s stakeholder engagement tools. </w:t>
      </w:r>
    </w:p>
    <w:p w14:paraId="613014FD" w14:textId="05CA4460" w:rsidR="008966A8" w:rsidRPr="008966A8" w:rsidRDefault="008966A8" w:rsidP="001E26BC">
      <w:pPr>
        <w:pStyle w:val="BodyText"/>
        <w:numPr>
          <w:ilvl w:val="0"/>
          <w:numId w:val="1"/>
        </w:numPr>
        <w:tabs>
          <w:tab w:val="clear" w:pos="2835"/>
        </w:tabs>
        <w:spacing w:before="0"/>
        <w:rPr>
          <w:rFonts w:cs="Arial"/>
          <w:sz w:val="22"/>
        </w:rPr>
      </w:pPr>
      <w:r w:rsidRPr="00EB2CF2">
        <w:rPr>
          <w:rFonts w:cs="Arial"/>
          <w:sz w:val="22"/>
        </w:rPr>
        <w:t>Review and provide recommendations for the improvement of established work practices including business processes, systems and supporting documentation.</w:t>
      </w:r>
    </w:p>
    <w:p w14:paraId="58C5A1BF" w14:textId="00B3CFD9" w:rsidR="008966A8" w:rsidRDefault="005A23DE" w:rsidP="001E26BC">
      <w:pPr>
        <w:pStyle w:val="BodyText"/>
        <w:numPr>
          <w:ilvl w:val="0"/>
          <w:numId w:val="1"/>
        </w:numPr>
        <w:tabs>
          <w:tab w:val="clear" w:pos="2835"/>
        </w:tabs>
        <w:spacing w:before="0"/>
        <w:ind w:right="142" w:hanging="357"/>
        <w:rPr>
          <w:sz w:val="22"/>
        </w:rPr>
      </w:pPr>
      <w:r>
        <w:rPr>
          <w:sz w:val="22"/>
        </w:rPr>
        <w:t>Research methods for and assist with analysis</w:t>
      </w:r>
      <w:r w:rsidR="00B64393">
        <w:rPr>
          <w:sz w:val="22"/>
        </w:rPr>
        <w:t xml:space="preserve"> of data</w:t>
      </w:r>
      <w:r w:rsidR="008966A8">
        <w:rPr>
          <w:sz w:val="22"/>
        </w:rPr>
        <w:t xml:space="preserve"> to aid in reporting on</w:t>
      </w:r>
      <w:r w:rsidR="00B74207">
        <w:rPr>
          <w:sz w:val="22"/>
        </w:rPr>
        <w:t xml:space="preserve"> and evaluating</w:t>
      </w:r>
      <w:r w:rsidR="008966A8">
        <w:rPr>
          <w:sz w:val="22"/>
        </w:rPr>
        <w:t xml:space="preserve"> </w:t>
      </w:r>
      <w:r w:rsidR="00040A88">
        <w:rPr>
          <w:sz w:val="22"/>
        </w:rPr>
        <w:t xml:space="preserve">the </w:t>
      </w:r>
      <w:r w:rsidR="008966A8">
        <w:rPr>
          <w:sz w:val="22"/>
        </w:rPr>
        <w:t>outcomes and effectiveness of communications and engagement strategies and campaigns.</w:t>
      </w:r>
      <w:r w:rsidR="008966A8" w:rsidRPr="008966A8">
        <w:rPr>
          <w:sz w:val="22"/>
        </w:rPr>
        <w:t xml:space="preserve"> </w:t>
      </w:r>
    </w:p>
    <w:p w14:paraId="29DAED96" w14:textId="62378BDC" w:rsidR="00B64393" w:rsidRPr="008966A8" w:rsidRDefault="008966A8" w:rsidP="001E26BC">
      <w:pPr>
        <w:pStyle w:val="BodyText"/>
        <w:numPr>
          <w:ilvl w:val="0"/>
          <w:numId w:val="1"/>
        </w:numPr>
        <w:tabs>
          <w:tab w:val="clear" w:pos="2835"/>
        </w:tabs>
        <w:spacing w:before="0"/>
        <w:ind w:right="142" w:hanging="357"/>
        <w:rPr>
          <w:sz w:val="22"/>
        </w:rPr>
      </w:pPr>
      <w:r>
        <w:rPr>
          <w:sz w:val="22"/>
        </w:rPr>
        <w:t>Work with members of the Stakeholder Communications Branch to identify and develop opportunities to improve communications and stakeholder engagement activities and processes.</w:t>
      </w:r>
    </w:p>
    <w:p w14:paraId="4ED95547" w14:textId="0AC8D521" w:rsidR="00B64393" w:rsidRDefault="00B64393" w:rsidP="001E26BC">
      <w:pPr>
        <w:pStyle w:val="BodyText"/>
        <w:numPr>
          <w:ilvl w:val="0"/>
          <w:numId w:val="1"/>
        </w:numPr>
        <w:tabs>
          <w:tab w:val="clear" w:pos="2835"/>
        </w:tabs>
        <w:spacing w:before="0"/>
        <w:ind w:right="142" w:hanging="357"/>
        <w:rPr>
          <w:sz w:val="22"/>
        </w:rPr>
      </w:pPr>
      <w:r>
        <w:rPr>
          <w:sz w:val="22"/>
        </w:rPr>
        <w:t xml:space="preserve">Provide </w:t>
      </w:r>
      <w:r w:rsidR="008966A8">
        <w:rPr>
          <w:sz w:val="22"/>
        </w:rPr>
        <w:t>system administration support for current team software, including set up</w:t>
      </w:r>
      <w:r w:rsidR="00AB47F1">
        <w:rPr>
          <w:sz w:val="22"/>
        </w:rPr>
        <w:t xml:space="preserve">, data integrity, </w:t>
      </w:r>
      <w:proofErr w:type="gramStart"/>
      <w:r w:rsidR="00AB47F1">
        <w:rPr>
          <w:sz w:val="22"/>
        </w:rPr>
        <w:t>maintenance</w:t>
      </w:r>
      <w:proofErr w:type="gramEnd"/>
      <w:r w:rsidR="008966A8">
        <w:rPr>
          <w:sz w:val="22"/>
        </w:rPr>
        <w:t xml:space="preserve"> and reporting of activities.</w:t>
      </w:r>
    </w:p>
    <w:p w14:paraId="3B887262" w14:textId="77777777" w:rsidR="008966A8" w:rsidRDefault="008966A8" w:rsidP="001E26BC">
      <w:pPr>
        <w:pStyle w:val="BodyText"/>
        <w:numPr>
          <w:ilvl w:val="0"/>
          <w:numId w:val="1"/>
        </w:numPr>
        <w:tabs>
          <w:tab w:val="clear" w:pos="2835"/>
        </w:tabs>
        <w:spacing w:before="0"/>
        <w:rPr>
          <w:rFonts w:cs="Arial"/>
          <w:sz w:val="22"/>
        </w:rPr>
      </w:pPr>
      <w:r w:rsidRPr="00EB2CF2">
        <w:rPr>
          <w:rFonts w:cs="Arial"/>
          <w:sz w:val="22"/>
        </w:rPr>
        <w:t>Create business and system requirements documentation for the development of new systems and/or the enhancement of existing systems.</w:t>
      </w:r>
    </w:p>
    <w:p w14:paraId="17E4B1DF" w14:textId="55A4FAA0" w:rsidR="008966A8" w:rsidRDefault="008966A8" w:rsidP="001E26BC">
      <w:pPr>
        <w:pStyle w:val="BodyText"/>
        <w:numPr>
          <w:ilvl w:val="0"/>
          <w:numId w:val="1"/>
        </w:numPr>
        <w:tabs>
          <w:tab w:val="clear" w:pos="2835"/>
        </w:tabs>
        <w:spacing w:before="0"/>
        <w:rPr>
          <w:rFonts w:cs="Arial"/>
          <w:sz w:val="22"/>
        </w:rPr>
      </w:pPr>
      <w:r w:rsidRPr="00362369">
        <w:rPr>
          <w:rFonts w:cs="Arial"/>
          <w:sz w:val="22"/>
        </w:rPr>
        <w:t>Maintain quality system operating procedures and assist with the management of existing Branch operating procedures.</w:t>
      </w:r>
    </w:p>
    <w:p w14:paraId="352FC055" w14:textId="31132A81" w:rsidR="00AB47F1" w:rsidRDefault="00AB47F1" w:rsidP="001E26BC">
      <w:pPr>
        <w:pStyle w:val="BodyText"/>
        <w:numPr>
          <w:ilvl w:val="0"/>
          <w:numId w:val="1"/>
        </w:numPr>
        <w:tabs>
          <w:tab w:val="clear" w:pos="2835"/>
        </w:tabs>
        <w:spacing w:before="0"/>
        <w:rPr>
          <w:rFonts w:cs="Arial"/>
          <w:sz w:val="22"/>
        </w:rPr>
      </w:pPr>
      <w:r>
        <w:rPr>
          <w:rFonts w:cs="Arial"/>
          <w:sz w:val="22"/>
        </w:rPr>
        <w:t>General administration support as directed.</w:t>
      </w:r>
    </w:p>
    <w:p w14:paraId="156EF085" w14:textId="77777777" w:rsidR="002D76A3" w:rsidRDefault="002D76A3" w:rsidP="008966A8">
      <w:pPr>
        <w:pStyle w:val="Heading3"/>
      </w:pPr>
    </w:p>
    <w:p w14:paraId="4AF52BA8" w14:textId="77777777" w:rsidR="00B34190" w:rsidRDefault="00B34190" w:rsidP="008966A8">
      <w:pPr>
        <w:pStyle w:val="Heading3"/>
      </w:pPr>
    </w:p>
    <w:p w14:paraId="0E50DFFA" w14:textId="77777777" w:rsidR="00B34190" w:rsidRDefault="00B34190" w:rsidP="008966A8">
      <w:pPr>
        <w:pStyle w:val="Heading3"/>
      </w:pPr>
    </w:p>
    <w:p w14:paraId="18CD49F1" w14:textId="3A98ADD0" w:rsidR="008966A8" w:rsidRPr="001327D4" w:rsidRDefault="008966A8" w:rsidP="008966A8">
      <w:pPr>
        <w:pStyle w:val="Heading3"/>
      </w:pPr>
      <w:r>
        <w:t>Scope of Work: (</w:t>
      </w:r>
      <w:r w:rsidRPr="001327D4">
        <w:t>Responsibility, Decision-Making and Direction Received</w:t>
      </w:r>
      <w:r>
        <w:t>)</w:t>
      </w:r>
    </w:p>
    <w:p w14:paraId="169A7234" w14:textId="7CC4F45C" w:rsidR="008966A8" w:rsidRPr="000314C9" w:rsidRDefault="008966A8" w:rsidP="008966A8">
      <w:pPr>
        <w:pStyle w:val="Heading3"/>
        <w:rPr>
          <w:rFonts w:cs="Arial"/>
          <w:b w:val="0"/>
          <w:color w:val="auto"/>
          <w:sz w:val="22"/>
        </w:rPr>
      </w:pPr>
      <w:r w:rsidRPr="000314C9">
        <w:rPr>
          <w:rFonts w:cs="Arial"/>
          <w:b w:val="0"/>
          <w:color w:val="auto"/>
          <w:sz w:val="22"/>
        </w:rPr>
        <w:t xml:space="preserve">The occupant of this position is responsible for undertaking a variety of functions exercising initiative, </w:t>
      </w:r>
      <w:r w:rsidR="00B74207" w:rsidRPr="000314C9">
        <w:rPr>
          <w:rFonts w:cs="Arial"/>
          <w:b w:val="0"/>
          <w:color w:val="auto"/>
          <w:sz w:val="22"/>
        </w:rPr>
        <w:t>judg</w:t>
      </w:r>
      <w:r w:rsidR="00B74207">
        <w:rPr>
          <w:rFonts w:cs="Arial"/>
          <w:b w:val="0"/>
          <w:color w:val="auto"/>
          <w:sz w:val="22"/>
        </w:rPr>
        <w:t>e</w:t>
      </w:r>
      <w:r w:rsidR="00B74207" w:rsidRPr="000314C9">
        <w:rPr>
          <w:rFonts w:cs="Arial"/>
          <w:b w:val="0"/>
          <w:color w:val="auto"/>
          <w:sz w:val="22"/>
        </w:rPr>
        <w:t>ment,</w:t>
      </w:r>
      <w:r w:rsidRPr="000314C9">
        <w:rPr>
          <w:rFonts w:cs="Arial"/>
          <w:b w:val="0"/>
          <w:color w:val="auto"/>
          <w:sz w:val="22"/>
        </w:rPr>
        <w:t xml:space="preserve"> and discretion, and ensuring all work carried out is well researched and accurate.</w:t>
      </w:r>
    </w:p>
    <w:p w14:paraId="3E1BEB97" w14:textId="56351AA8" w:rsidR="008966A8" w:rsidRDefault="008966A8" w:rsidP="0067488F">
      <w:pPr>
        <w:pStyle w:val="Heading3"/>
        <w:spacing w:after="0"/>
      </w:pPr>
      <w:r w:rsidRPr="000314C9">
        <w:rPr>
          <w:rFonts w:cs="Arial"/>
          <w:b w:val="0"/>
          <w:color w:val="auto"/>
          <w:sz w:val="22"/>
        </w:rPr>
        <w:t xml:space="preserve">The position operates under general direction and supervision from the </w:t>
      </w:r>
      <w:r w:rsidR="00E80761">
        <w:rPr>
          <w:rFonts w:cs="Arial"/>
          <w:b w:val="0"/>
          <w:color w:val="auto"/>
          <w:sz w:val="22"/>
        </w:rPr>
        <w:t>Senior Strategic Engagement Officer</w:t>
      </w:r>
      <w:r w:rsidRPr="000314C9">
        <w:rPr>
          <w:rFonts w:cs="Arial"/>
          <w:b w:val="0"/>
          <w:color w:val="auto"/>
          <w:sz w:val="22"/>
        </w:rPr>
        <w:t>.</w:t>
      </w:r>
    </w:p>
    <w:p w14:paraId="17C50E27" w14:textId="77777777" w:rsidR="00B74207" w:rsidRDefault="00B74207" w:rsidP="0067488F">
      <w:pPr>
        <w:tabs>
          <w:tab w:val="clear" w:pos="2835"/>
        </w:tabs>
        <w:rPr>
          <w:b/>
          <w:color w:val="000000" w:themeColor="text1"/>
        </w:rPr>
      </w:pPr>
    </w:p>
    <w:p w14:paraId="7DBCB1E6" w14:textId="77777777" w:rsidR="00B74207" w:rsidRDefault="00B74207" w:rsidP="00B74207">
      <w:pPr>
        <w:pStyle w:val="Heading3"/>
      </w:pPr>
      <w:r>
        <w:t>Selection Criteria (Knowledge and Skills):</w:t>
      </w:r>
    </w:p>
    <w:p w14:paraId="4B01CC8D" w14:textId="0FB5E446" w:rsidR="00B74207" w:rsidRPr="00321206" w:rsidRDefault="00B74207" w:rsidP="002D76A3">
      <w:pPr>
        <w:pStyle w:val="ListParagraph"/>
        <w:numPr>
          <w:ilvl w:val="0"/>
          <w:numId w:val="3"/>
        </w:numPr>
        <w:tabs>
          <w:tab w:val="clear" w:pos="2835"/>
        </w:tabs>
        <w:spacing w:before="0" w:after="360"/>
        <w:jc w:val="both"/>
        <w:rPr>
          <w:sz w:val="22"/>
        </w:rPr>
      </w:pPr>
      <w:r w:rsidRPr="00321206">
        <w:rPr>
          <w:sz w:val="22"/>
        </w:rPr>
        <w:t xml:space="preserve">High-level </w:t>
      </w:r>
      <w:r>
        <w:rPr>
          <w:sz w:val="22"/>
        </w:rPr>
        <w:t>analytical</w:t>
      </w:r>
      <w:r w:rsidRPr="00321206">
        <w:rPr>
          <w:sz w:val="22"/>
        </w:rPr>
        <w:t xml:space="preserve"> skills with a proven ability to </w:t>
      </w:r>
      <w:r>
        <w:rPr>
          <w:sz w:val="22"/>
        </w:rPr>
        <w:t>draw conclusions from complex, multi layered data</w:t>
      </w:r>
      <w:r w:rsidR="008459A4">
        <w:rPr>
          <w:sz w:val="22"/>
        </w:rPr>
        <w:t xml:space="preserve"> sets</w:t>
      </w:r>
      <w:r>
        <w:rPr>
          <w:sz w:val="22"/>
        </w:rPr>
        <w:t xml:space="preserve"> and present findings</w:t>
      </w:r>
      <w:r w:rsidRPr="00321206">
        <w:rPr>
          <w:sz w:val="22"/>
        </w:rPr>
        <w:t xml:space="preserve"> </w:t>
      </w:r>
      <w:r>
        <w:rPr>
          <w:sz w:val="22"/>
        </w:rPr>
        <w:t>for a range of internal and external</w:t>
      </w:r>
      <w:r w:rsidRPr="00321206">
        <w:rPr>
          <w:sz w:val="22"/>
        </w:rPr>
        <w:t xml:space="preserve"> audiences.</w:t>
      </w:r>
    </w:p>
    <w:p w14:paraId="1F110AC7" w14:textId="4A869BFB" w:rsidR="00B74207" w:rsidRPr="00321206" w:rsidRDefault="00B74207" w:rsidP="002D76A3">
      <w:pPr>
        <w:pStyle w:val="ListParagraph"/>
        <w:numPr>
          <w:ilvl w:val="0"/>
          <w:numId w:val="3"/>
        </w:numPr>
        <w:tabs>
          <w:tab w:val="clear" w:pos="2835"/>
        </w:tabs>
        <w:spacing w:before="0" w:after="360"/>
        <w:jc w:val="both"/>
        <w:rPr>
          <w:sz w:val="22"/>
        </w:rPr>
      </w:pPr>
      <w:r w:rsidRPr="00321206">
        <w:rPr>
          <w:sz w:val="22"/>
        </w:rPr>
        <w:t xml:space="preserve">A contemporary knowledge of and demonstrated experience in </w:t>
      </w:r>
      <w:r>
        <w:rPr>
          <w:sz w:val="22"/>
        </w:rPr>
        <w:t xml:space="preserve">evaluating </w:t>
      </w:r>
      <w:r w:rsidRPr="00321206">
        <w:rPr>
          <w:sz w:val="22"/>
        </w:rPr>
        <w:t xml:space="preserve">communications </w:t>
      </w:r>
      <w:r>
        <w:rPr>
          <w:sz w:val="22"/>
        </w:rPr>
        <w:t xml:space="preserve">and stakeholder engagement </w:t>
      </w:r>
      <w:r w:rsidRPr="00321206">
        <w:rPr>
          <w:sz w:val="22"/>
        </w:rPr>
        <w:t xml:space="preserve">materials, including experience </w:t>
      </w:r>
      <w:r>
        <w:rPr>
          <w:sz w:val="22"/>
        </w:rPr>
        <w:t>in analysing</w:t>
      </w:r>
      <w:r w:rsidRPr="00321206">
        <w:rPr>
          <w:sz w:val="22"/>
        </w:rPr>
        <w:t xml:space="preserve"> web and social media content. </w:t>
      </w:r>
    </w:p>
    <w:p w14:paraId="5AD7A88F" w14:textId="2EB0FFA1" w:rsidR="008459A4" w:rsidRPr="00321206" w:rsidRDefault="008459A4" w:rsidP="002D76A3">
      <w:pPr>
        <w:pStyle w:val="ListParagraph"/>
        <w:numPr>
          <w:ilvl w:val="0"/>
          <w:numId w:val="3"/>
        </w:numPr>
        <w:tabs>
          <w:tab w:val="clear" w:pos="2835"/>
        </w:tabs>
        <w:spacing w:before="0" w:after="360"/>
        <w:jc w:val="both"/>
        <w:rPr>
          <w:sz w:val="22"/>
        </w:rPr>
      </w:pPr>
      <w:r>
        <w:rPr>
          <w:sz w:val="22"/>
        </w:rPr>
        <w:t>Comprehensive administrative experience, with proven ability in supporting a widely focussed team.</w:t>
      </w:r>
    </w:p>
    <w:p w14:paraId="381AA25E" w14:textId="57D563DB" w:rsidR="00B74207" w:rsidRPr="00321206" w:rsidRDefault="008459A4" w:rsidP="002D76A3">
      <w:pPr>
        <w:pStyle w:val="ListParagraph"/>
        <w:numPr>
          <w:ilvl w:val="0"/>
          <w:numId w:val="3"/>
        </w:numPr>
        <w:tabs>
          <w:tab w:val="clear" w:pos="2835"/>
        </w:tabs>
        <w:spacing w:before="0" w:after="360"/>
        <w:jc w:val="both"/>
        <w:rPr>
          <w:sz w:val="22"/>
        </w:rPr>
      </w:pPr>
      <w:r w:rsidRPr="00321206">
        <w:rPr>
          <w:sz w:val="22"/>
        </w:rPr>
        <w:t>Exceptional</w:t>
      </w:r>
      <w:r w:rsidR="00B74207" w:rsidRPr="00321206">
        <w:rPr>
          <w:sz w:val="22"/>
        </w:rPr>
        <w:t xml:space="preserve"> interpersonal and negotiation skills with a proven ability to effectively liaise with others, exercise sound judgment and work collaboratively with internal and external stakeholders. An ability to work effectively in a team.</w:t>
      </w:r>
    </w:p>
    <w:p w14:paraId="70D3CDBB" w14:textId="77777777" w:rsidR="00B74207" w:rsidRPr="00321206" w:rsidRDefault="00B74207" w:rsidP="0067488F">
      <w:pPr>
        <w:pStyle w:val="ListParagraph"/>
        <w:numPr>
          <w:ilvl w:val="0"/>
          <w:numId w:val="3"/>
        </w:numPr>
        <w:tabs>
          <w:tab w:val="clear" w:pos="2835"/>
        </w:tabs>
        <w:spacing w:before="0" w:after="0"/>
        <w:jc w:val="both"/>
        <w:rPr>
          <w:sz w:val="22"/>
        </w:rPr>
      </w:pPr>
      <w:r w:rsidRPr="00321206">
        <w:rPr>
          <w:sz w:val="22"/>
        </w:rPr>
        <w:t xml:space="preserve">Well-developed organisational skills, with the proven ability to set priorities, meet deadlines and work in a high-pressure environment under limited supervision. </w:t>
      </w:r>
    </w:p>
    <w:p w14:paraId="3FFD49F0" w14:textId="0E923C4C" w:rsidR="00644882" w:rsidRDefault="00644882" w:rsidP="008966A8"/>
    <w:p w14:paraId="34B8CDBD" w14:textId="77777777" w:rsidR="008459A4" w:rsidRDefault="008459A4" w:rsidP="008459A4">
      <w:pPr>
        <w:pStyle w:val="Heading3"/>
      </w:pPr>
      <w:r>
        <w:t>Position Requirements</w:t>
      </w:r>
    </w:p>
    <w:p w14:paraId="30B9983D" w14:textId="77777777" w:rsidR="008459A4" w:rsidRPr="002D76A3" w:rsidRDefault="008459A4" w:rsidP="008459A4">
      <w:pPr>
        <w:pStyle w:val="Heading4"/>
        <w:rPr>
          <w:rFonts w:ascii="Gill Sans MT" w:hAnsi="Gill Sans MT"/>
          <w:b/>
          <w:bCs/>
          <w:color w:val="auto"/>
          <w:sz w:val="22"/>
        </w:rPr>
      </w:pPr>
      <w:r w:rsidRPr="002D76A3">
        <w:rPr>
          <w:rFonts w:ascii="Gill Sans MT" w:hAnsi="Gill Sans MT"/>
          <w:b/>
          <w:bCs/>
          <w:color w:val="auto"/>
          <w:sz w:val="22"/>
        </w:rPr>
        <w:t>Pre-employment</w:t>
      </w:r>
    </w:p>
    <w:p w14:paraId="73D60335" w14:textId="77777777" w:rsidR="008459A4" w:rsidRPr="002D76A3" w:rsidRDefault="008459A4" w:rsidP="008459A4">
      <w:pPr>
        <w:pStyle w:val="ListParagraph"/>
        <w:numPr>
          <w:ilvl w:val="0"/>
          <w:numId w:val="4"/>
        </w:numPr>
        <w:tabs>
          <w:tab w:val="clear" w:pos="2835"/>
        </w:tabs>
        <w:spacing w:before="0" w:after="200"/>
        <w:ind w:left="426"/>
        <w:rPr>
          <w:b/>
          <w:iCs/>
          <w:sz w:val="22"/>
        </w:rPr>
      </w:pPr>
      <w:r w:rsidRPr="002D76A3">
        <w:rPr>
          <w:rFonts w:cs="Arial"/>
          <w:iCs/>
          <w:sz w:val="22"/>
        </w:rPr>
        <w:t>Nil</w:t>
      </w:r>
    </w:p>
    <w:p w14:paraId="744603E2" w14:textId="77777777" w:rsidR="008459A4" w:rsidRPr="002D76A3" w:rsidRDefault="008459A4" w:rsidP="008459A4">
      <w:pPr>
        <w:pStyle w:val="Heading4"/>
        <w:rPr>
          <w:rFonts w:ascii="Gill Sans MT" w:hAnsi="Gill Sans MT"/>
          <w:b/>
          <w:bCs/>
          <w:color w:val="auto"/>
          <w:sz w:val="22"/>
        </w:rPr>
      </w:pPr>
      <w:r w:rsidRPr="002D76A3">
        <w:rPr>
          <w:rFonts w:ascii="Gill Sans MT" w:hAnsi="Gill Sans MT"/>
          <w:b/>
          <w:bCs/>
          <w:color w:val="auto"/>
          <w:sz w:val="22"/>
        </w:rPr>
        <w:t>Essential</w:t>
      </w:r>
    </w:p>
    <w:p w14:paraId="2699163A" w14:textId="77777777" w:rsidR="008459A4" w:rsidRPr="000314C9" w:rsidRDefault="008459A4" w:rsidP="008459A4">
      <w:pPr>
        <w:numPr>
          <w:ilvl w:val="12"/>
          <w:numId w:val="0"/>
        </w:numPr>
        <w:spacing w:before="60" w:after="0"/>
        <w:ind w:right="397"/>
        <w:rPr>
          <w:rFonts w:cs="Arial"/>
          <w:sz w:val="22"/>
          <w:lang w:eastAsia="en-AU"/>
        </w:rPr>
      </w:pPr>
      <w:r w:rsidRPr="000314C9">
        <w:rPr>
          <w:rFonts w:cs="Arial"/>
          <w:sz w:val="22"/>
          <w:lang w:eastAsia="en-AU"/>
        </w:rPr>
        <w:t>Evidence of the following must be provided prior to appointment to this role:</w:t>
      </w:r>
    </w:p>
    <w:p w14:paraId="036827AD" w14:textId="6204F9E4" w:rsidR="00B34190" w:rsidRDefault="00B34190" w:rsidP="00B34190">
      <w:pPr>
        <w:pStyle w:val="ListParagraph"/>
        <w:numPr>
          <w:ilvl w:val="0"/>
          <w:numId w:val="7"/>
        </w:numPr>
        <w:ind w:left="426"/>
        <w:rPr>
          <w:rFonts w:ascii="Calibri" w:hAnsi="Calibri"/>
          <w:sz w:val="22"/>
        </w:rPr>
      </w:pPr>
      <w:r>
        <w:rPr>
          <w:sz w:val="22"/>
        </w:rPr>
        <w:t xml:space="preserve">A person is to provide evidence that they are vaccinated against COVID-19 or have an approved exemption. </w:t>
      </w:r>
    </w:p>
    <w:p w14:paraId="4DC6BC1D" w14:textId="77777777" w:rsidR="00B34190" w:rsidRDefault="00B34190" w:rsidP="00B34190">
      <w:pPr>
        <w:ind w:left="426"/>
        <w:rPr>
          <w:sz w:val="22"/>
        </w:rPr>
      </w:pPr>
      <w:r>
        <w:rPr>
          <w:sz w:val="22"/>
        </w:rPr>
        <w:t xml:space="preserve">A person is vaccinated against COVID-19 if the person has received </w:t>
      </w:r>
      <w:proofErr w:type="gramStart"/>
      <w:r>
        <w:rPr>
          <w:sz w:val="22"/>
        </w:rPr>
        <w:t>all of</w:t>
      </w:r>
      <w:proofErr w:type="gramEnd"/>
      <w:r>
        <w:rPr>
          <w:sz w:val="22"/>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5C2B7B13" w14:textId="77777777" w:rsidR="00B34190" w:rsidRDefault="00B34190" w:rsidP="00B34190">
      <w:pPr>
        <w:tabs>
          <w:tab w:val="left" w:pos="720"/>
        </w:tabs>
        <w:spacing w:before="0" w:after="200"/>
        <w:ind w:left="426"/>
        <w:rPr>
          <w:sz w:val="22"/>
        </w:rPr>
      </w:pPr>
      <w:r>
        <w:rPr>
          <w:sz w:val="22"/>
        </w:rPr>
        <w:t xml:space="preserve">A person may be granted an exemption from the requirement to be vaccinated against the disease where the person demonstrates –   </w:t>
      </w:r>
    </w:p>
    <w:p w14:paraId="0B1D803E" w14:textId="77777777" w:rsidR="00B34190" w:rsidRDefault="00B34190" w:rsidP="00B34190">
      <w:pPr>
        <w:pStyle w:val="ListParagraph"/>
        <w:numPr>
          <w:ilvl w:val="0"/>
          <w:numId w:val="8"/>
        </w:numPr>
        <w:ind w:left="851"/>
        <w:rPr>
          <w:sz w:val="22"/>
        </w:rPr>
      </w:pPr>
      <w:r>
        <w:rPr>
          <w:sz w:val="22"/>
        </w:rPr>
        <w:t>Medical contraindication</w:t>
      </w:r>
    </w:p>
    <w:p w14:paraId="05CD7310" w14:textId="77777777" w:rsidR="00B34190" w:rsidRDefault="00B34190" w:rsidP="00B34190">
      <w:pPr>
        <w:ind w:left="851"/>
        <w:rPr>
          <w:sz w:val="22"/>
        </w:rPr>
      </w:pPr>
      <w:r>
        <w:rPr>
          <w:sz w:val="22"/>
        </w:rPr>
        <w:t xml:space="preserve">A person is unable to be vaccinated against the disease due to a medical contraindication if they: </w:t>
      </w:r>
    </w:p>
    <w:p w14:paraId="35C3EA8E" w14:textId="77777777" w:rsidR="00B34190" w:rsidRDefault="00B34190" w:rsidP="00B34190">
      <w:pPr>
        <w:pStyle w:val="ListParagraph"/>
        <w:numPr>
          <w:ilvl w:val="0"/>
          <w:numId w:val="9"/>
        </w:numPr>
        <w:spacing w:before="0" w:after="0" w:line="240" w:lineRule="auto"/>
        <w:ind w:left="1134" w:hanging="283"/>
        <w:rPr>
          <w:sz w:val="22"/>
        </w:rPr>
      </w:pPr>
      <w:r>
        <w:rPr>
          <w:sz w:val="22"/>
        </w:rPr>
        <w:lastRenderedPageBreak/>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380A16D6" w14:textId="77777777" w:rsidR="00B34190" w:rsidRDefault="00B34190" w:rsidP="00B34190">
      <w:pPr>
        <w:ind w:left="1134"/>
        <w:rPr>
          <w:sz w:val="22"/>
        </w:rPr>
      </w:pPr>
      <w:r>
        <w:rPr>
          <w:sz w:val="22"/>
        </w:rPr>
        <w:t>Or</w:t>
      </w:r>
    </w:p>
    <w:p w14:paraId="761AF3FE" w14:textId="77777777" w:rsidR="00B34190" w:rsidRDefault="00B34190" w:rsidP="00B34190">
      <w:pPr>
        <w:pStyle w:val="ListParagraph"/>
        <w:numPr>
          <w:ilvl w:val="0"/>
          <w:numId w:val="9"/>
        </w:numPr>
        <w:spacing w:before="0" w:line="240" w:lineRule="auto"/>
        <w:ind w:left="1134" w:hanging="283"/>
        <w:rPr>
          <w:sz w:val="22"/>
        </w:rPr>
      </w:pPr>
      <w:r>
        <w:rPr>
          <w:sz w:val="22"/>
        </w:rPr>
        <w:t>have a medical exemption, that applies to the vaccinations for the disease, that has been recorded on the Australian Immunisation Register, operated by or on behalf of the Commonwealth Government.</w:t>
      </w:r>
    </w:p>
    <w:p w14:paraId="030F58D4" w14:textId="77777777" w:rsidR="00B34190" w:rsidRDefault="00B34190" w:rsidP="00B34190">
      <w:pPr>
        <w:pStyle w:val="ListParagraph"/>
        <w:tabs>
          <w:tab w:val="left" w:pos="720"/>
        </w:tabs>
        <w:spacing w:before="0" w:line="240" w:lineRule="auto"/>
        <w:ind w:left="851"/>
        <w:rPr>
          <w:sz w:val="22"/>
        </w:rPr>
      </w:pPr>
    </w:p>
    <w:p w14:paraId="7ECF72BC" w14:textId="77777777" w:rsidR="00B34190" w:rsidRDefault="00B34190" w:rsidP="00B34190">
      <w:pPr>
        <w:pStyle w:val="ListParagraph"/>
        <w:numPr>
          <w:ilvl w:val="0"/>
          <w:numId w:val="8"/>
        </w:numPr>
        <w:spacing w:before="240"/>
        <w:ind w:left="851" w:hanging="357"/>
        <w:rPr>
          <w:sz w:val="22"/>
        </w:rPr>
      </w:pPr>
      <w:r>
        <w:rPr>
          <w:sz w:val="22"/>
        </w:rPr>
        <w:t>Exceptional circumstances demonstrated to the satisfaction of the Head of Agency.</w:t>
      </w:r>
    </w:p>
    <w:p w14:paraId="59F6652B" w14:textId="77719F91" w:rsidR="008459A4" w:rsidRPr="000314C9" w:rsidRDefault="008459A4" w:rsidP="00B34190">
      <w:pPr>
        <w:pStyle w:val="ListParagraph"/>
        <w:spacing w:line="240" w:lineRule="auto"/>
        <w:ind w:left="426" w:right="397"/>
        <w:rPr>
          <w:rFonts w:cs="Arial"/>
          <w:bCs/>
          <w:i/>
          <w:sz w:val="22"/>
        </w:rPr>
      </w:pPr>
    </w:p>
    <w:p w14:paraId="5C940201" w14:textId="26021E99" w:rsidR="008459A4" w:rsidRPr="00B34190" w:rsidRDefault="008459A4" w:rsidP="00B34190">
      <w:pPr>
        <w:spacing w:before="0" w:after="200"/>
        <w:ind w:right="397"/>
        <w:rPr>
          <w:sz w:val="22"/>
        </w:rPr>
      </w:pPr>
      <w:r w:rsidRPr="00B34190">
        <w:rPr>
          <w:sz w:val="22"/>
        </w:rPr>
        <w:t>The person must continue to satisfy the above essential requirements/qualifications throughout their employment in this role.</w:t>
      </w:r>
    </w:p>
    <w:p w14:paraId="351DC2F8" w14:textId="0C288F78" w:rsidR="008459A4" w:rsidRPr="002D76A3" w:rsidRDefault="008459A4" w:rsidP="00B34190">
      <w:pPr>
        <w:spacing w:line="240" w:lineRule="auto"/>
        <w:ind w:right="397"/>
        <w:rPr>
          <w:b/>
          <w:bCs/>
          <w:sz w:val="22"/>
        </w:rPr>
      </w:pPr>
      <w:r w:rsidRPr="002D76A3">
        <w:rPr>
          <w:b/>
          <w:bCs/>
          <w:i/>
          <w:iCs/>
          <w:sz w:val="22"/>
        </w:rPr>
        <w:t>Desirable</w:t>
      </w:r>
    </w:p>
    <w:p w14:paraId="539E88E9" w14:textId="5A377785" w:rsidR="008459A4" w:rsidRPr="002D76A3" w:rsidRDefault="008459A4" w:rsidP="008459A4">
      <w:pPr>
        <w:pStyle w:val="ListParagraph"/>
        <w:numPr>
          <w:ilvl w:val="0"/>
          <w:numId w:val="4"/>
        </w:numPr>
        <w:tabs>
          <w:tab w:val="clear" w:pos="2835"/>
        </w:tabs>
        <w:spacing w:before="0" w:after="200"/>
        <w:ind w:left="426"/>
        <w:rPr>
          <w:b/>
          <w:iCs/>
          <w:sz w:val="22"/>
        </w:rPr>
      </w:pPr>
      <w:r w:rsidRPr="002D76A3">
        <w:rPr>
          <w:rFonts w:cs="Arial"/>
          <w:iCs/>
          <w:sz w:val="22"/>
        </w:rPr>
        <w:t>Tertiary qualification in a relevant discipline</w:t>
      </w:r>
      <w:r w:rsidR="002D76A3">
        <w:rPr>
          <w:rFonts w:cs="Arial"/>
          <w:iCs/>
          <w:sz w:val="22"/>
        </w:rPr>
        <w:t>.</w:t>
      </w:r>
      <w:r w:rsidRPr="002D76A3">
        <w:rPr>
          <w:rFonts w:cs="Arial"/>
          <w:iCs/>
          <w:sz w:val="22"/>
        </w:rPr>
        <w:t xml:space="preserve"> </w:t>
      </w:r>
    </w:p>
    <w:p w14:paraId="7436A56C" w14:textId="77777777" w:rsidR="009962A0" w:rsidRDefault="009962A0" w:rsidP="009962A0">
      <w:pPr>
        <w:pStyle w:val="Heading3"/>
      </w:pPr>
    </w:p>
    <w:p w14:paraId="03F72658" w14:textId="73B7FB75" w:rsidR="008459A4" w:rsidRDefault="008459A4" w:rsidP="008459A4">
      <w:pPr>
        <w:pStyle w:val="Heading3"/>
        <w:spacing w:before="0" w:after="0" w:line="240" w:lineRule="auto"/>
      </w:pPr>
      <w:r>
        <w:t>Working at State Growth</w:t>
      </w:r>
    </w:p>
    <w:p w14:paraId="3B86AD53" w14:textId="77777777" w:rsidR="008459A4" w:rsidRPr="00A4261D" w:rsidRDefault="008459A4" w:rsidP="008459A4">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38B41B33" w14:textId="77777777" w:rsidR="008459A4" w:rsidRPr="0063697D" w:rsidRDefault="008459A4" w:rsidP="008459A4">
      <w:pPr>
        <w:pStyle w:val="BodyText"/>
        <w:rPr>
          <w:rFonts w:cs="Arial"/>
          <w:sz w:val="22"/>
        </w:rPr>
      </w:pPr>
      <w:r w:rsidRPr="0063697D">
        <w:rPr>
          <w:rFonts w:cs="Arial"/>
          <w:sz w:val="22"/>
        </w:rPr>
        <w:t xml:space="preserve">The </w:t>
      </w:r>
      <w:hyperlink r:id="rId6"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70844964" w14:textId="77777777" w:rsidR="008459A4" w:rsidRPr="00E44F81" w:rsidRDefault="008459A4" w:rsidP="008459A4">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1E0087AD" w14:textId="77777777" w:rsidR="008459A4" w:rsidRPr="00C67374" w:rsidRDefault="008459A4" w:rsidP="008459A4">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is </w:t>
      </w:r>
    </w:p>
    <w:p w14:paraId="1561C58D" w14:textId="77777777" w:rsidR="008459A4" w:rsidRPr="00121056" w:rsidRDefault="008459A4" w:rsidP="008459A4">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62E4738F" w14:textId="77777777" w:rsidR="008459A4" w:rsidRPr="00121056" w:rsidRDefault="008459A4" w:rsidP="008459A4">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71321DC5" w14:textId="77777777" w:rsidR="008459A4" w:rsidRPr="00121056" w:rsidRDefault="008459A4" w:rsidP="008459A4">
      <w:pPr>
        <w:numPr>
          <w:ilvl w:val="0"/>
          <w:numId w:val="5"/>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w:t>
      </w:r>
      <w:proofErr w:type="gramStart"/>
      <w:r w:rsidRPr="00121056">
        <w:rPr>
          <w:rFonts w:cs="Arial"/>
          <w:sz w:val="22"/>
        </w:rPr>
        <w:t>caring</w:t>
      </w:r>
      <w:proofErr w:type="gramEnd"/>
      <w:r w:rsidRPr="00121056">
        <w:rPr>
          <w:rFonts w:cs="Arial"/>
          <w:sz w:val="22"/>
        </w:rPr>
        <w:t xml:space="preserve"> and productive</w:t>
      </w:r>
    </w:p>
    <w:p w14:paraId="2AAD1331" w14:textId="77777777" w:rsidR="008459A4" w:rsidRPr="00121056" w:rsidRDefault="008459A4" w:rsidP="008459A4">
      <w:pPr>
        <w:numPr>
          <w:ilvl w:val="0"/>
          <w:numId w:val="5"/>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w:t>
      </w:r>
      <w:proofErr w:type="gramStart"/>
      <w:r w:rsidRPr="00121056">
        <w:rPr>
          <w:rFonts w:cs="Arial"/>
          <w:sz w:val="22"/>
        </w:rPr>
        <w:t>trusting</w:t>
      </w:r>
      <w:proofErr w:type="gramEnd"/>
      <w:r w:rsidRPr="00121056">
        <w:rPr>
          <w:rFonts w:cs="Arial"/>
          <w:sz w:val="22"/>
        </w:rPr>
        <w:t xml:space="preserve"> and appreciative</w:t>
      </w:r>
    </w:p>
    <w:p w14:paraId="4CC605C2" w14:textId="77777777" w:rsidR="008459A4" w:rsidRPr="00121056" w:rsidRDefault="008459A4" w:rsidP="008459A4">
      <w:pPr>
        <w:numPr>
          <w:ilvl w:val="0"/>
          <w:numId w:val="5"/>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63D7BDD7" w14:textId="77777777" w:rsidR="008459A4" w:rsidRPr="00121056" w:rsidRDefault="008459A4" w:rsidP="008459A4">
      <w:pPr>
        <w:numPr>
          <w:ilvl w:val="0"/>
          <w:numId w:val="5"/>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669ABD31" w14:textId="77777777" w:rsidR="008459A4" w:rsidRPr="00DE4220" w:rsidRDefault="008459A4" w:rsidP="008459A4">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t>
      </w:r>
      <w:r>
        <w:rPr>
          <w:rFonts w:cs="Arial"/>
          <w:sz w:val="22"/>
        </w:rPr>
        <w:lastRenderedPageBreak/>
        <w:t xml:space="preserve">workplace that promotes their safety and provides the flexibility to support employees to live free from violence. </w:t>
      </w:r>
      <w:r w:rsidRPr="0063697D">
        <w:rPr>
          <w:rFonts w:cs="Arial"/>
          <w:sz w:val="22"/>
        </w:rPr>
        <w:t xml:space="preserve"> </w:t>
      </w:r>
    </w:p>
    <w:p w14:paraId="7A9AF0B6" w14:textId="77777777" w:rsidR="009962A0" w:rsidRDefault="009962A0" w:rsidP="009962A0">
      <w:pPr>
        <w:pStyle w:val="BodyText"/>
        <w:ind w:right="43"/>
        <w:jc w:val="both"/>
        <w:rPr>
          <w:rFonts w:cs="Arial"/>
          <w:color w:val="0563C1"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7" w:history="1">
        <w:r w:rsidRPr="00EF2C16">
          <w:rPr>
            <w:rStyle w:val="Hyperlink"/>
            <w:rFonts w:cs="Arial"/>
            <w:sz w:val="22"/>
          </w:rPr>
          <w:t>www.dpac.tas.gov.au/divisions/ssmo</w:t>
        </w:r>
      </w:hyperlink>
      <w:r w:rsidRPr="0063697D">
        <w:rPr>
          <w:rFonts w:cs="Arial"/>
          <w:sz w:val="22"/>
        </w:rPr>
        <w:t>)</w:t>
      </w:r>
    </w:p>
    <w:p w14:paraId="25115ECB" w14:textId="77777777" w:rsidR="009962A0" w:rsidRPr="0063697D" w:rsidRDefault="009962A0" w:rsidP="009962A0">
      <w:pPr>
        <w:pStyle w:val="BodyText"/>
        <w:ind w:right="43"/>
        <w:jc w:val="both"/>
        <w:rPr>
          <w:rFonts w:cs="Arial"/>
          <w:color w:val="0563C1" w:themeColor="hyperlink"/>
          <w:sz w:val="22"/>
          <w:u w:val="single"/>
        </w:rPr>
      </w:pPr>
    </w:p>
    <w:p w14:paraId="266E6225" w14:textId="77777777" w:rsidR="009962A0" w:rsidRPr="001327D4" w:rsidRDefault="009962A0" w:rsidP="009962A0">
      <w:pPr>
        <w:pBdr>
          <w:top w:val="single" w:sz="4" w:space="1" w:color="auto"/>
        </w:pBdr>
        <w:spacing w:before="0" w:after="0"/>
        <w:rPr>
          <w:sz w:val="22"/>
        </w:rPr>
      </w:pPr>
    </w:p>
    <w:p w14:paraId="0763A272" w14:textId="77777777" w:rsidR="009962A0" w:rsidRPr="009962A0" w:rsidRDefault="009962A0" w:rsidP="009962A0"/>
    <w:sectPr w:rsidR="009962A0" w:rsidRPr="0099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33FC79A6"/>
    <w:multiLevelType w:val="hybridMultilevel"/>
    <w:tmpl w:val="6BFC17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7682949"/>
    <w:multiLevelType w:val="hybridMultilevel"/>
    <w:tmpl w:val="C2EA0D46"/>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25541"/>
    <w:multiLevelType w:val="hybridMultilevel"/>
    <w:tmpl w:val="D0A83F36"/>
    <w:lvl w:ilvl="0" w:tplc="04090001">
      <w:start w:val="1"/>
      <w:numFmt w:val="bullet"/>
      <w:lvlText w:val=""/>
      <w:lvlJc w:val="left"/>
      <w:pPr>
        <w:ind w:left="295" w:hanging="360"/>
      </w:pPr>
      <w:rPr>
        <w:rFonts w:ascii="Symbol" w:hAnsi="Symbol" w:hint="default"/>
      </w:rPr>
    </w:lvl>
    <w:lvl w:ilvl="1" w:tplc="04090003">
      <w:start w:val="1"/>
      <w:numFmt w:val="bullet"/>
      <w:lvlText w:val="o"/>
      <w:lvlJc w:val="left"/>
      <w:pPr>
        <w:ind w:left="1015" w:hanging="360"/>
      </w:pPr>
      <w:rPr>
        <w:rFonts w:ascii="Courier New" w:hAnsi="Courier New" w:cs="Times New Roman" w:hint="default"/>
      </w:rPr>
    </w:lvl>
    <w:lvl w:ilvl="2" w:tplc="04090005">
      <w:start w:val="1"/>
      <w:numFmt w:val="bullet"/>
      <w:lvlText w:val=""/>
      <w:lvlJc w:val="left"/>
      <w:pPr>
        <w:ind w:left="1735" w:hanging="360"/>
      </w:pPr>
      <w:rPr>
        <w:rFonts w:ascii="Wingdings" w:hAnsi="Wingdings" w:hint="default"/>
      </w:rPr>
    </w:lvl>
    <w:lvl w:ilvl="3" w:tplc="04090001">
      <w:start w:val="1"/>
      <w:numFmt w:val="bullet"/>
      <w:lvlText w:val=""/>
      <w:lvlJc w:val="left"/>
      <w:pPr>
        <w:ind w:left="2455" w:hanging="360"/>
      </w:pPr>
      <w:rPr>
        <w:rFonts w:ascii="Symbol" w:hAnsi="Symbol" w:hint="default"/>
      </w:rPr>
    </w:lvl>
    <w:lvl w:ilvl="4" w:tplc="04090003">
      <w:start w:val="1"/>
      <w:numFmt w:val="bullet"/>
      <w:lvlText w:val="o"/>
      <w:lvlJc w:val="left"/>
      <w:pPr>
        <w:ind w:left="3175" w:hanging="360"/>
      </w:pPr>
      <w:rPr>
        <w:rFonts w:ascii="Courier New" w:hAnsi="Courier New" w:cs="Times New Roman" w:hint="default"/>
      </w:rPr>
    </w:lvl>
    <w:lvl w:ilvl="5" w:tplc="04090005">
      <w:start w:val="1"/>
      <w:numFmt w:val="bullet"/>
      <w:lvlText w:val=""/>
      <w:lvlJc w:val="left"/>
      <w:pPr>
        <w:ind w:left="3895" w:hanging="360"/>
      </w:pPr>
      <w:rPr>
        <w:rFonts w:ascii="Wingdings" w:hAnsi="Wingdings" w:hint="default"/>
      </w:rPr>
    </w:lvl>
    <w:lvl w:ilvl="6" w:tplc="04090001">
      <w:start w:val="1"/>
      <w:numFmt w:val="bullet"/>
      <w:lvlText w:val=""/>
      <w:lvlJc w:val="left"/>
      <w:pPr>
        <w:ind w:left="4615" w:hanging="360"/>
      </w:pPr>
      <w:rPr>
        <w:rFonts w:ascii="Symbol" w:hAnsi="Symbol" w:hint="default"/>
      </w:rPr>
    </w:lvl>
    <w:lvl w:ilvl="7" w:tplc="04090003">
      <w:start w:val="1"/>
      <w:numFmt w:val="bullet"/>
      <w:lvlText w:val="o"/>
      <w:lvlJc w:val="left"/>
      <w:pPr>
        <w:ind w:left="5335" w:hanging="360"/>
      </w:pPr>
      <w:rPr>
        <w:rFonts w:ascii="Courier New" w:hAnsi="Courier New" w:cs="Times New Roman" w:hint="default"/>
      </w:rPr>
    </w:lvl>
    <w:lvl w:ilvl="8" w:tplc="04090005">
      <w:start w:val="1"/>
      <w:numFmt w:val="bullet"/>
      <w:lvlText w:val=""/>
      <w:lvlJc w:val="left"/>
      <w:pPr>
        <w:ind w:left="6055" w:hanging="360"/>
      </w:pPr>
      <w:rPr>
        <w:rFonts w:ascii="Wingdings" w:hAnsi="Wingdings" w:hint="default"/>
      </w:rPr>
    </w:lvl>
  </w:abstractNum>
  <w:abstractNum w:abstractNumId="7"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82"/>
    <w:rsid w:val="00040A88"/>
    <w:rsid w:val="00077025"/>
    <w:rsid w:val="001E26BC"/>
    <w:rsid w:val="0028060A"/>
    <w:rsid w:val="002D76A3"/>
    <w:rsid w:val="00374351"/>
    <w:rsid w:val="004B69A2"/>
    <w:rsid w:val="005A23DE"/>
    <w:rsid w:val="00644882"/>
    <w:rsid w:val="0067488F"/>
    <w:rsid w:val="00753502"/>
    <w:rsid w:val="008459A4"/>
    <w:rsid w:val="008555A2"/>
    <w:rsid w:val="008966A8"/>
    <w:rsid w:val="00926270"/>
    <w:rsid w:val="0099469D"/>
    <w:rsid w:val="009962A0"/>
    <w:rsid w:val="00A57BCE"/>
    <w:rsid w:val="00AB47F1"/>
    <w:rsid w:val="00B34190"/>
    <w:rsid w:val="00B501B0"/>
    <w:rsid w:val="00B64393"/>
    <w:rsid w:val="00B74207"/>
    <w:rsid w:val="00C30AC8"/>
    <w:rsid w:val="00C90558"/>
    <w:rsid w:val="00D71939"/>
    <w:rsid w:val="00D96B4C"/>
    <w:rsid w:val="00DA448F"/>
    <w:rsid w:val="00E80761"/>
    <w:rsid w:val="00F2237E"/>
    <w:rsid w:val="00F730FF"/>
    <w:rsid w:val="00FA24A5"/>
    <w:rsid w:val="00FD0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D1A"/>
  <w15:chartTrackingRefBased/>
  <w15:docId w15:val="{CA93C5B5-7B96-422A-A9CF-248E368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82"/>
    <w:pPr>
      <w:tabs>
        <w:tab w:val="left" w:pos="2835"/>
      </w:tabs>
      <w:spacing w:before="120" w:after="120" w:line="276" w:lineRule="auto"/>
    </w:pPr>
    <w:rPr>
      <w:rFonts w:ascii="Gill Sans MT" w:hAnsi="Gill Sans MT"/>
      <w:sz w:val="24"/>
    </w:rPr>
  </w:style>
  <w:style w:type="paragraph" w:styleId="Heading1">
    <w:name w:val="heading 1"/>
    <w:basedOn w:val="Normal"/>
    <w:next w:val="Normal"/>
    <w:link w:val="Heading1Char"/>
    <w:uiPriority w:val="9"/>
    <w:qFormat/>
    <w:rsid w:val="00644882"/>
    <w:pPr>
      <w:keepNext/>
      <w:keepLines/>
      <w:spacing w:before="0" w:after="0"/>
      <w:outlineLvl w:val="0"/>
    </w:pPr>
    <w:rPr>
      <w:rFonts w:eastAsiaTheme="majorEastAsia" w:cstheme="majorBidi"/>
      <w:bCs/>
      <w:sz w:val="40"/>
      <w:szCs w:val="28"/>
    </w:rPr>
  </w:style>
  <w:style w:type="paragraph" w:styleId="Heading3">
    <w:name w:val="heading 3"/>
    <w:basedOn w:val="Normal"/>
    <w:next w:val="Normal"/>
    <w:link w:val="Heading3Char"/>
    <w:uiPriority w:val="9"/>
    <w:unhideWhenUsed/>
    <w:qFormat/>
    <w:rsid w:val="00644882"/>
    <w:pPr>
      <w:outlineLvl w:val="2"/>
    </w:pPr>
    <w:rPr>
      <w:b/>
      <w:color w:val="000000" w:themeColor="text1"/>
    </w:rPr>
  </w:style>
  <w:style w:type="paragraph" w:styleId="Heading4">
    <w:name w:val="heading 4"/>
    <w:basedOn w:val="Normal"/>
    <w:next w:val="Normal"/>
    <w:link w:val="Heading4Char"/>
    <w:uiPriority w:val="9"/>
    <w:semiHidden/>
    <w:unhideWhenUsed/>
    <w:qFormat/>
    <w:rsid w:val="008459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882"/>
    <w:rPr>
      <w:rFonts w:ascii="Gill Sans MT" w:eastAsiaTheme="majorEastAsia" w:hAnsi="Gill Sans MT" w:cstheme="majorBidi"/>
      <w:bCs/>
      <w:sz w:val="40"/>
      <w:szCs w:val="28"/>
    </w:rPr>
  </w:style>
  <w:style w:type="character" w:customStyle="1" w:styleId="Heading3Char">
    <w:name w:val="Heading 3 Char"/>
    <w:basedOn w:val="DefaultParagraphFont"/>
    <w:link w:val="Heading3"/>
    <w:uiPriority w:val="9"/>
    <w:rsid w:val="00644882"/>
    <w:rPr>
      <w:rFonts w:ascii="Gill Sans MT" w:hAnsi="Gill Sans MT"/>
      <w:b/>
      <w:color w:val="000000" w:themeColor="text1"/>
      <w:sz w:val="24"/>
    </w:rPr>
  </w:style>
  <w:style w:type="paragraph" w:styleId="BodyText">
    <w:name w:val="Body Text"/>
    <w:basedOn w:val="Normal"/>
    <w:link w:val="BodyTextChar"/>
    <w:uiPriority w:val="99"/>
    <w:unhideWhenUsed/>
    <w:rsid w:val="00B64393"/>
  </w:style>
  <w:style w:type="character" w:customStyle="1" w:styleId="BodyTextChar">
    <w:name w:val="Body Text Char"/>
    <w:basedOn w:val="DefaultParagraphFont"/>
    <w:link w:val="BodyText"/>
    <w:uiPriority w:val="99"/>
    <w:rsid w:val="00B64393"/>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B74207"/>
    <w:pPr>
      <w:ind w:left="720"/>
      <w:contextualSpacing/>
    </w:pPr>
  </w:style>
  <w:style w:type="character" w:customStyle="1" w:styleId="Heading4Char">
    <w:name w:val="Heading 4 Char"/>
    <w:basedOn w:val="DefaultParagraphFont"/>
    <w:link w:val="Heading4"/>
    <w:uiPriority w:val="9"/>
    <w:semiHidden/>
    <w:rsid w:val="008459A4"/>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8459A4"/>
    <w:rPr>
      <w:color w:val="0563C1" w:themeColor="hyperlink"/>
      <w:u w:val="single"/>
    </w:rPr>
  </w:style>
  <w:style w:type="paragraph" w:styleId="NoSpacing">
    <w:name w:val="No Spacing"/>
    <w:uiPriority w:val="1"/>
    <w:qFormat/>
    <w:rsid w:val="008459A4"/>
    <w:pPr>
      <w:tabs>
        <w:tab w:val="left" w:pos="2835"/>
      </w:tabs>
      <w:spacing w:after="0" w:line="240" w:lineRule="auto"/>
    </w:pPr>
    <w:rPr>
      <w:rFonts w:ascii="Gill Sans MT" w:hAnsi="Gill Sans MT"/>
      <w:sz w:val="24"/>
    </w:rPr>
  </w:style>
  <w:style w:type="character" w:styleId="CommentReference">
    <w:name w:val="annotation reference"/>
    <w:basedOn w:val="DefaultParagraphFont"/>
    <w:uiPriority w:val="99"/>
    <w:semiHidden/>
    <w:unhideWhenUsed/>
    <w:rsid w:val="0028060A"/>
    <w:rPr>
      <w:sz w:val="16"/>
      <w:szCs w:val="16"/>
    </w:rPr>
  </w:style>
  <w:style w:type="paragraph" w:styleId="CommentText">
    <w:name w:val="annotation text"/>
    <w:basedOn w:val="Normal"/>
    <w:link w:val="CommentTextChar"/>
    <w:uiPriority w:val="99"/>
    <w:unhideWhenUsed/>
    <w:rsid w:val="0028060A"/>
    <w:pPr>
      <w:spacing w:line="240" w:lineRule="auto"/>
    </w:pPr>
    <w:rPr>
      <w:sz w:val="20"/>
      <w:szCs w:val="20"/>
    </w:rPr>
  </w:style>
  <w:style w:type="character" w:customStyle="1" w:styleId="CommentTextChar">
    <w:name w:val="Comment Text Char"/>
    <w:basedOn w:val="DefaultParagraphFont"/>
    <w:link w:val="CommentText"/>
    <w:uiPriority w:val="99"/>
    <w:rsid w:val="0028060A"/>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060A"/>
    <w:rPr>
      <w:b/>
      <w:bCs/>
    </w:rPr>
  </w:style>
  <w:style w:type="character" w:customStyle="1" w:styleId="CommentSubjectChar">
    <w:name w:val="Comment Subject Char"/>
    <w:basedOn w:val="CommentTextChar"/>
    <w:link w:val="CommentSubject"/>
    <w:uiPriority w:val="99"/>
    <w:semiHidden/>
    <w:rsid w:val="0028060A"/>
    <w:rPr>
      <w:rFonts w:ascii="Gill Sans MT" w:hAnsi="Gill Sans MT"/>
      <w:b/>
      <w:bCs/>
      <w:sz w:val="20"/>
      <w:szCs w:val="20"/>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B34190"/>
    <w:rPr>
      <w:rFonts w:ascii="Gill Sans MT" w:hAnsi="Gill Sans MT"/>
      <w:sz w:val="24"/>
    </w:rPr>
  </w:style>
  <w:style w:type="paragraph" w:styleId="Revision">
    <w:name w:val="Revision"/>
    <w:hidden/>
    <w:uiPriority w:val="99"/>
    <w:semiHidden/>
    <w:rsid w:val="001E26BC"/>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ac.tas.gov.au/divisions/ss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egrowth.tas.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6FB0-F716-4F4C-B6CB-14536854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Will</dc:creator>
  <cp:keywords/>
  <dc:description/>
  <cp:lastModifiedBy>Barrow, Jacob</cp:lastModifiedBy>
  <cp:revision>2</cp:revision>
  <dcterms:created xsi:type="dcterms:W3CDTF">2022-07-28T23:19:00Z</dcterms:created>
  <dcterms:modified xsi:type="dcterms:W3CDTF">2022-07-28T23:19:00Z</dcterms:modified>
</cp:coreProperties>
</file>