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47FF" w:rsidRDefault="000F317E">
      <w:r>
        <w:rPr>
          <w:noProof/>
        </w:rPr>
        <mc:AlternateContent>
          <mc:Choice Requires="wpg">
            <w:drawing>
              <wp:anchor distT="0" distB="0" distL="114300" distR="114300" simplePos="0" relativeHeight="251658240" behindDoc="0" locked="0" layoutInCell="1" hidden="0" allowOverlap="1">
                <wp:simplePos x="0" y="0"/>
                <wp:positionH relativeFrom="column">
                  <wp:posOffset>4051300</wp:posOffset>
                </wp:positionH>
                <wp:positionV relativeFrom="paragraph">
                  <wp:posOffset>-1155699</wp:posOffset>
                </wp:positionV>
                <wp:extent cx="1392555" cy="123825"/>
                <wp:effectExtent l="0" t="0" r="0" b="0"/>
                <wp:wrapNone/>
                <wp:docPr id="1" name=""/>
                <wp:cNvGraphicFramePr/>
                <a:graphic xmlns:a="http://schemas.openxmlformats.org/drawingml/2006/main">
                  <a:graphicData uri="http://schemas.microsoft.com/office/word/2010/wordprocessingShape">
                    <wps:wsp>
                      <wps:cNvSpPr/>
                      <wps:spPr>
                        <a:xfrm>
                          <a:off x="4654485" y="3722850"/>
                          <a:ext cx="1383030" cy="114300"/>
                        </a:xfrm>
                        <a:prstGeom prst="rect">
                          <a:avLst/>
                        </a:prstGeom>
                        <a:solidFill>
                          <a:srgbClr val="7AC4D9"/>
                        </a:solidFill>
                        <a:ln>
                          <a:noFill/>
                        </a:ln>
                      </wps:spPr>
                      <wps:txbx>
                        <w:txbxContent>
                          <w:p w:rsidR="003F47FF" w:rsidRDefault="003F47FF">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4051300</wp:posOffset>
                </wp:positionH>
                <wp:positionV relativeFrom="paragraph">
                  <wp:posOffset>-1155699</wp:posOffset>
                </wp:positionV>
                <wp:extent cx="1392555" cy="1238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392555" cy="1238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-28574</wp:posOffset>
            </wp:positionH>
            <wp:positionV relativeFrom="paragraph">
              <wp:posOffset>-208914</wp:posOffset>
            </wp:positionV>
            <wp:extent cx="1259205" cy="43370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59205" cy="433705"/>
                    </a:xfrm>
                    <a:prstGeom prst="rect">
                      <a:avLst/>
                    </a:prstGeom>
                    <a:ln/>
                  </pic:spPr>
                </pic:pic>
              </a:graphicData>
            </a:graphic>
          </wp:anchor>
        </w:drawing>
      </w:r>
    </w:p>
    <w:p w:rsidR="003F47FF" w:rsidRDefault="003F47FF"/>
    <w:p w:rsidR="003F47FF" w:rsidRDefault="003F47FF"/>
    <w:p w:rsidR="003F47FF" w:rsidRDefault="000F317E">
      <w:pPr>
        <w:pBdr>
          <w:top w:val="single" w:sz="36" w:space="1" w:color="000000"/>
        </w:pBdr>
        <w:tabs>
          <w:tab w:val="right" w:pos="3119"/>
          <w:tab w:val="left" w:pos="3686"/>
        </w:tabs>
        <w:spacing w:before="120" w:after="120"/>
        <w:ind w:left="3686" w:hanging="3686"/>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Position Title:</w:t>
      </w:r>
      <w:r>
        <w:rPr>
          <w:rFonts w:ascii="Arial" w:eastAsia="Arial" w:hAnsi="Arial" w:cs="Arial"/>
          <w:b/>
          <w:sz w:val="22"/>
          <w:szCs w:val="22"/>
        </w:rPr>
        <w:tab/>
      </w:r>
      <w:r>
        <w:rPr>
          <w:rFonts w:ascii="Arial" w:eastAsia="Arial" w:hAnsi="Arial" w:cs="Arial"/>
          <w:color w:val="1A1821"/>
          <w:sz w:val="22"/>
          <w:szCs w:val="22"/>
        </w:rPr>
        <w:t>Research Fellow</w:t>
      </w:r>
    </w:p>
    <w:p w:rsidR="003F47FF" w:rsidRDefault="000F317E">
      <w:pPr>
        <w:pBdr>
          <w:top w:val="single" w:sz="36" w:space="1" w:color="000000"/>
        </w:pBdr>
        <w:tabs>
          <w:tab w:val="right" w:pos="3119"/>
          <w:tab w:val="left" w:pos="3686"/>
        </w:tabs>
        <w:spacing w:before="120" w:after="120"/>
        <w:ind w:left="3686" w:hanging="3686"/>
        <w:rPr>
          <w:rFonts w:ascii="Arial" w:eastAsia="Arial" w:hAnsi="Arial" w:cs="Arial"/>
          <w:sz w:val="22"/>
          <w:szCs w:val="22"/>
        </w:rPr>
      </w:pPr>
      <w:r>
        <w:rPr>
          <w:rFonts w:ascii="Arial" w:eastAsia="Arial" w:hAnsi="Arial" w:cs="Arial"/>
          <w:b/>
          <w:sz w:val="22"/>
          <w:szCs w:val="22"/>
        </w:rPr>
        <w:tab/>
        <w:t>Position Classification:</w:t>
      </w:r>
      <w:r>
        <w:rPr>
          <w:rFonts w:ascii="Arial" w:eastAsia="Arial" w:hAnsi="Arial" w:cs="Arial"/>
          <w:b/>
          <w:sz w:val="22"/>
          <w:szCs w:val="22"/>
        </w:rPr>
        <w:tab/>
      </w:r>
      <w:r>
        <w:rPr>
          <w:rFonts w:ascii="Arial" w:eastAsia="Arial" w:hAnsi="Arial" w:cs="Arial"/>
          <w:sz w:val="22"/>
          <w:szCs w:val="22"/>
        </w:rPr>
        <w:t>ALA A/B</w:t>
      </w:r>
    </w:p>
    <w:p w:rsidR="003F47FF" w:rsidRDefault="000F317E">
      <w:pPr>
        <w:pBdr>
          <w:top w:val="single" w:sz="36" w:space="1" w:color="000000"/>
        </w:pBdr>
        <w:tabs>
          <w:tab w:val="right" w:pos="3119"/>
          <w:tab w:val="left" w:pos="3686"/>
        </w:tabs>
        <w:spacing w:before="120" w:after="120"/>
        <w:ind w:left="3686" w:hanging="3686"/>
        <w:rPr>
          <w:rFonts w:ascii="Arial" w:eastAsia="Arial" w:hAnsi="Arial" w:cs="Arial"/>
          <w:sz w:val="22"/>
          <w:szCs w:val="22"/>
        </w:rPr>
      </w:pPr>
      <w:r>
        <w:rPr>
          <w:rFonts w:ascii="Arial" w:eastAsia="Arial" w:hAnsi="Arial" w:cs="Arial"/>
          <w:b/>
          <w:sz w:val="22"/>
          <w:szCs w:val="22"/>
        </w:rPr>
        <w:tab/>
        <w:t>Position Number:</w:t>
      </w:r>
      <w:r>
        <w:rPr>
          <w:rFonts w:ascii="Arial" w:eastAsia="Arial" w:hAnsi="Arial" w:cs="Arial"/>
          <w:b/>
          <w:sz w:val="22"/>
          <w:szCs w:val="22"/>
        </w:rPr>
        <w:tab/>
      </w:r>
    </w:p>
    <w:p w:rsidR="003F47FF" w:rsidRDefault="000F317E">
      <w:pPr>
        <w:pBdr>
          <w:top w:val="single" w:sz="36" w:space="1" w:color="000000"/>
        </w:pBdr>
        <w:tabs>
          <w:tab w:val="right" w:pos="3119"/>
          <w:tab w:val="left" w:pos="3686"/>
        </w:tabs>
        <w:spacing w:before="120" w:after="120"/>
        <w:ind w:left="3686" w:hanging="3686"/>
        <w:rPr>
          <w:rFonts w:ascii="Arial" w:eastAsia="Arial" w:hAnsi="Arial" w:cs="Arial"/>
          <w:sz w:val="22"/>
          <w:szCs w:val="22"/>
        </w:rPr>
      </w:pPr>
      <w:r>
        <w:rPr>
          <w:rFonts w:ascii="Arial" w:eastAsia="Arial" w:hAnsi="Arial" w:cs="Arial"/>
          <w:b/>
          <w:sz w:val="22"/>
          <w:szCs w:val="22"/>
        </w:rPr>
        <w:tab/>
        <w:t>Faculty:</w:t>
      </w:r>
      <w:r>
        <w:rPr>
          <w:rFonts w:ascii="Arial" w:eastAsia="Arial" w:hAnsi="Arial" w:cs="Arial"/>
          <w:b/>
          <w:sz w:val="22"/>
          <w:szCs w:val="22"/>
        </w:rPr>
        <w:tab/>
      </w:r>
      <w:r>
        <w:rPr>
          <w:rFonts w:ascii="Arial" w:eastAsia="Arial" w:hAnsi="Arial" w:cs="Arial"/>
          <w:color w:val="1A1821"/>
          <w:sz w:val="22"/>
          <w:szCs w:val="22"/>
        </w:rPr>
        <w:t>Engineering and Mathematical Sciences</w:t>
      </w:r>
    </w:p>
    <w:p w:rsidR="003F47FF" w:rsidRDefault="000F317E">
      <w:pPr>
        <w:pBdr>
          <w:top w:val="single" w:sz="36" w:space="1" w:color="000000"/>
        </w:pBdr>
        <w:tabs>
          <w:tab w:val="right" w:pos="3119"/>
          <w:tab w:val="left" w:pos="3686"/>
        </w:tabs>
        <w:spacing w:before="120" w:after="120"/>
        <w:ind w:left="3686" w:hanging="3686"/>
        <w:rPr>
          <w:rFonts w:ascii="Arial" w:eastAsia="Arial" w:hAnsi="Arial" w:cs="Arial"/>
          <w:sz w:val="22"/>
          <w:szCs w:val="22"/>
        </w:rPr>
      </w:pPr>
      <w:r>
        <w:rPr>
          <w:rFonts w:ascii="Arial" w:eastAsia="Arial" w:hAnsi="Arial" w:cs="Arial"/>
          <w:b/>
          <w:sz w:val="22"/>
          <w:szCs w:val="22"/>
        </w:rPr>
        <w:tab/>
        <w:t>Department:</w:t>
      </w:r>
      <w:r>
        <w:rPr>
          <w:rFonts w:ascii="Arial" w:eastAsia="Arial" w:hAnsi="Arial" w:cs="Arial"/>
          <w:b/>
          <w:sz w:val="22"/>
          <w:szCs w:val="22"/>
        </w:rPr>
        <w:tab/>
      </w:r>
      <w:r>
        <w:rPr>
          <w:rFonts w:ascii="Arial" w:eastAsia="Arial" w:hAnsi="Arial" w:cs="Arial"/>
          <w:color w:val="1A1821"/>
          <w:sz w:val="22"/>
          <w:szCs w:val="22"/>
        </w:rPr>
        <w:t>Mathematics and Statistics</w:t>
      </w:r>
    </w:p>
    <w:p w:rsidR="003F47FF" w:rsidRDefault="000F317E">
      <w:pPr>
        <w:pBdr>
          <w:top w:val="single" w:sz="36" w:space="1" w:color="000000"/>
        </w:pBdr>
        <w:tabs>
          <w:tab w:val="right" w:pos="3119"/>
          <w:tab w:val="left" w:pos="3686"/>
        </w:tabs>
        <w:spacing w:before="120" w:after="120"/>
        <w:ind w:left="3686" w:hanging="3686"/>
        <w:rPr>
          <w:rFonts w:ascii="Arial" w:eastAsia="Arial" w:hAnsi="Arial" w:cs="Arial"/>
          <w:sz w:val="22"/>
          <w:szCs w:val="22"/>
        </w:rPr>
      </w:pPr>
      <w:r>
        <w:rPr>
          <w:rFonts w:ascii="Arial" w:eastAsia="Arial" w:hAnsi="Arial" w:cs="Arial"/>
          <w:b/>
          <w:sz w:val="22"/>
          <w:szCs w:val="22"/>
        </w:rPr>
        <w:tab/>
        <w:t>Centre/Section:</w:t>
      </w:r>
      <w:r>
        <w:rPr>
          <w:rFonts w:ascii="Arial" w:eastAsia="Arial" w:hAnsi="Arial" w:cs="Arial"/>
          <w:b/>
          <w:sz w:val="22"/>
          <w:szCs w:val="22"/>
        </w:rPr>
        <w:tab/>
      </w:r>
      <w:r>
        <w:rPr>
          <w:rFonts w:ascii="Arial" w:eastAsia="Arial" w:hAnsi="Arial" w:cs="Arial"/>
          <w:color w:val="1A1821"/>
          <w:sz w:val="22"/>
          <w:szCs w:val="22"/>
        </w:rPr>
        <w:t>Applied Mathematics</w:t>
      </w:r>
    </w:p>
    <w:p w:rsidR="003F47FF" w:rsidRDefault="000F317E">
      <w:pPr>
        <w:pBdr>
          <w:top w:val="single" w:sz="36" w:space="1" w:color="000000"/>
        </w:pBdr>
        <w:tabs>
          <w:tab w:val="right" w:pos="3119"/>
          <w:tab w:val="left" w:pos="3686"/>
        </w:tabs>
        <w:spacing w:before="120" w:after="120"/>
        <w:ind w:left="3686" w:hanging="3686"/>
        <w:rPr>
          <w:rFonts w:ascii="Arial" w:eastAsia="Arial" w:hAnsi="Arial" w:cs="Arial"/>
          <w:sz w:val="22"/>
          <w:szCs w:val="22"/>
        </w:rPr>
      </w:pPr>
      <w:r>
        <w:rPr>
          <w:rFonts w:ascii="Arial" w:eastAsia="Arial" w:hAnsi="Arial" w:cs="Arial"/>
          <w:b/>
          <w:sz w:val="22"/>
          <w:szCs w:val="22"/>
        </w:rPr>
        <w:tab/>
        <w:t>Supervisor Title:</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color w:val="1A1821"/>
          <w:sz w:val="22"/>
          <w:szCs w:val="22"/>
        </w:rPr>
        <w:t>CSIRO-UWA Chair in Complex Engineering Systems</w:t>
      </w:r>
    </w:p>
    <w:p w:rsidR="003F47FF" w:rsidRDefault="000F317E">
      <w:pPr>
        <w:pBdr>
          <w:top w:val="single" w:sz="36" w:space="1" w:color="000000"/>
        </w:pBdr>
        <w:tabs>
          <w:tab w:val="right" w:pos="3119"/>
          <w:tab w:val="left" w:pos="3686"/>
        </w:tabs>
        <w:spacing w:before="120" w:after="120"/>
        <w:ind w:left="3686" w:hanging="3686"/>
        <w:rPr>
          <w:rFonts w:ascii="Arial" w:eastAsia="Arial" w:hAnsi="Arial" w:cs="Arial"/>
          <w:sz w:val="22"/>
          <w:szCs w:val="22"/>
        </w:rPr>
      </w:pPr>
      <w:r>
        <w:rPr>
          <w:rFonts w:ascii="Arial" w:eastAsia="Arial" w:hAnsi="Arial" w:cs="Arial"/>
          <w:b/>
          <w:sz w:val="22"/>
          <w:szCs w:val="22"/>
        </w:rPr>
        <w:tab/>
        <w:t>Supervisor Position Number:</w:t>
      </w:r>
      <w:r>
        <w:rPr>
          <w:rFonts w:ascii="Arial" w:eastAsia="Arial" w:hAnsi="Arial" w:cs="Arial"/>
          <w:b/>
          <w:sz w:val="22"/>
          <w:szCs w:val="22"/>
        </w:rPr>
        <w:tab/>
      </w:r>
    </w:p>
    <w:p w:rsidR="003F47FF" w:rsidRDefault="000F317E">
      <w:pPr>
        <w:shd w:val="clear" w:color="auto" w:fill="000000"/>
        <w:tabs>
          <w:tab w:val="right" w:pos="9072"/>
        </w:tabs>
        <w:spacing w:before="120" w:after="60"/>
        <w:jc w:val="both"/>
        <w:rPr>
          <w:rFonts w:ascii="Arial" w:eastAsia="Arial" w:hAnsi="Arial" w:cs="Arial"/>
          <w:color w:val="FFFFFF"/>
        </w:rPr>
      </w:pPr>
      <w:r>
        <w:rPr>
          <w:rFonts w:ascii="Arial" w:eastAsia="Arial" w:hAnsi="Arial" w:cs="Arial"/>
          <w:b/>
          <w:color w:val="FFFFFF"/>
        </w:rPr>
        <w:t xml:space="preserve">Your work area </w:t>
      </w:r>
    </w:p>
    <w:p w:rsidR="003F47FF" w:rsidRDefault="000F317E">
      <w:pPr>
        <w:widowControl w:val="0"/>
        <w:jc w:val="both"/>
        <w:rPr>
          <w:rFonts w:ascii="Arial" w:eastAsia="Arial" w:hAnsi="Arial" w:cs="Arial"/>
          <w:color w:val="1A1821"/>
          <w:sz w:val="20"/>
          <w:szCs w:val="20"/>
        </w:rPr>
      </w:pPr>
      <w:r>
        <w:rPr>
          <w:rFonts w:ascii="Arial" w:eastAsia="Arial" w:hAnsi="Arial" w:cs="Arial"/>
          <w:color w:val="1A1821"/>
          <w:sz w:val="20"/>
          <w:szCs w:val="20"/>
        </w:rPr>
        <w:t>The Australian Research Council Industrial Transformation Training Centre for Transforming Maintenance Through Data Science is a joint collaboration between Curtin</w:t>
      </w:r>
      <w:r>
        <w:rPr>
          <w:rFonts w:ascii="Arial" w:eastAsia="Arial" w:hAnsi="Arial" w:cs="Arial"/>
          <w:color w:val="1A1821"/>
          <w:sz w:val="20"/>
          <w:szCs w:val="20"/>
        </w:rPr>
        <w:t xml:space="preserve"> University, the University of Western Australia, CSIRO and Industry partners BHP, Roy Hill, Alcoa, MRIWA and Core. The aim of the centre is to train the next generation of data science specialists needed transform maintenance practice in the resource indu</w:t>
      </w:r>
      <w:r>
        <w:rPr>
          <w:rFonts w:ascii="Arial" w:eastAsia="Arial" w:hAnsi="Arial" w:cs="Arial"/>
          <w:color w:val="1A1821"/>
          <w:sz w:val="20"/>
          <w:szCs w:val="20"/>
        </w:rPr>
        <w:t>stry. Research is being conducted by a team of 20 scientists and engineers at the three research institutes together with practicing engineers in the partner organisations. Activity is arranged thematically according the three research themes: Supporting t</w:t>
      </w:r>
      <w:r>
        <w:rPr>
          <w:rFonts w:ascii="Arial" w:eastAsia="Arial" w:hAnsi="Arial" w:cs="Arial"/>
          <w:color w:val="1A1821"/>
          <w:sz w:val="20"/>
          <w:szCs w:val="20"/>
        </w:rPr>
        <w:t>he Maintainer; Supporting the Engineer; and, Supporting the Manager. The focus of each theme is to develop the tools and solutions necessary to support maintenance tasks across the organisation. Work within each theme is to be conducted by a group of postg</w:t>
      </w:r>
      <w:r>
        <w:rPr>
          <w:rFonts w:ascii="Arial" w:eastAsia="Arial" w:hAnsi="Arial" w:cs="Arial"/>
          <w:color w:val="1A1821"/>
          <w:sz w:val="20"/>
          <w:szCs w:val="20"/>
        </w:rPr>
        <w:t>raduate research students, academic and research staff, an academic lead, and post-doctoral researchers.</w:t>
      </w:r>
    </w:p>
    <w:p w:rsidR="003F47FF" w:rsidRDefault="003F47FF">
      <w:pPr>
        <w:widowControl w:val="0"/>
        <w:jc w:val="both"/>
        <w:rPr>
          <w:rFonts w:ascii="Arial" w:eastAsia="Arial" w:hAnsi="Arial" w:cs="Arial"/>
          <w:color w:val="1A1821"/>
          <w:sz w:val="20"/>
          <w:szCs w:val="20"/>
        </w:rPr>
      </w:pPr>
    </w:p>
    <w:p w:rsidR="003F47FF" w:rsidRDefault="000F317E">
      <w:pPr>
        <w:widowControl w:val="0"/>
        <w:jc w:val="both"/>
        <w:rPr>
          <w:rFonts w:ascii="Arial" w:eastAsia="Arial" w:hAnsi="Arial" w:cs="Arial"/>
          <w:color w:val="1A1821"/>
          <w:sz w:val="20"/>
          <w:szCs w:val="20"/>
        </w:rPr>
      </w:pPr>
      <w:r>
        <w:rPr>
          <w:rFonts w:ascii="Calibri" w:eastAsia="Calibri" w:hAnsi="Calibri" w:cs="Calibri"/>
          <w:noProof/>
          <w:sz w:val="19"/>
          <w:szCs w:val="19"/>
        </w:rPr>
        <w:drawing>
          <wp:inline distT="114300" distB="114300" distL="114300" distR="114300">
            <wp:extent cx="5852795" cy="4114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52795" cy="4114800"/>
                    </a:xfrm>
                    <a:prstGeom prst="rect">
                      <a:avLst/>
                    </a:prstGeom>
                    <a:ln/>
                  </pic:spPr>
                </pic:pic>
              </a:graphicData>
            </a:graphic>
          </wp:inline>
        </w:drawing>
      </w:r>
      <w:r>
        <w:rPr>
          <w:rFonts w:ascii="Arial" w:eastAsia="Arial" w:hAnsi="Arial" w:cs="Arial"/>
          <w:color w:val="1A1821"/>
          <w:sz w:val="20"/>
          <w:szCs w:val="20"/>
        </w:rPr>
        <w:t xml:space="preserve">  </w:t>
      </w:r>
    </w:p>
    <w:p w:rsidR="003F47FF" w:rsidRDefault="003F47FF">
      <w:pPr>
        <w:widowControl w:val="0"/>
        <w:jc w:val="both"/>
        <w:rPr>
          <w:rFonts w:ascii="Arial" w:eastAsia="Arial" w:hAnsi="Arial" w:cs="Arial"/>
          <w:color w:val="1A1821"/>
          <w:sz w:val="20"/>
          <w:szCs w:val="20"/>
        </w:rPr>
      </w:pPr>
    </w:p>
    <w:p w:rsidR="003F47FF" w:rsidRDefault="000F317E">
      <w:pPr>
        <w:widowControl w:val="0"/>
        <w:jc w:val="both"/>
      </w:pPr>
      <w:r>
        <w:rPr>
          <w:rFonts w:ascii="Arial" w:eastAsia="Arial" w:hAnsi="Arial" w:cs="Arial"/>
          <w:color w:val="1A1821"/>
          <w:sz w:val="20"/>
          <w:szCs w:val="20"/>
        </w:rPr>
        <w:t>This position is for a postdoctoral Research Fellow to work within theme 2, Supporting the Engineer, in collaboration with research theme lead Prof. Michael Small. Prof. Small is the CSIRO-UWA Chair in Complex Engineering Systems and holds joint appointmen</w:t>
      </w:r>
      <w:r>
        <w:rPr>
          <w:rFonts w:ascii="Arial" w:eastAsia="Arial" w:hAnsi="Arial" w:cs="Arial"/>
          <w:color w:val="1A1821"/>
          <w:sz w:val="20"/>
          <w:szCs w:val="20"/>
        </w:rPr>
        <w:t>ts at CSIRO’s Mineral Resources and UWA’s Faculty of Engineering and Mathematical Sciences in the Department of Mathematics and Statistics.  The training centre is based at Curtin University in the Perth suburb of Bentley, adjacent to CSIRO’s Kensington Ca</w:t>
      </w:r>
      <w:r>
        <w:rPr>
          <w:rFonts w:ascii="Arial" w:eastAsia="Arial" w:hAnsi="Arial" w:cs="Arial"/>
          <w:color w:val="1A1821"/>
          <w:sz w:val="20"/>
          <w:szCs w:val="20"/>
        </w:rPr>
        <w:t xml:space="preserve">mpus and approximately 10 km from UWA.  The Centre Director Prof. Andrew Rohl is based in Curtin University’s Department of Chemistry. </w:t>
      </w:r>
    </w:p>
    <w:p w:rsidR="003F47FF" w:rsidRDefault="003F47FF">
      <w:pPr>
        <w:widowControl w:val="0"/>
        <w:jc w:val="both"/>
      </w:pPr>
    </w:p>
    <w:p w:rsidR="003F47FF" w:rsidRDefault="000F317E">
      <w:pPr>
        <w:shd w:val="clear" w:color="auto" w:fill="000000"/>
        <w:tabs>
          <w:tab w:val="right" w:pos="9072"/>
        </w:tabs>
        <w:spacing w:before="120" w:after="60"/>
        <w:jc w:val="both"/>
        <w:rPr>
          <w:rFonts w:ascii="Arial" w:eastAsia="Arial" w:hAnsi="Arial" w:cs="Arial"/>
          <w:sz w:val="20"/>
          <w:szCs w:val="20"/>
        </w:rPr>
      </w:pPr>
      <w:r>
        <w:rPr>
          <w:rFonts w:ascii="Arial" w:eastAsia="Arial" w:hAnsi="Arial" w:cs="Arial"/>
          <w:b/>
          <w:color w:val="FFFFFF"/>
        </w:rPr>
        <w:t>Reporting Structure</w:t>
      </w:r>
      <w:r>
        <w:rPr>
          <w:rFonts w:ascii="Arial" w:eastAsia="Arial" w:hAnsi="Arial" w:cs="Arial"/>
          <w:i/>
          <w:sz w:val="18"/>
          <w:szCs w:val="18"/>
        </w:rPr>
        <w:t xml:space="preserve"> to:</w:t>
      </w:r>
      <w:r>
        <w:rPr>
          <w:rFonts w:ascii="Arial" w:eastAsia="Arial" w:hAnsi="Arial" w:cs="Arial"/>
          <w:i/>
          <w:sz w:val="18"/>
          <w:szCs w:val="18"/>
        </w:rPr>
        <w:tab/>
      </w:r>
      <w:r>
        <w:rPr>
          <w:rFonts w:ascii="Arial" w:eastAsia="Arial" w:hAnsi="Arial" w:cs="Arial"/>
          <w:color w:val="1A1821"/>
          <w:sz w:val="20"/>
          <w:szCs w:val="20"/>
        </w:rPr>
        <w:t>Academic Research Supervisor</w:t>
      </w:r>
    </w:p>
    <w:p w:rsidR="003F47FF" w:rsidRDefault="000F317E">
      <w:pPr>
        <w:spacing w:before="120" w:after="120"/>
        <w:rPr>
          <w:rFonts w:ascii="Arial" w:eastAsia="Arial" w:hAnsi="Arial" w:cs="Arial"/>
          <w:sz w:val="18"/>
          <w:szCs w:val="18"/>
        </w:rPr>
      </w:pPr>
      <w:r>
        <w:rPr>
          <w:rFonts w:ascii="Arial" w:eastAsia="Arial" w:hAnsi="Arial" w:cs="Arial"/>
          <w:i/>
          <w:sz w:val="18"/>
          <w:szCs w:val="18"/>
        </w:rPr>
        <w:t>If a leadership/ supervisory role:</w:t>
      </w:r>
    </w:p>
    <w:p w:rsidR="003F47FF" w:rsidRDefault="000F317E">
      <w:pPr>
        <w:spacing w:before="120" w:after="120"/>
        <w:rPr>
          <w:rFonts w:ascii="Arial" w:eastAsia="Arial" w:hAnsi="Arial" w:cs="Arial"/>
          <w:sz w:val="18"/>
          <w:szCs w:val="18"/>
        </w:rPr>
      </w:pPr>
      <w:r>
        <w:rPr>
          <w:rFonts w:ascii="Arial" w:eastAsia="Arial" w:hAnsi="Arial" w:cs="Arial"/>
          <w:sz w:val="18"/>
          <w:szCs w:val="18"/>
        </w:rPr>
        <w:t>Direct Reports:</w:t>
      </w:r>
    </w:p>
    <w:p w:rsidR="003F47FF" w:rsidRDefault="000F317E">
      <w:pPr>
        <w:spacing w:before="120" w:after="120"/>
        <w:rPr>
          <w:rFonts w:ascii="Arial" w:eastAsia="Arial" w:hAnsi="Arial" w:cs="Arial"/>
          <w:sz w:val="18"/>
          <w:szCs w:val="18"/>
        </w:rPr>
      </w:pPr>
      <w:r>
        <w:rPr>
          <w:rFonts w:ascii="Arial" w:eastAsia="Arial" w:hAnsi="Arial" w:cs="Arial"/>
          <w:sz w:val="18"/>
          <w:szCs w:val="18"/>
        </w:rPr>
        <w:t>Teams:</w:t>
      </w:r>
      <w:r>
        <w:rPr>
          <w:rFonts w:ascii="Arial" w:eastAsia="Arial" w:hAnsi="Arial" w:cs="Arial"/>
          <w:sz w:val="18"/>
          <w:szCs w:val="18"/>
        </w:rPr>
        <w:tab/>
      </w:r>
      <w:r>
        <w:rPr>
          <w:rFonts w:ascii="Arial" w:eastAsia="Arial" w:hAnsi="Arial" w:cs="Arial"/>
          <w:sz w:val="18"/>
          <w:szCs w:val="18"/>
        </w:rPr>
        <w:tab/>
      </w:r>
      <w:r>
        <w:rPr>
          <w:rFonts w:ascii="Arial" w:eastAsia="Arial" w:hAnsi="Arial" w:cs="Arial"/>
          <w:color w:val="1A1821"/>
          <w:sz w:val="20"/>
          <w:szCs w:val="20"/>
        </w:rPr>
        <w:t>ARC ITTC for Transforming Maintenance Through Data Science</w:t>
      </w:r>
      <w:r>
        <w:rPr>
          <w:rFonts w:ascii="Arial" w:eastAsia="Arial" w:hAnsi="Arial" w:cs="Arial"/>
          <w:color w:val="1A1821"/>
          <w:sz w:val="22"/>
          <w:szCs w:val="22"/>
        </w:rPr>
        <w:t xml:space="preserve"> </w:t>
      </w:r>
    </w:p>
    <w:p w:rsidR="003F47FF" w:rsidRDefault="000F317E">
      <w:pPr>
        <w:shd w:val="clear" w:color="auto" w:fill="000000"/>
        <w:tabs>
          <w:tab w:val="right" w:pos="9072"/>
        </w:tabs>
        <w:spacing w:before="120" w:after="60"/>
        <w:jc w:val="both"/>
        <w:rPr>
          <w:rFonts w:ascii="Arial" w:eastAsia="Arial" w:hAnsi="Arial" w:cs="Arial"/>
          <w:color w:val="FFFFFF"/>
          <w:sz w:val="22"/>
          <w:szCs w:val="22"/>
        </w:rPr>
      </w:pPr>
      <w:r>
        <w:rPr>
          <w:rFonts w:ascii="Arial" w:eastAsia="Arial" w:hAnsi="Arial" w:cs="Arial"/>
          <w:b/>
          <w:color w:val="FFFFFF"/>
        </w:rPr>
        <w:t xml:space="preserve">Your role </w:t>
      </w:r>
    </w:p>
    <w:p w:rsidR="003F47FF" w:rsidRDefault="000F317E">
      <w:pPr>
        <w:widowControl w:val="0"/>
        <w:spacing w:before="74"/>
        <w:rPr>
          <w:rFonts w:ascii="Arial" w:eastAsia="Arial" w:hAnsi="Arial" w:cs="Arial"/>
          <w:color w:val="1A1821"/>
          <w:sz w:val="20"/>
          <w:szCs w:val="20"/>
        </w:rPr>
      </w:pPr>
      <w:r>
        <w:rPr>
          <w:rFonts w:ascii="Arial" w:eastAsia="Arial" w:hAnsi="Arial" w:cs="Arial"/>
          <w:color w:val="1A1821"/>
          <w:sz w:val="20"/>
          <w:szCs w:val="20"/>
        </w:rPr>
        <w:t>The postdoctoral research fellow will be expected to conduct research leading to publication and industry impact relevant to the theme “Supporting the Engineer” within the ARC ITTC. Thi</w:t>
      </w:r>
      <w:r>
        <w:rPr>
          <w:rFonts w:ascii="Arial" w:eastAsia="Arial" w:hAnsi="Arial" w:cs="Arial"/>
          <w:color w:val="1A1821"/>
          <w:sz w:val="20"/>
          <w:szCs w:val="20"/>
        </w:rPr>
        <w:t xml:space="preserve">s includes individual research, but is also expected to be largely research in collaboration with academics, researchers and engineers involved in the centre. </w:t>
      </w:r>
    </w:p>
    <w:p w:rsidR="003F47FF" w:rsidRDefault="000F317E">
      <w:pPr>
        <w:widowControl w:val="0"/>
        <w:spacing w:before="74"/>
        <w:rPr>
          <w:rFonts w:ascii="Arial" w:eastAsia="Arial" w:hAnsi="Arial" w:cs="Arial"/>
          <w:color w:val="333333"/>
          <w:sz w:val="20"/>
          <w:szCs w:val="20"/>
        </w:rPr>
      </w:pPr>
      <w:r>
        <w:rPr>
          <w:rFonts w:ascii="Arial" w:eastAsia="Arial" w:hAnsi="Arial" w:cs="Arial"/>
          <w:color w:val="1A1821"/>
          <w:sz w:val="20"/>
          <w:szCs w:val="20"/>
        </w:rPr>
        <w:t>A large part of the postdoctoral research fellows duties will include mentoring and potentially supervising postgraduate research students within this theme. Each research student in expected to include a minimum of twelve months of industry placement (wit</w:t>
      </w:r>
      <w:r>
        <w:rPr>
          <w:rFonts w:ascii="Arial" w:eastAsia="Arial" w:hAnsi="Arial" w:cs="Arial"/>
          <w:color w:val="1A1821"/>
          <w:sz w:val="20"/>
          <w:szCs w:val="20"/>
        </w:rPr>
        <w:t>h partner organisations Roy Hill, BHP or Alcoa) during their candidature. The research fellow will be required to liaise with industry contacts and help students integrate properly with the respective teams.</w:t>
      </w:r>
    </w:p>
    <w:p w:rsidR="003F47FF" w:rsidRDefault="000F317E">
      <w:pPr>
        <w:widowControl w:val="0"/>
        <w:spacing w:before="74"/>
        <w:rPr>
          <w:rFonts w:ascii="Times" w:eastAsia="Times" w:hAnsi="Times" w:cs="Times"/>
          <w:color w:val="333333"/>
          <w:sz w:val="21"/>
          <w:szCs w:val="21"/>
        </w:rPr>
      </w:pPr>
      <w:r>
        <w:rPr>
          <w:rFonts w:ascii="Times" w:eastAsia="Times" w:hAnsi="Times" w:cs="Times"/>
          <w:color w:val="333333"/>
          <w:sz w:val="21"/>
          <w:szCs w:val="21"/>
        </w:rPr>
        <w:t xml:space="preserve">  </w:t>
      </w:r>
    </w:p>
    <w:p w:rsidR="003F47FF" w:rsidRDefault="000F317E">
      <w:pPr>
        <w:shd w:val="clear" w:color="auto" w:fill="000000"/>
        <w:tabs>
          <w:tab w:val="right" w:pos="9072"/>
        </w:tabs>
        <w:spacing w:before="240" w:after="60"/>
        <w:jc w:val="both"/>
        <w:rPr>
          <w:rFonts w:ascii="Arial" w:eastAsia="Arial" w:hAnsi="Arial" w:cs="Arial"/>
          <w:color w:val="FFFFFF"/>
        </w:rPr>
      </w:pPr>
      <w:r>
        <w:rPr>
          <w:rFonts w:ascii="Arial" w:eastAsia="Arial" w:hAnsi="Arial" w:cs="Arial"/>
          <w:b/>
          <w:color w:val="FFFFFF"/>
        </w:rPr>
        <w:t>Key responsibilities</w:t>
      </w:r>
    </w:p>
    <w:p w:rsidR="003F47FF" w:rsidRDefault="000F317E">
      <w:pPr>
        <w:widowControl w:val="0"/>
        <w:numPr>
          <w:ilvl w:val="0"/>
          <w:numId w:val="2"/>
        </w:numPr>
        <w:tabs>
          <w:tab w:val="left" w:pos="567"/>
        </w:tabs>
        <w:spacing w:after="120"/>
        <w:rPr>
          <w:rFonts w:ascii="Arial" w:eastAsia="Arial" w:hAnsi="Arial" w:cs="Arial"/>
          <w:color w:val="1A1821"/>
          <w:sz w:val="20"/>
          <w:szCs w:val="20"/>
        </w:rPr>
      </w:pPr>
      <w:r>
        <w:rPr>
          <w:rFonts w:ascii="Arial" w:eastAsia="Arial" w:hAnsi="Arial" w:cs="Arial"/>
          <w:color w:val="1A1821"/>
          <w:sz w:val="20"/>
          <w:szCs w:val="20"/>
        </w:rPr>
        <w:t>Drive the “Supporting th</w:t>
      </w:r>
      <w:r>
        <w:rPr>
          <w:rFonts w:ascii="Arial" w:eastAsia="Arial" w:hAnsi="Arial" w:cs="Arial"/>
          <w:color w:val="1A1821"/>
          <w:sz w:val="20"/>
          <w:szCs w:val="20"/>
        </w:rPr>
        <w:t xml:space="preserve">e Engineer” research program in conjunction with the academics and industry partners in that theme. </w:t>
      </w:r>
    </w:p>
    <w:p w:rsidR="003F47FF" w:rsidRDefault="000F317E">
      <w:pPr>
        <w:widowControl w:val="0"/>
        <w:numPr>
          <w:ilvl w:val="0"/>
          <w:numId w:val="3"/>
        </w:numPr>
        <w:pBdr>
          <w:top w:val="nil"/>
          <w:left w:val="nil"/>
          <w:bottom w:val="nil"/>
          <w:right w:val="nil"/>
          <w:between w:val="nil"/>
        </w:pBdr>
        <w:tabs>
          <w:tab w:val="left" w:pos="567"/>
        </w:tabs>
        <w:spacing w:after="120" w:line="246" w:lineRule="auto"/>
        <w:ind w:right="812"/>
        <w:rPr>
          <w:rFonts w:ascii="Arial" w:eastAsia="Arial" w:hAnsi="Arial" w:cs="Arial"/>
          <w:color w:val="000000"/>
          <w:sz w:val="20"/>
          <w:szCs w:val="20"/>
        </w:rPr>
      </w:pPr>
      <w:r>
        <w:rPr>
          <w:rFonts w:ascii="Arial" w:eastAsia="Arial" w:hAnsi="Arial" w:cs="Arial"/>
          <w:color w:val="000000"/>
          <w:sz w:val="20"/>
          <w:szCs w:val="20"/>
        </w:rPr>
        <w:t>Supervise and mentor research postgraduate students, both in academia and during industry placements.</w:t>
      </w:r>
    </w:p>
    <w:p w:rsidR="003F47FF" w:rsidRDefault="000F317E">
      <w:pPr>
        <w:widowControl w:val="0"/>
        <w:numPr>
          <w:ilvl w:val="0"/>
          <w:numId w:val="3"/>
        </w:numPr>
        <w:pBdr>
          <w:top w:val="nil"/>
          <w:left w:val="nil"/>
          <w:bottom w:val="nil"/>
          <w:right w:val="nil"/>
          <w:between w:val="nil"/>
        </w:pBdr>
        <w:tabs>
          <w:tab w:val="left" w:pos="567"/>
        </w:tabs>
        <w:spacing w:after="120" w:line="246" w:lineRule="auto"/>
        <w:ind w:right="812"/>
        <w:rPr>
          <w:rFonts w:ascii="Arial" w:eastAsia="Arial" w:hAnsi="Arial" w:cs="Arial"/>
          <w:color w:val="000000"/>
          <w:sz w:val="20"/>
          <w:szCs w:val="20"/>
        </w:rPr>
      </w:pPr>
      <w:r>
        <w:rPr>
          <w:rFonts w:ascii="Arial" w:eastAsia="Arial" w:hAnsi="Arial" w:cs="Arial"/>
          <w:color w:val="1A1821"/>
          <w:sz w:val="20"/>
          <w:szCs w:val="20"/>
        </w:rPr>
        <w:t xml:space="preserve">Present research activities and results </w:t>
      </w:r>
      <w:r>
        <w:rPr>
          <w:rFonts w:ascii="Arial" w:eastAsia="Arial" w:hAnsi="Arial" w:cs="Arial"/>
          <w:color w:val="2F2F33"/>
          <w:sz w:val="20"/>
          <w:szCs w:val="20"/>
        </w:rPr>
        <w:t xml:space="preserve">in </w:t>
      </w:r>
      <w:r>
        <w:rPr>
          <w:rFonts w:ascii="Arial" w:eastAsia="Arial" w:hAnsi="Arial" w:cs="Arial"/>
          <w:color w:val="1A1821"/>
          <w:sz w:val="20"/>
          <w:szCs w:val="20"/>
        </w:rPr>
        <w:t>reports, research publications, and to visitors, potential sponsors and peers</w:t>
      </w:r>
      <w:r>
        <w:rPr>
          <w:rFonts w:ascii="Arial" w:eastAsia="Arial" w:hAnsi="Arial" w:cs="Arial"/>
          <w:color w:val="464646"/>
          <w:sz w:val="20"/>
          <w:szCs w:val="20"/>
        </w:rPr>
        <w:t>.</w:t>
      </w:r>
    </w:p>
    <w:p w:rsidR="003F47FF" w:rsidRDefault="000F317E">
      <w:pPr>
        <w:widowControl w:val="0"/>
        <w:numPr>
          <w:ilvl w:val="0"/>
          <w:numId w:val="3"/>
        </w:numPr>
        <w:pBdr>
          <w:top w:val="nil"/>
          <w:left w:val="nil"/>
          <w:bottom w:val="nil"/>
          <w:right w:val="nil"/>
          <w:between w:val="nil"/>
        </w:pBdr>
        <w:tabs>
          <w:tab w:val="left" w:pos="567"/>
        </w:tabs>
        <w:spacing w:after="120" w:line="246" w:lineRule="auto"/>
        <w:ind w:right="812"/>
        <w:rPr>
          <w:rFonts w:ascii="Arial" w:eastAsia="Arial" w:hAnsi="Arial" w:cs="Arial"/>
          <w:color w:val="000000"/>
          <w:sz w:val="20"/>
          <w:szCs w:val="20"/>
        </w:rPr>
      </w:pPr>
      <w:r>
        <w:rPr>
          <w:rFonts w:ascii="Arial" w:eastAsia="Arial" w:hAnsi="Arial" w:cs="Arial"/>
          <w:color w:val="1A1821"/>
          <w:sz w:val="20"/>
          <w:szCs w:val="20"/>
        </w:rPr>
        <w:t>Publication in academic peer reviewed literature</w:t>
      </w:r>
      <w:r>
        <w:rPr>
          <w:rFonts w:ascii="Arial" w:eastAsia="Arial" w:hAnsi="Arial" w:cs="Arial"/>
          <w:color w:val="000000"/>
          <w:sz w:val="20"/>
          <w:szCs w:val="20"/>
        </w:rPr>
        <w:t>.</w:t>
      </w:r>
    </w:p>
    <w:p w:rsidR="003F47FF" w:rsidRDefault="000F317E">
      <w:pPr>
        <w:widowControl w:val="0"/>
        <w:numPr>
          <w:ilvl w:val="0"/>
          <w:numId w:val="3"/>
        </w:numPr>
        <w:pBdr>
          <w:top w:val="nil"/>
          <w:left w:val="nil"/>
          <w:bottom w:val="nil"/>
          <w:right w:val="nil"/>
          <w:between w:val="nil"/>
        </w:pBdr>
        <w:tabs>
          <w:tab w:val="left" w:pos="567"/>
        </w:tabs>
        <w:spacing w:after="120"/>
        <w:rPr>
          <w:rFonts w:ascii="Arial" w:eastAsia="Arial" w:hAnsi="Arial" w:cs="Arial"/>
          <w:color w:val="000000"/>
          <w:sz w:val="20"/>
          <w:szCs w:val="20"/>
        </w:rPr>
      </w:pPr>
      <w:r>
        <w:rPr>
          <w:rFonts w:ascii="Arial" w:eastAsia="Arial" w:hAnsi="Arial" w:cs="Arial"/>
          <w:color w:val="1A1821"/>
          <w:sz w:val="20"/>
          <w:szCs w:val="20"/>
        </w:rPr>
        <w:t>Contribute to grant writing</w:t>
      </w:r>
      <w:r>
        <w:rPr>
          <w:rFonts w:ascii="Arial" w:eastAsia="Arial" w:hAnsi="Arial" w:cs="Arial"/>
          <w:color w:val="464646"/>
          <w:sz w:val="20"/>
          <w:szCs w:val="20"/>
        </w:rPr>
        <w:t>. Seek out sources of funding, including from grant awarding bodies and through consultation and industrial investment.</w:t>
      </w:r>
    </w:p>
    <w:p w:rsidR="003F47FF" w:rsidRDefault="000F317E">
      <w:pPr>
        <w:widowControl w:val="0"/>
        <w:numPr>
          <w:ilvl w:val="0"/>
          <w:numId w:val="3"/>
        </w:numPr>
        <w:pBdr>
          <w:top w:val="nil"/>
          <w:left w:val="nil"/>
          <w:bottom w:val="nil"/>
          <w:right w:val="nil"/>
          <w:between w:val="nil"/>
        </w:pBdr>
        <w:tabs>
          <w:tab w:val="left" w:pos="567"/>
        </w:tabs>
        <w:spacing w:after="120"/>
        <w:rPr>
          <w:rFonts w:ascii="Arial" w:eastAsia="Arial" w:hAnsi="Arial" w:cs="Arial"/>
          <w:color w:val="000000"/>
          <w:sz w:val="20"/>
          <w:szCs w:val="20"/>
        </w:rPr>
      </w:pPr>
      <w:r>
        <w:rPr>
          <w:rFonts w:ascii="Arial" w:eastAsia="Arial" w:hAnsi="Arial" w:cs="Arial"/>
          <w:color w:val="1A1821"/>
          <w:sz w:val="20"/>
          <w:szCs w:val="20"/>
        </w:rPr>
        <w:t>Manage day-to-day activities related to operation of research within the centre.</w:t>
      </w:r>
    </w:p>
    <w:p w:rsidR="003F47FF" w:rsidRDefault="000F317E">
      <w:pPr>
        <w:widowControl w:val="0"/>
        <w:numPr>
          <w:ilvl w:val="0"/>
          <w:numId w:val="3"/>
        </w:numPr>
        <w:pBdr>
          <w:top w:val="nil"/>
          <w:left w:val="nil"/>
          <w:bottom w:val="nil"/>
          <w:right w:val="nil"/>
          <w:between w:val="nil"/>
        </w:pBdr>
        <w:tabs>
          <w:tab w:val="left" w:pos="567"/>
        </w:tabs>
        <w:spacing w:after="120"/>
        <w:rPr>
          <w:rFonts w:ascii="Arial" w:eastAsia="Arial" w:hAnsi="Arial" w:cs="Arial"/>
          <w:color w:val="000000"/>
          <w:sz w:val="20"/>
          <w:szCs w:val="20"/>
        </w:rPr>
      </w:pPr>
      <w:r>
        <w:rPr>
          <w:rFonts w:ascii="Arial" w:eastAsia="Arial" w:hAnsi="Arial" w:cs="Arial"/>
          <w:color w:val="000000"/>
          <w:sz w:val="20"/>
          <w:szCs w:val="20"/>
        </w:rPr>
        <w:t>Develop and deliver training materials as required – bo</w:t>
      </w:r>
      <w:r>
        <w:rPr>
          <w:rFonts w:ascii="Arial" w:eastAsia="Arial" w:hAnsi="Arial" w:cs="Arial"/>
          <w:color w:val="000000"/>
          <w:sz w:val="20"/>
          <w:szCs w:val="20"/>
        </w:rPr>
        <w:t>th to ensure industry adoption of outputs of the research centre, and to equip and instruct postgraduate students.</w:t>
      </w:r>
    </w:p>
    <w:p w:rsidR="003F47FF" w:rsidRDefault="000F317E">
      <w:pPr>
        <w:widowControl w:val="0"/>
        <w:numPr>
          <w:ilvl w:val="0"/>
          <w:numId w:val="3"/>
        </w:numPr>
        <w:pBdr>
          <w:top w:val="nil"/>
          <w:left w:val="nil"/>
          <w:bottom w:val="nil"/>
          <w:right w:val="nil"/>
          <w:between w:val="nil"/>
        </w:pBdr>
        <w:tabs>
          <w:tab w:val="left" w:pos="567"/>
        </w:tabs>
        <w:spacing w:after="120"/>
        <w:rPr>
          <w:rFonts w:ascii="Arial" w:eastAsia="Arial" w:hAnsi="Arial" w:cs="Arial"/>
          <w:color w:val="000000"/>
          <w:sz w:val="20"/>
          <w:szCs w:val="20"/>
        </w:rPr>
      </w:pPr>
      <w:r>
        <w:rPr>
          <w:rFonts w:ascii="Arial" w:eastAsia="Arial" w:hAnsi="Arial" w:cs="Arial"/>
          <w:color w:val="1A1821"/>
          <w:sz w:val="20"/>
          <w:szCs w:val="20"/>
        </w:rPr>
        <w:t>Perform other duties as directed.</w:t>
      </w:r>
      <w:r>
        <w:rPr>
          <w:rFonts w:ascii="Arial" w:eastAsia="Arial" w:hAnsi="Arial" w:cs="Arial"/>
          <w:b/>
          <w:color w:val="FFFFFF"/>
          <w:sz w:val="19"/>
          <w:szCs w:val="19"/>
        </w:rPr>
        <w:t>.</w:t>
      </w:r>
    </w:p>
    <w:p w:rsidR="003F47FF" w:rsidRDefault="000F317E">
      <w:pPr>
        <w:shd w:val="clear" w:color="auto" w:fill="000000"/>
        <w:tabs>
          <w:tab w:val="right" w:pos="9072"/>
        </w:tabs>
        <w:spacing w:before="240" w:after="60"/>
        <w:jc w:val="both"/>
        <w:rPr>
          <w:rFonts w:ascii="Arial" w:eastAsia="Arial" w:hAnsi="Arial" w:cs="Arial"/>
          <w:color w:val="FFFFFF"/>
        </w:rPr>
      </w:pPr>
      <w:r>
        <w:rPr>
          <w:rFonts w:ascii="Arial" w:eastAsia="Arial" w:hAnsi="Arial" w:cs="Arial"/>
          <w:b/>
          <w:color w:val="FFFFFF"/>
        </w:rPr>
        <w:t>Your specific work capabilities (selection criteria)</w:t>
      </w:r>
    </w:p>
    <w:p w:rsidR="003F47FF" w:rsidRDefault="003F47FF">
      <w:pPr>
        <w:widowControl w:val="0"/>
        <w:tabs>
          <w:tab w:val="left" w:pos="220"/>
          <w:tab w:val="left" w:pos="720"/>
        </w:tabs>
        <w:spacing w:after="120" w:line="244" w:lineRule="auto"/>
        <w:ind w:right="565"/>
        <w:jc w:val="both"/>
        <w:rPr>
          <w:rFonts w:ascii="Arial" w:eastAsia="Arial" w:hAnsi="Arial" w:cs="Arial"/>
          <w:color w:val="1A181F"/>
          <w:sz w:val="20"/>
          <w:szCs w:val="20"/>
        </w:rPr>
      </w:pPr>
    </w:p>
    <w:p w:rsidR="003F47FF" w:rsidRDefault="000F317E">
      <w:pPr>
        <w:widowControl w:val="0"/>
        <w:numPr>
          <w:ilvl w:val="0"/>
          <w:numId w:val="1"/>
        </w:numPr>
        <w:pBdr>
          <w:top w:val="nil"/>
          <w:left w:val="nil"/>
          <w:bottom w:val="nil"/>
          <w:right w:val="nil"/>
          <w:between w:val="nil"/>
        </w:pBdr>
        <w:tabs>
          <w:tab w:val="left" w:pos="567"/>
        </w:tabs>
        <w:spacing w:after="120" w:line="246" w:lineRule="auto"/>
        <w:ind w:right="565" w:hanging="581"/>
        <w:jc w:val="both"/>
      </w:pPr>
      <w:r>
        <w:rPr>
          <w:rFonts w:ascii="Arial" w:eastAsia="Arial" w:hAnsi="Arial" w:cs="Arial"/>
          <w:color w:val="1A1821"/>
          <w:sz w:val="20"/>
          <w:szCs w:val="20"/>
        </w:rPr>
        <w:t>PhD in engineering, physics, computer science, mathematics</w:t>
      </w:r>
      <w:r>
        <w:rPr>
          <w:rFonts w:ascii="Arial" w:eastAsia="Arial" w:hAnsi="Arial" w:cs="Arial"/>
          <w:color w:val="464646"/>
          <w:sz w:val="20"/>
          <w:szCs w:val="20"/>
        </w:rPr>
        <w:t xml:space="preserve">, </w:t>
      </w:r>
      <w:r>
        <w:rPr>
          <w:rFonts w:ascii="Arial" w:eastAsia="Arial" w:hAnsi="Arial" w:cs="Arial"/>
          <w:color w:val="1A1821"/>
          <w:sz w:val="20"/>
          <w:szCs w:val="20"/>
        </w:rPr>
        <w:t>or a relevant engineering discipline.</w:t>
      </w:r>
    </w:p>
    <w:p w:rsidR="003F47FF" w:rsidRDefault="000F317E">
      <w:pPr>
        <w:widowControl w:val="0"/>
        <w:numPr>
          <w:ilvl w:val="0"/>
          <w:numId w:val="1"/>
        </w:numPr>
        <w:pBdr>
          <w:top w:val="nil"/>
          <w:left w:val="nil"/>
          <w:bottom w:val="nil"/>
          <w:right w:val="nil"/>
          <w:between w:val="nil"/>
        </w:pBdr>
        <w:tabs>
          <w:tab w:val="left" w:pos="567"/>
        </w:tabs>
        <w:spacing w:after="120"/>
        <w:ind w:left="567" w:hanging="581"/>
      </w:pPr>
      <w:r>
        <w:rPr>
          <w:rFonts w:ascii="Arial" w:eastAsia="Arial" w:hAnsi="Arial" w:cs="Arial"/>
          <w:color w:val="1A1821"/>
          <w:sz w:val="20"/>
          <w:szCs w:val="20"/>
        </w:rPr>
        <w:t>Experience in working as a team player, preferably within a cross-disciplinary team</w:t>
      </w:r>
      <w:r>
        <w:rPr>
          <w:rFonts w:ascii="Arial" w:eastAsia="Arial" w:hAnsi="Arial" w:cs="Arial"/>
          <w:color w:val="464646"/>
          <w:sz w:val="20"/>
          <w:szCs w:val="20"/>
        </w:rPr>
        <w:t>.</w:t>
      </w:r>
      <w:r>
        <w:rPr>
          <w:rFonts w:ascii="Arial" w:eastAsia="Arial" w:hAnsi="Arial" w:cs="Arial"/>
          <w:color w:val="1A1821"/>
          <w:sz w:val="20"/>
          <w:szCs w:val="20"/>
        </w:rPr>
        <w:t xml:space="preserve"> Willingness to work across institutions and act as a mentor for a cohort of research students during study and industry placement.</w:t>
      </w:r>
    </w:p>
    <w:p w:rsidR="003F47FF" w:rsidRDefault="000F317E">
      <w:pPr>
        <w:widowControl w:val="0"/>
        <w:numPr>
          <w:ilvl w:val="0"/>
          <w:numId w:val="1"/>
        </w:numPr>
        <w:pBdr>
          <w:top w:val="nil"/>
          <w:left w:val="nil"/>
          <w:bottom w:val="nil"/>
          <w:right w:val="nil"/>
          <w:between w:val="nil"/>
        </w:pBdr>
        <w:tabs>
          <w:tab w:val="left" w:pos="567"/>
        </w:tabs>
        <w:spacing w:after="120"/>
        <w:ind w:left="567" w:hanging="581"/>
      </w:pPr>
      <w:r>
        <w:rPr>
          <w:rFonts w:ascii="Arial" w:eastAsia="Arial" w:hAnsi="Arial" w:cs="Arial"/>
          <w:color w:val="1A1821"/>
          <w:sz w:val="20"/>
          <w:szCs w:val="20"/>
        </w:rPr>
        <w:t>Track record of research publication and in seeking and obtaining grant funding (relative to opportunity).</w:t>
      </w:r>
    </w:p>
    <w:p w:rsidR="003F47FF" w:rsidRDefault="000F317E">
      <w:pPr>
        <w:widowControl w:val="0"/>
        <w:numPr>
          <w:ilvl w:val="0"/>
          <w:numId w:val="1"/>
        </w:numPr>
        <w:pBdr>
          <w:top w:val="nil"/>
          <w:left w:val="nil"/>
          <w:bottom w:val="nil"/>
          <w:right w:val="nil"/>
          <w:between w:val="nil"/>
        </w:pBdr>
        <w:tabs>
          <w:tab w:val="left" w:pos="567"/>
        </w:tabs>
        <w:spacing w:after="120" w:line="252" w:lineRule="auto"/>
        <w:ind w:left="571" w:right="564" w:hanging="581"/>
        <w:jc w:val="both"/>
      </w:pPr>
      <w:r>
        <w:rPr>
          <w:rFonts w:ascii="Arial" w:eastAsia="Arial" w:hAnsi="Arial" w:cs="Arial"/>
          <w:color w:val="1A1821"/>
          <w:sz w:val="20"/>
          <w:szCs w:val="20"/>
        </w:rPr>
        <w:t xml:space="preserve">Highly developed </w:t>
      </w:r>
      <w:r>
        <w:rPr>
          <w:rFonts w:ascii="Arial" w:eastAsia="Arial" w:hAnsi="Arial" w:cs="Arial"/>
          <w:color w:val="1A1821"/>
          <w:sz w:val="20"/>
          <w:szCs w:val="20"/>
        </w:rPr>
        <w:t>written and verbal communication skills in the preparation of high</w:t>
      </w:r>
      <w:r>
        <w:rPr>
          <w:rFonts w:ascii="Arial" w:eastAsia="Arial" w:hAnsi="Arial" w:cs="Arial"/>
          <w:color w:val="464646"/>
          <w:sz w:val="20"/>
          <w:szCs w:val="20"/>
        </w:rPr>
        <w:t>-</w:t>
      </w:r>
      <w:r>
        <w:rPr>
          <w:rFonts w:ascii="Arial" w:eastAsia="Arial" w:hAnsi="Arial" w:cs="Arial"/>
          <w:color w:val="1A1821"/>
          <w:sz w:val="20"/>
          <w:szCs w:val="20"/>
        </w:rPr>
        <w:t>quality reports, presentations and publications</w:t>
      </w:r>
      <w:r>
        <w:rPr>
          <w:rFonts w:ascii="Arial" w:eastAsia="Arial" w:hAnsi="Arial" w:cs="Arial"/>
          <w:color w:val="464646"/>
          <w:sz w:val="20"/>
          <w:szCs w:val="20"/>
        </w:rPr>
        <w:t>.</w:t>
      </w:r>
    </w:p>
    <w:p w:rsidR="003F47FF" w:rsidRDefault="000F317E">
      <w:pPr>
        <w:widowControl w:val="0"/>
        <w:numPr>
          <w:ilvl w:val="0"/>
          <w:numId w:val="1"/>
        </w:numPr>
        <w:pBdr>
          <w:top w:val="nil"/>
          <w:left w:val="nil"/>
          <w:bottom w:val="nil"/>
          <w:right w:val="nil"/>
          <w:between w:val="nil"/>
        </w:pBdr>
        <w:tabs>
          <w:tab w:val="left" w:pos="567"/>
        </w:tabs>
        <w:spacing w:after="120" w:line="246" w:lineRule="auto"/>
        <w:ind w:left="567" w:right="566" w:hanging="581"/>
        <w:jc w:val="both"/>
      </w:pPr>
      <w:r>
        <w:rPr>
          <w:rFonts w:ascii="Arial" w:eastAsia="Arial" w:hAnsi="Arial" w:cs="Arial"/>
          <w:color w:val="1A1821"/>
          <w:sz w:val="20"/>
          <w:szCs w:val="20"/>
        </w:rPr>
        <w:t>An ability and willingness to direct and supervise final year undergraduate students and PhD students.</w:t>
      </w:r>
    </w:p>
    <w:p w:rsidR="003F47FF" w:rsidRDefault="000F317E">
      <w:pPr>
        <w:widowControl w:val="0"/>
        <w:numPr>
          <w:ilvl w:val="0"/>
          <w:numId w:val="1"/>
        </w:numPr>
        <w:pBdr>
          <w:top w:val="nil"/>
          <w:left w:val="nil"/>
          <w:bottom w:val="nil"/>
          <w:right w:val="nil"/>
          <w:between w:val="nil"/>
        </w:pBdr>
        <w:tabs>
          <w:tab w:val="left" w:pos="567"/>
        </w:tabs>
        <w:spacing w:after="120" w:line="246" w:lineRule="auto"/>
        <w:ind w:left="567" w:right="566" w:hanging="581"/>
        <w:jc w:val="both"/>
      </w:pPr>
      <w:r>
        <w:rPr>
          <w:rFonts w:ascii="Arial" w:eastAsia="Arial" w:hAnsi="Arial" w:cs="Arial"/>
          <w:color w:val="000000"/>
          <w:sz w:val="20"/>
          <w:szCs w:val="20"/>
        </w:rPr>
        <w:t>Experience and willingness to work wi</w:t>
      </w:r>
      <w:r>
        <w:rPr>
          <w:rFonts w:ascii="Arial" w:eastAsia="Arial" w:hAnsi="Arial" w:cs="Arial"/>
          <w:color w:val="000000"/>
          <w:sz w:val="20"/>
          <w:szCs w:val="20"/>
        </w:rPr>
        <w:t>th industry partners on industry problems.</w:t>
      </w:r>
    </w:p>
    <w:p w:rsidR="003F47FF" w:rsidRDefault="000F317E">
      <w:pPr>
        <w:widowControl w:val="0"/>
        <w:numPr>
          <w:ilvl w:val="0"/>
          <w:numId w:val="1"/>
        </w:numPr>
        <w:pBdr>
          <w:top w:val="nil"/>
          <w:left w:val="nil"/>
          <w:bottom w:val="nil"/>
          <w:right w:val="nil"/>
          <w:between w:val="nil"/>
        </w:pBdr>
        <w:tabs>
          <w:tab w:val="left" w:pos="567"/>
        </w:tabs>
        <w:spacing w:after="120" w:line="246" w:lineRule="auto"/>
        <w:ind w:left="567" w:right="566" w:hanging="581"/>
        <w:jc w:val="both"/>
      </w:pPr>
      <w:r>
        <w:rPr>
          <w:rFonts w:ascii="Arial" w:eastAsia="Arial" w:hAnsi="Arial" w:cs="Arial"/>
          <w:color w:val="000000"/>
          <w:sz w:val="20"/>
          <w:szCs w:val="20"/>
        </w:rPr>
        <w:t>Experience and/or enthusiasm in translating research outcomes to practise. This may include development and delivery of industry short-courses or relevant software development.</w:t>
      </w:r>
    </w:p>
    <w:p w:rsidR="003F47FF" w:rsidRDefault="000F317E">
      <w:pPr>
        <w:widowControl w:val="0"/>
        <w:numPr>
          <w:ilvl w:val="0"/>
          <w:numId w:val="1"/>
        </w:numPr>
        <w:pBdr>
          <w:top w:val="nil"/>
          <w:left w:val="nil"/>
          <w:bottom w:val="nil"/>
          <w:right w:val="nil"/>
          <w:between w:val="nil"/>
        </w:pBdr>
        <w:spacing w:after="120" w:line="242" w:lineRule="auto"/>
        <w:ind w:left="567" w:right="109" w:hanging="519"/>
      </w:pPr>
      <w:r>
        <w:rPr>
          <w:rFonts w:ascii="Arial" w:eastAsia="Arial" w:hAnsi="Arial" w:cs="Arial"/>
          <w:color w:val="1A181F"/>
          <w:sz w:val="20"/>
          <w:szCs w:val="20"/>
        </w:rPr>
        <w:t>Highly developed organisational skills and demonstrated ability to set priorities and to meet deadlines.</w:t>
      </w:r>
    </w:p>
    <w:p w:rsidR="003F47FF" w:rsidRDefault="000F317E">
      <w:pPr>
        <w:widowControl w:val="0"/>
        <w:numPr>
          <w:ilvl w:val="0"/>
          <w:numId w:val="1"/>
        </w:numPr>
        <w:pBdr>
          <w:top w:val="nil"/>
          <w:left w:val="nil"/>
          <w:bottom w:val="nil"/>
          <w:right w:val="nil"/>
          <w:between w:val="nil"/>
        </w:pBdr>
        <w:spacing w:after="120" w:line="242" w:lineRule="auto"/>
        <w:ind w:left="567" w:right="109" w:hanging="519"/>
      </w:pPr>
      <w:r>
        <w:rPr>
          <w:rFonts w:ascii="Arial" w:eastAsia="Arial" w:hAnsi="Arial" w:cs="Arial"/>
          <w:color w:val="1A181F"/>
          <w:sz w:val="20"/>
          <w:szCs w:val="20"/>
        </w:rPr>
        <w:t>(Desirable) Experience in translating academic outcomes and language into industry terms</w:t>
      </w:r>
    </w:p>
    <w:p w:rsidR="003F47FF" w:rsidRDefault="000F317E">
      <w:pPr>
        <w:shd w:val="clear" w:color="auto" w:fill="000000"/>
        <w:tabs>
          <w:tab w:val="right" w:pos="9072"/>
        </w:tabs>
        <w:spacing w:before="240" w:after="60"/>
        <w:jc w:val="both"/>
        <w:rPr>
          <w:rFonts w:ascii="Arial" w:eastAsia="Arial" w:hAnsi="Arial" w:cs="Arial"/>
          <w:color w:val="FFFFFF"/>
        </w:rPr>
      </w:pPr>
      <w:r>
        <w:rPr>
          <w:rFonts w:ascii="Arial" w:eastAsia="Arial" w:hAnsi="Arial" w:cs="Arial"/>
          <w:b/>
          <w:color w:val="FFFFFF"/>
        </w:rPr>
        <w:t xml:space="preserve">Special Requirements </w:t>
      </w:r>
    </w:p>
    <w:p w:rsidR="003F47FF" w:rsidRDefault="000F317E">
      <w:pPr>
        <w:spacing w:before="120" w:after="120"/>
        <w:jc w:val="both"/>
        <w:rPr>
          <w:rFonts w:ascii="Arial" w:eastAsia="Arial" w:hAnsi="Arial" w:cs="Arial"/>
          <w:sz w:val="20"/>
          <w:szCs w:val="20"/>
        </w:rPr>
      </w:pPr>
      <w:r>
        <w:rPr>
          <w:rFonts w:ascii="Arial" w:eastAsia="Arial" w:hAnsi="Arial" w:cs="Arial"/>
          <w:sz w:val="20"/>
          <w:szCs w:val="20"/>
        </w:rPr>
        <w:lastRenderedPageBreak/>
        <w:t>You will split your time between UWA and Curtin campuses. In addition you will be expected to spend time on industry partner sites.</w:t>
      </w:r>
    </w:p>
    <w:p w:rsidR="003F47FF" w:rsidRDefault="000F317E">
      <w:pPr>
        <w:shd w:val="clear" w:color="auto" w:fill="000000"/>
        <w:tabs>
          <w:tab w:val="right" w:pos="9072"/>
        </w:tabs>
        <w:spacing w:before="240" w:after="60"/>
        <w:jc w:val="both"/>
        <w:rPr>
          <w:rFonts w:ascii="Arial" w:eastAsia="Arial" w:hAnsi="Arial" w:cs="Arial"/>
          <w:color w:val="FFFFFF"/>
        </w:rPr>
      </w:pPr>
      <w:r>
        <w:rPr>
          <w:rFonts w:ascii="Arial" w:eastAsia="Arial" w:hAnsi="Arial" w:cs="Arial"/>
          <w:b/>
          <w:color w:val="FFFFFF"/>
        </w:rPr>
        <w:t>Compliance</w:t>
      </w:r>
    </w:p>
    <w:p w:rsidR="003F47FF" w:rsidRDefault="000F317E">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b/>
          <w:color w:val="000000"/>
          <w:sz w:val="20"/>
          <w:szCs w:val="20"/>
        </w:rPr>
        <w:t>Workplace Health and Safety</w:t>
      </w:r>
    </w:p>
    <w:p w:rsidR="003F47FF" w:rsidRDefault="000F317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rsidR="003F47FF" w:rsidRDefault="000F317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All staff must co</w:t>
      </w:r>
      <w:r>
        <w:rPr>
          <w:rFonts w:ascii="Arial" w:eastAsia="Arial" w:hAnsi="Arial" w:cs="Arial"/>
          <w:color w:val="000000"/>
          <w:sz w:val="20"/>
          <w:szCs w:val="20"/>
        </w:rPr>
        <w:t xml:space="preserve">mply with requirements of the Occupational Safety and Health Act and all reasonable directives given in relation to health and safety at work, to ensure compliance with University and Legislative health and safety requirements. </w:t>
      </w:r>
    </w:p>
    <w:p w:rsidR="003F47FF" w:rsidRDefault="000F317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Details of the safety oblig</w:t>
      </w:r>
      <w:r>
        <w:rPr>
          <w:rFonts w:ascii="Arial" w:eastAsia="Arial" w:hAnsi="Arial" w:cs="Arial"/>
          <w:color w:val="000000"/>
          <w:sz w:val="20"/>
          <w:szCs w:val="20"/>
        </w:rPr>
        <w:t xml:space="preserve">ations can be accessed at </w:t>
      </w:r>
      <w:hyperlink r:id="rId9">
        <w:r>
          <w:rPr>
            <w:rFonts w:ascii="Arial" w:eastAsia="Arial" w:hAnsi="Arial" w:cs="Arial"/>
            <w:color w:val="0000FF"/>
            <w:sz w:val="20"/>
            <w:szCs w:val="20"/>
            <w:u w:val="single"/>
          </w:rPr>
          <w:t>http://www.safety.uwa.edu.au</w:t>
        </w:r>
      </w:hyperlink>
      <w:r>
        <w:rPr>
          <w:rFonts w:ascii="Arial" w:eastAsia="Arial" w:hAnsi="Arial" w:cs="Arial"/>
          <w:color w:val="000000"/>
          <w:sz w:val="20"/>
          <w:szCs w:val="20"/>
        </w:rPr>
        <w:t xml:space="preserve"> </w:t>
      </w:r>
    </w:p>
    <w:p w:rsidR="003F47FF" w:rsidRDefault="003F47FF">
      <w:pPr>
        <w:pBdr>
          <w:top w:val="nil"/>
          <w:left w:val="nil"/>
          <w:bottom w:val="nil"/>
          <w:right w:val="nil"/>
          <w:between w:val="nil"/>
        </w:pBdr>
        <w:jc w:val="both"/>
        <w:rPr>
          <w:rFonts w:ascii="Arial" w:eastAsia="Arial" w:hAnsi="Arial" w:cs="Arial"/>
          <w:color w:val="000000"/>
          <w:sz w:val="20"/>
          <w:szCs w:val="20"/>
        </w:rPr>
      </w:pPr>
    </w:p>
    <w:p w:rsidR="003F47FF" w:rsidRDefault="000F317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Equity and Diversity</w:t>
      </w:r>
    </w:p>
    <w:p w:rsidR="003F47FF" w:rsidRDefault="000F317E">
      <w:pPr>
        <w:pBdr>
          <w:top w:val="nil"/>
          <w:left w:val="nil"/>
          <w:bottom w:val="nil"/>
          <w:right w:val="nil"/>
          <w:between w:val="nil"/>
        </w:pBdr>
        <w:jc w:val="both"/>
        <w:rPr>
          <w:rFonts w:ascii="Arial" w:eastAsia="Arial" w:hAnsi="Arial" w:cs="Arial"/>
          <w:color w:val="0000FF"/>
          <w:sz w:val="20"/>
          <w:szCs w:val="20"/>
          <w:u w:val="single"/>
        </w:rPr>
      </w:pPr>
      <w:r>
        <w:rPr>
          <w:rFonts w:ascii="Arial" w:eastAsia="Arial" w:hAnsi="Arial" w:cs="Arial"/>
          <w:color w:val="000000"/>
          <w:sz w:val="20"/>
          <w:szCs w:val="20"/>
        </w:rPr>
        <w:t xml:space="preserve">All staff members are required to comply with the University’s Code of Ethics and Code of Conduct  and Equity and Diversity principles.  Details of the University policies on these can be accessed at </w:t>
      </w:r>
      <w:hyperlink r:id="rId10">
        <w:r>
          <w:rPr>
            <w:rFonts w:ascii="Arial" w:eastAsia="Arial" w:hAnsi="Arial" w:cs="Arial"/>
            <w:color w:val="0000FF"/>
            <w:sz w:val="20"/>
            <w:szCs w:val="20"/>
            <w:u w:val="single"/>
          </w:rPr>
          <w:t>http://www.hr.uwa.edu.au/publications/code_of_ethics</w:t>
        </w:r>
      </w:hyperlink>
      <w:r>
        <w:rPr>
          <w:rFonts w:ascii="Arial" w:eastAsia="Arial" w:hAnsi="Arial" w:cs="Arial"/>
          <w:color w:val="000000"/>
          <w:sz w:val="20"/>
          <w:szCs w:val="20"/>
        </w:rPr>
        <w:t xml:space="preserve">, </w:t>
      </w:r>
      <w:hyperlink r:id="rId11">
        <w:r>
          <w:rPr>
            <w:rFonts w:ascii="Arial" w:eastAsia="Arial" w:hAnsi="Arial" w:cs="Arial"/>
            <w:color w:val="0000FF"/>
            <w:sz w:val="20"/>
            <w:szCs w:val="20"/>
            <w:u w:val="single"/>
          </w:rPr>
          <w:t>http://www.equity.uwa.edu.au</w:t>
        </w:r>
      </w:hyperlink>
    </w:p>
    <w:sectPr w:rsidR="003F47FF">
      <w:pgSz w:w="11906" w:h="16838"/>
      <w:pgMar w:top="720" w:right="1282" w:bottom="284" w:left="14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7057"/>
    <w:multiLevelType w:val="multilevel"/>
    <w:tmpl w:val="055AB48A"/>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502A2218"/>
    <w:multiLevelType w:val="multilevel"/>
    <w:tmpl w:val="379CEBE6"/>
    <w:lvl w:ilvl="0">
      <w:start w:val="1"/>
      <w:numFmt w:val="decimal"/>
      <w:lvlText w:val="%1."/>
      <w:lvlJc w:val="left"/>
      <w:pPr>
        <w:ind w:left="581" w:hanging="412"/>
      </w:pPr>
      <w:rPr>
        <w:rFonts w:ascii="Arial" w:eastAsia="Arial" w:hAnsi="Arial" w:cs="Arial"/>
        <w:b w:val="0"/>
        <w:color w:val="1A1821"/>
        <w:sz w:val="19"/>
        <w:szCs w:val="19"/>
        <w:vertAlign w:val="baseline"/>
      </w:rPr>
    </w:lvl>
    <w:lvl w:ilvl="1">
      <w:numFmt w:val="bullet"/>
      <w:lvlText w:val="•"/>
      <w:lvlJc w:val="left"/>
      <w:pPr>
        <w:ind w:left="1473" w:hanging="412"/>
      </w:pPr>
      <w:rPr>
        <w:vertAlign w:val="baseline"/>
      </w:rPr>
    </w:lvl>
    <w:lvl w:ilvl="2">
      <w:numFmt w:val="bullet"/>
      <w:lvlText w:val="•"/>
      <w:lvlJc w:val="left"/>
      <w:pPr>
        <w:ind w:left="2365" w:hanging="412"/>
      </w:pPr>
      <w:rPr>
        <w:vertAlign w:val="baseline"/>
      </w:rPr>
    </w:lvl>
    <w:lvl w:ilvl="3">
      <w:numFmt w:val="bullet"/>
      <w:lvlText w:val="•"/>
      <w:lvlJc w:val="left"/>
      <w:pPr>
        <w:ind w:left="3258" w:hanging="412"/>
      </w:pPr>
      <w:rPr>
        <w:vertAlign w:val="baseline"/>
      </w:rPr>
    </w:lvl>
    <w:lvl w:ilvl="4">
      <w:numFmt w:val="bullet"/>
      <w:lvlText w:val="•"/>
      <w:lvlJc w:val="left"/>
      <w:pPr>
        <w:ind w:left="4150" w:hanging="412"/>
      </w:pPr>
      <w:rPr>
        <w:vertAlign w:val="baseline"/>
      </w:rPr>
    </w:lvl>
    <w:lvl w:ilvl="5">
      <w:numFmt w:val="bullet"/>
      <w:lvlText w:val="•"/>
      <w:lvlJc w:val="left"/>
      <w:pPr>
        <w:ind w:left="5042" w:hanging="412"/>
      </w:pPr>
      <w:rPr>
        <w:vertAlign w:val="baseline"/>
      </w:rPr>
    </w:lvl>
    <w:lvl w:ilvl="6">
      <w:numFmt w:val="bullet"/>
      <w:lvlText w:val="•"/>
      <w:lvlJc w:val="left"/>
      <w:pPr>
        <w:ind w:left="5934" w:hanging="412"/>
      </w:pPr>
      <w:rPr>
        <w:vertAlign w:val="baseline"/>
      </w:rPr>
    </w:lvl>
    <w:lvl w:ilvl="7">
      <w:numFmt w:val="bullet"/>
      <w:lvlText w:val="•"/>
      <w:lvlJc w:val="left"/>
      <w:pPr>
        <w:ind w:left="6827" w:hanging="412"/>
      </w:pPr>
      <w:rPr>
        <w:vertAlign w:val="baseline"/>
      </w:rPr>
    </w:lvl>
    <w:lvl w:ilvl="8">
      <w:numFmt w:val="bullet"/>
      <w:lvlText w:val="•"/>
      <w:lvlJc w:val="left"/>
      <w:pPr>
        <w:ind w:left="7719" w:hanging="412"/>
      </w:pPr>
      <w:rPr>
        <w:vertAlign w:val="baseline"/>
      </w:rPr>
    </w:lvl>
  </w:abstractNum>
  <w:abstractNum w:abstractNumId="2">
    <w:nsid w:val="5B5E7F31"/>
    <w:multiLevelType w:val="multilevel"/>
    <w:tmpl w:val="79A2B1F4"/>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F47FF"/>
    <w:rsid w:val="000F317E"/>
    <w:rsid w:val="003F4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317E"/>
    <w:rPr>
      <w:rFonts w:ascii="Tahoma" w:hAnsi="Tahoma" w:cs="Tahoma"/>
      <w:sz w:val="16"/>
      <w:szCs w:val="16"/>
    </w:rPr>
  </w:style>
  <w:style w:type="character" w:customStyle="1" w:styleId="BalloonTextChar">
    <w:name w:val="Balloon Text Char"/>
    <w:basedOn w:val="DefaultParagraphFont"/>
    <w:link w:val="BalloonText"/>
    <w:uiPriority w:val="99"/>
    <w:semiHidden/>
    <w:rsid w:val="000F3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317E"/>
    <w:rPr>
      <w:rFonts w:ascii="Tahoma" w:hAnsi="Tahoma" w:cs="Tahoma"/>
      <w:sz w:val="16"/>
      <w:szCs w:val="16"/>
    </w:rPr>
  </w:style>
  <w:style w:type="character" w:customStyle="1" w:styleId="BalloonTextChar">
    <w:name w:val="Balloon Text Char"/>
    <w:basedOn w:val="DefaultParagraphFont"/>
    <w:link w:val="BalloonText"/>
    <w:uiPriority w:val="99"/>
    <w:semiHidden/>
    <w:rsid w:val="000F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quity.uwa.edu.au" TargetMode="External"/><Relationship Id="rId5" Type="http://schemas.openxmlformats.org/officeDocument/2006/relationships/webSettings" Target="webSettings.xml"/><Relationship Id="rId10" Type="http://schemas.openxmlformats.org/officeDocument/2006/relationships/hyperlink" Target="http://www.hr.uwa.edu.au/publications/code_of_ethics" TargetMode="External"/><Relationship Id="rId4" Type="http://schemas.openxmlformats.org/officeDocument/2006/relationships/settings" Target="settings.xml"/><Relationship Id="rId9" Type="http://schemas.openxmlformats.org/officeDocument/2006/relationships/hyperlink" Target="http://www.safety.u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5341</Characters>
  <Application>Microsoft Office Word</Application>
  <DocSecurity>4</DocSecurity>
  <Lines>534</Lines>
  <Paragraphs>189</Paragraphs>
  <ScaleCrop>false</ScaleCrop>
  <Company>The University of Western Australia</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Fuller</dc:creator>
  <cp:lastModifiedBy>Will Fuller</cp:lastModifiedBy>
  <cp:revision>2</cp:revision>
  <dcterms:created xsi:type="dcterms:W3CDTF">2019-03-14T00:39:00Z</dcterms:created>
  <dcterms:modified xsi:type="dcterms:W3CDTF">2019-03-14T00:39:00Z</dcterms:modified>
</cp:coreProperties>
</file>