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160B9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4C796E8" w:rsidR="003C0450" w:rsidRPr="007708FA" w:rsidRDefault="00E518BD" w:rsidP="004B1E48">
            <w:pPr>
              <w:rPr>
                <w:rFonts w:ascii="Gill Sans MT" w:hAnsi="Gill Sans MT" w:cs="Gill Sans"/>
              </w:rPr>
            </w:pPr>
            <w:r w:rsidRPr="00E518BD">
              <w:rPr>
                <w:rStyle w:val="InformationBlockChar"/>
                <w:rFonts w:eastAsiaTheme="minorHAnsi"/>
                <w:b w:val="0"/>
                <w:bCs/>
              </w:rPr>
              <w:t>Family Violence Liaison Officer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25939E35" w:rsidR="003C0450" w:rsidRPr="007708FA" w:rsidRDefault="00E518BD" w:rsidP="004B1E48">
            <w:pPr>
              <w:rPr>
                <w:rFonts w:ascii="Gill Sans MT" w:hAnsi="Gill Sans MT" w:cs="Gill Sans"/>
              </w:rPr>
            </w:pPr>
            <w:r>
              <w:rPr>
                <w:rStyle w:val="InformationBlockChar"/>
                <w:rFonts w:eastAsiaTheme="minorHAnsi"/>
                <w:b w:val="0"/>
                <w:bCs/>
              </w:rPr>
              <w:t>524723</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6DA125F" w:rsidR="003C0450" w:rsidRPr="007708FA" w:rsidRDefault="00E518BD"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3CF8B1EB" w:rsidR="003C0450" w:rsidRPr="007708FA" w:rsidRDefault="00355C9D"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E518BD">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176EF848" w14:textId="3572A959" w:rsidR="00E518BD" w:rsidRDefault="00E518BD" w:rsidP="00E518BD">
            <w:pPr>
              <w:spacing w:after="0"/>
              <w:rPr>
                <w:rStyle w:val="InformationBlockChar"/>
                <w:rFonts w:eastAsiaTheme="minorHAnsi"/>
                <w:b w:val="0"/>
                <w:bC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p>
          <w:p w14:paraId="2D651CA8" w14:textId="0F4BA9D7" w:rsidR="003C0450" w:rsidRPr="007708FA" w:rsidRDefault="00E518BD" w:rsidP="004B1E48">
            <w:pPr>
              <w:rPr>
                <w:rFonts w:ascii="Gill Sans MT" w:hAnsi="Gill Sans MT" w:cs="Gill Sans"/>
              </w:rPr>
            </w:pPr>
            <w:r w:rsidRPr="00E518BD">
              <w:rPr>
                <w:rStyle w:val="InformationBlockChar"/>
                <w:rFonts w:eastAsiaTheme="minorHAnsi"/>
                <w:b w:val="0"/>
                <w:bCs/>
              </w:rPr>
              <w:t>Family Violence Counselling and Support Services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5E1CEDCF" w:rsidR="003C0450" w:rsidRPr="00727CD6" w:rsidRDefault="00355C9D"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E518BD">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1C1528C" w:rsidR="003C0450" w:rsidRPr="00727CD6" w:rsidRDefault="00355C9D"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E518BD">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7844551C" w:rsidR="003C0450" w:rsidRPr="00727CD6" w:rsidRDefault="00E518BD" w:rsidP="004B1E48">
            <w:pPr>
              <w:rPr>
                <w:rFonts w:ascii="Gill Sans MT" w:hAnsi="Gill Sans MT" w:cs="Gill Sans"/>
              </w:rPr>
            </w:pPr>
            <w:r w:rsidRPr="00E518BD">
              <w:rPr>
                <w:rStyle w:val="InformationBlockChar"/>
                <w:rFonts w:eastAsiaTheme="minorHAnsi"/>
                <w:b w:val="0"/>
                <w:bCs/>
              </w:rPr>
              <w:t>Team Leader - Family Violence Counselling and Support Service</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576CB017" w:rsidR="004B1E48" w:rsidRPr="00727CD6" w:rsidRDefault="00E518BD" w:rsidP="004B1E48">
            <w:pPr>
              <w:rPr>
                <w:rFonts w:ascii="Gill Sans MT" w:hAnsi="Gill Sans MT" w:cs="Gill Sans"/>
              </w:rPr>
            </w:pPr>
            <w:r>
              <w:rPr>
                <w:rStyle w:val="InformationBlockChar"/>
                <w:rFonts w:eastAsiaTheme="minorHAnsi"/>
                <w:b w:val="0"/>
                <w:bCs/>
              </w:rPr>
              <w:t>October 2019</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2BEE518" w:rsidR="00540344" w:rsidRPr="00727CD6" w:rsidRDefault="00355C9D"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E518BD">
                  <w:rPr>
                    <w:rStyle w:val="InformationBlockChar"/>
                    <w:rFonts w:eastAsiaTheme="minorHAnsi"/>
                    <w:b w:val="0"/>
                    <w:bCs/>
                  </w:rPr>
                  <w:t>Schedule 1</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4E62CB84" w:rsidR="00540344" w:rsidRPr="00727CD6" w:rsidRDefault="00355C9D"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E518BD">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74DCF1F2" w14:textId="643FE360" w:rsidR="00160B9F" w:rsidRDefault="00E518BD" w:rsidP="00355C9D">
            <w:pPr>
              <w:jc w:val="both"/>
              <w:rPr>
                <w:rFonts w:ascii="Gill Sans MT" w:hAnsi="Gill Sans MT"/>
                <w:szCs w:val="22"/>
              </w:rPr>
            </w:pPr>
            <w:r w:rsidRPr="00E518BD">
              <w:rPr>
                <w:rFonts w:ascii="Gill Sans MT" w:hAnsi="Gill Sans MT"/>
                <w:szCs w:val="22"/>
              </w:rPr>
              <w:t>Satisfactory completion of an approved allied health professional tertiary qualification/program of study and registered with the relevant National Board or in the case of self-regulated allied health professions with either full membership or eligible for membership with the relevant professional association</w:t>
            </w:r>
          </w:p>
          <w:p w14:paraId="0202C5ED" w14:textId="361A2A55" w:rsidR="00E518BD" w:rsidRPr="00160B9F" w:rsidRDefault="00E518BD" w:rsidP="00355C9D">
            <w:pPr>
              <w:jc w:val="both"/>
              <w:rPr>
                <w:rFonts w:ascii="Gill Sans MT" w:hAnsi="Gill Sans MT"/>
                <w:szCs w:val="22"/>
              </w:rPr>
            </w:pPr>
            <w:r>
              <w:rPr>
                <w:rFonts w:ascii="Gill Sans MT" w:hAnsi="Gill Sans MT"/>
                <w:szCs w:val="22"/>
              </w:rPr>
              <w:t>Current Working with Children Registration</w:t>
            </w:r>
          </w:p>
          <w:p w14:paraId="4D350A6C" w14:textId="26E33109" w:rsidR="00562FA9" w:rsidRPr="00483880" w:rsidRDefault="00400E85" w:rsidP="00355C9D">
            <w:pPr>
              <w:jc w:val="both"/>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4327ADB5" w:rsidR="00DA77CB" w:rsidRPr="00DA77CB" w:rsidRDefault="00E518BD" w:rsidP="00355C9D">
            <w:pPr>
              <w:ind w:left="567" w:hanging="567"/>
              <w:jc w:val="both"/>
            </w:pPr>
            <w:r>
              <w:t>Current Driver’s Licence</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07D65123" w:rsidR="003C0450" w:rsidRDefault="00E518BD" w:rsidP="00405739">
      <w:pPr>
        <w:pStyle w:val="Heading3"/>
      </w:pPr>
      <w:r>
        <w:lastRenderedPageBreak/>
        <w:t>Background</w:t>
      </w:r>
      <w:r w:rsidR="003C0450" w:rsidRPr="00405739">
        <w:t xml:space="preserve">: </w:t>
      </w:r>
    </w:p>
    <w:p w14:paraId="4AA9DC53" w14:textId="77777777" w:rsidR="00E518BD" w:rsidRDefault="00E518BD" w:rsidP="00355C9D">
      <w:pPr>
        <w:spacing w:after="120"/>
        <w:jc w:val="both"/>
      </w:pPr>
      <w:r>
        <w:t>The Family Violence Counselling and Support Service (FVCSS) offers a specialised response to assist young people, children and adults affected by family violence. This service is part of the Safe at Home strategy, with a strong focus on the safety and well-being of Tasmanian families. FVCSS supports victims affected by family violence or anyone seeking information about someone affected by family violence.</w:t>
      </w:r>
    </w:p>
    <w:p w14:paraId="4263C8FC" w14:textId="71763098" w:rsidR="00E518BD" w:rsidRPr="00E518BD" w:rsidRDefault="00E518BD" w:rsidP="00355C9D">
      <w:pPr>
        <w:spacing w:after="120"/>
        <w:jc w:val="both"/>
      </w:pPr>
      <w:r>
        <w:t>The Strong Families, Safe Kids (SFSK) Advice and Referral Line is a contact point for people seeking assistance if they have concerns about a child and their family. The service provides information and advice about service options and other approaches for responding to the needs of children and families. When a child and their family need assistance the service may provide this through referral to another service or, in some circumstances if a child is considered to be at risk, the service may refer the matter to the Child Safety Service for assessment.</w:t>
      </w:r>
    </w:p>
    <w:p w14:paraId="6293EAB4" w14:textId="77777777" w:rsidR="00E518BD" w:rsidRDefault="00E518BD" w:rsidP="00E518BD">
      <w:pPr>
        <w:pStyle w:val="Heading3"/>
      </w:pPr>
      <w:r w:rsidRPr="00405739">
        <w:t xml:space="preserve">Primary Purpose: </w:t>
      </w:r>
    </w:p>
    <w:p w14:paraId="1337879C" w14:textId="78EF682D" w:rsidR="00F32781" w:rsidRDefault="00E518BD" w:rsidP="00355C9D">
      <w:pPr>
        <w:spacing w:after="120"/>
        <w:ind w:left="567" w:hanging="567"/>
        <w:jc w:val="both"/>
      </w:pPr>
      <w:r w:rsidRPr="00E518BD">
        <w:t>The Family Violence Liaison Officer (FVLO) will:</w:t>
      </w:r>
    </w:p>
    <w:p w14:paraId="7EAAC063" w14:textId="3A98A6CB" w:rsidR="00E518BD" w:rsidRDefault="00E518BD" w:rsidP="00355C9D">
      <w:pPr>
        <w:pStyle w:val="ListParagraph"/>
        <w:numPr>
          <w:ilvl w:val="0"/>
          <w:numId w:val="25"/>
        </w:numPr>
        <w:spacing w:after="120"/>
        <w:ind w:left="567" w:hanging="567"/>
        <w:jc w:val="both"/>
      </w:pPr>
      <w:r>
        <w:t xml:space="preserve">Act as a day-to-day liaison point between the FVCSS and the SFSK Advice and Referral Line to facilitate support for children and families who have been identified as being at risk via the Safe </w:t>
      </w:r>
      <w:proofErr w:type="gramStart"/>
      <w:r>
        <w:t>At</w:t>
      </w:r>
      <w:proofErr w:type="gramEnd"/>
      <w:r>
        <w:t xml:space="preserve"> Home initiative.</w:t>
      </w:r>
    </w:p>
    <w:p w14:paraId="77A3A513" w14:textId="0308E6C8" w:rsidR="00E518BD" w:rsidRDefault="00E518BD" w:rsidP="00355C9D">
      <w:pPr>
        <w:pStyle w:val="ListParagraph"/>
        <w:numPr>
          <w:ilvl w:val="0"/>
          <w:numId w:val="25"/>
        </w:numPr>
        <w:spacing w:after="120"/>
        <w:ind w:left="567" w:hanging="567"/>
        <w:jc w:val="both"/>
      </w:pPr>
      <w:r>
        <w:t>Provide advice and support, as needed, to staff within the SFSK Advice and Referral Line who are involved/participate in the regional Integrated Case Coordination.</w:t>
      </w:r>
    </w:p>
    <w:p w14:paraId="5C00C7B5" w14:textId="5FF3E045" w:rsidR="00E518BD" w:rsidRDefault="00E518BD" w:rsidP="00355C9D">
      <w:pPr>
        <w:pStyle w:val="ListParagraph"/>
        <w:numPr>
          <w:ilvl w:val="0"/>
          <w:numId w:val="25"/>
        </w:numPr>
        <w:spacing w:after="120"/>
        <w:ind w:left="567" w:hanging="567"/>
        <w:jc w:val="both"/>
      </w:pPr>
      <w:r>
        <w:t>Assist staff within the SFSK Advice and Referral Line to identify the best service response to support families experiencing family violence. This may include assistance, referrals, direct case liaison and support and intervention for cases with high complexity.</w:t>
      </w:r>
    </w:p>
    <w:p w14:paraId="137C8F8B" w14:textId="507D898F" w:rsidR="00E518BD" w:rsidRPr="00B806D1" w:rsidRDefault="00E518BD" w:rsidP="00355C9D">
      <w:pPr>
        <w:pStyle w:val="ListParagraph"/>
        <w:numPr>
          <w:ilvl w:val="0"/>
          <w:numId w:val="25"/>
        </w:numPr>
        <w:spacing w:after="120"/>
        <w:ind w:left="567" w:hanging="567"/>
        <w:jc w:val="both"/>
      </w:pPr>
      <w:r>
        <w:t>Have a key role in the education, training and mentoring of staff within the SFSK Advice and Referral Line in relation to family violence matters, including the broader Family Violence service sector (government and community), exercising contemporary knowledge of the service systems for both victims and offenders.</w:t>
      </w:r>
    </w:p>
    <w:p w14:paraId="04D7A53E" w14:textId="709A24A2" w:rsidR="00E91AB6" w:rsidRPr="00405739" w:rsidRDefault="00E91AB6" w:rsidP="00405739">
      <w:pPr>
        <w:pStyle w:val="Heading3"/>
      </w:pPr>
      <w:r w:rsidRPr="00405739">
        <w:t>Duties:</w:t>
      </w:r>
    </w:p>
    <w:p w14:paraId="35DC24F0" w14:textId="7DF69896" w:rsidR="00E518BD" w:rsidRDefault="00E518BD" w:rsidP="00355C9D">
      <w:pPr>
        <w:pStyle w:val="ListNumbered"/>
        <w:numPr>
          <w:ilvl w:val="0"/>
          <w:numId w:val="14"/>
        </w:numPr>
        <w:spacing w:after="120"/>
        <w:jc w:val="both"/>
      </w:pPr>
      <w:bookmarkStart w:id="0" w:name="_Hlk66960915"/>
      <w:r>
        <w:t xml:space="preserve">Support and assist with the daily triage of family violence referrals through Safe </w:t>
      </w:r>
      <w:proofErr w:type="gramStart"/>
      <w:r>
        <w:t>At</w:t>
      </w:r>
      <w:proofErr w:type="gramEnd"/>
      <w:r>
        <w:t xml:space="preserve"> Home with the SFSK Advice and Referral Line.</w:t>
      </w:r>
    </w:p>
    <w:p w14:paraId="5981D763" w14:textId="5AC25861" w:rsidR="00E518BD" w:rsidRDefault="00E518BD" w:rsidP="00355C9D">
      <w:pPr>
        <w:pStyle w:val="ListNumbered"/>
        <w:numPr>
          <w:ilvl w:val="0"/>
          <w:numId w:val="14"/>
        </w:numPr>
        <w:spacing w:after="120"/>
        <w:jc w:val="both"/>
      </w:pPr>
      <w:r>
        <w:t>Develop and maintain relationships with, and act as a conduit between, FVCSS statewide and the SFSK Advice and Referral Line, utilising local knowledge to ensure the best assistance can be provided to affected children and their families.</w:t>
      </w:r>
    </w:p>
    <w:p w14:paraId="6530E6C0" w14:textId="0B07D7E8" w:rsidR="00E518BD" w:rsidRDefault="00E518BD" w:rsidP="00355C9D">
      <w:pPr>
        <w:pStyle w:val="ListNumbered"/>
        <w:numPr>
          <w:ilvl w:val="0"/>
          <w:numId w:val="14"/>
        </w:numPr>
        <w:spacing w:after="120"/>
        <w:jc w:val="both"/>
      </w:pPr>
      <w:r>
        <w:t>Assist with and support professional learning for staff of the SFSK Advice and Referral Line in relation to working within a family violence framework by supporting assessments of child safety and wellbeing.</w:t>
      </w:r>
    </w:p>
    <w:p w14:paraId="54B42F97" w14:textId="148EDAC7" w:rsidR="008803FC" w:rsidRPr="004B1E48" w:rsidRDefault="00E518BD" w:rsidP="00355C9D">
      <w:pPr>
        <w:pStyle w:val="ListNumbered"/>
        <w:numPr>
          <w:ilvl w:val="0"/>
          <w:numId w:val="14"/>
        </w:numPr>
        <w:spacing w:after="120"/>
        <w:jc w:val="both"/>
      </w:pPr>
      <w:r>
        <w:t>Actively participate in the SFSK Advice and Referral Line Weekly Case Review meetings, including discussions about high-level family violence matters and recommendations about case direction.</w:t>
      </w:r>
    </w:p>
    <w:p w14:paraId="018F397F" w14:textId="72B44905" w:rsidR="00E518BD" w:rsidRDefault="00E518BD" w:rsidP="00355C9D">
      <w:pPr>
        <w:pStyle w:val="ListNumbered"/>
        <w:spacing w:after="120"/>
        <w:jc w:val="both"/>
      </w:pPr>
      <w:r>
        <w:t>Act as a point of contact for SFSK Advice and Referral Line and Community Liaison staff for consultation about family support referrals relating to family violence, with the potential for some direct consultation to support providers who are working with families affected by family violence.</w:t>
      </w:r>
    </w:p>
    <w:p w14:paraId="6E9D7315" w14:textId="6308AEDE" w:rsidR="00E518BD" w:rsidRDefault="00E518BD" w:rsidP="00355C9D">
      <w:pPr>
        <w:pStyle w:val="ListNumbered"/>
        <w:spacing w:after="120"/>
        <w:jc w:val="both"/>
      </w:pPr>
      <w:r>
        <w:t>Identify opportunities to improve work practices in relation to family violence within the SFSK Advice and Referral Line and service partners, including training and education.</w:t>
      </w:r>
    </w:p>
    <w:p w14:paraId="2954E471" w14:textId="3AF4C1FA" w:rsidR="00E518BD" w:rsidRDefault="00E518BD" w:rsidP="00355C9D">
      <w:pPr>
        <w:pStyle w:val="ListNumbered"/>
        <w:spacing w:after="120"/>
        <w:jc w:val="both"/>
      </w:pPr>
      <w:r>
        <w:t>Provide direct liaison between the SFSK Advice and Referral Line, the FVCSS Adult Program and the Children and Young Persons’ Program, including providing reciprocal information sharing functions and responsibilities.</w:t>
      </w:r>
    </w:p>
    <w:p w14:paraId="1F92A00E" w14:textId="6EEF5960" w:rsidR="008803FC" w:rsidRPr="004B1E48" w:rsidRDefault="00E518BD" w:rsidP="00355C9D">
      <w:pPr>
        <w:pStyle w:val="ListNumbered"/>
        <w:spacing w:after="120"/>
        <w:jc w:val="both"/>
      </w:pPr>
      <w:r>
        <w:t>Maintain connections with the wider FVCSS team through relevant statewide team meetings.</w:t>
      </w:r>
    </w:p>
    <w:p w14:paraId="4D7CEE12" w14:textId="77777777" w:rsidR="009E6E6B" w:rsidRDefault="009E6E6B" w:rsidP="00355C9D">
      <w:pPr>
        <w:pStyle w:val="ListNumbered"/>
        <w:jc w:val="both"/>
      </w:pPr>
      <w:bookmarkStart w:id="1" w:name="_Hlk140234178"/>
      <w:bookmarkEnd w:id="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CC603CD" w14:textId="77777777" w:rsidR="009E6E6B" w:rsidRPr="004B1E48" w:rsidRDefault="009E6E6B" w:rsidP="00355C9D">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130E72">
      <w:pPr>
        <w:pStyle w:val="Heading3"/>
      </w:pPr>
      <w:r>
        <w:t>Key Accountabilities and Responsibilities:</w:t>
      </w:r>
    </w:p>
    <w:p w14:paraId="2D5E1636" w14:textId="0DCAE004" w:rsidR="00E518BD" w:rsidRDefault="00E518BD" w:rsidP="00355C9D">
      <w:pPr>
        <w:spacing w:after="120"/>
        <w:jc w:val="both"/>
      </w:pPr>
      <w:r>
        <w:t xml:space="preserve">The Family Violence Liaison Officer is required to work largely autonomously and assume day-to-day responsibility for determining the direction of their work. Line management of the role rests with the Team Leader and general professional guidance is provided by the Manager - Statewide Children's Advice and Referral Service.   </w:t>
      </w:r>
    </w:p>
    <w:p w14:paraId="0D86E7E4" w14:textId="77777777" w:rsidR="00E518BD" w:rsidRDefault="00E518BD" w:rsidP="00355C9D">
      <w:pPr>
        <w:spacing w:after="120"/>
        <w:jc w:val="both"/>
      </w:pPr>
      <w:r>
        <w:t xml:space="preserve">The incumbent is expected to maintain a high level of knowledge and expertise in relation to developments in policy, training and clinical practice relating to child safety, </w:t>
      </w:r>
      <w:proofErr w:type="gramStart"/>
      <w:r>
        <w:t>wellbeing</w:t>
      </w:r>
      <w:proofErr w:type="gramEnd"/>
      <w:r>
        <w:t xml:space="preserve"> and family violence.   </w:t>
      </w:r>
    </w:p>
    <w:p w14:paraId="50BB649E" w14:textId="0B7ADA3E" w:rsidR="00E518BD" w:rsidRDefault="00E518BD" w:rsidP="00355C9D">
      <w:pPr>
        <w:spacing w:after="120"/>
        <w:ind w:left="567" w:hanging="567"/>
        <w:jc w:val="both"/>
      </w:pPr>
      <w:r>
        <w:t>The incumbent is responsible for:</w:t>
      </w:r>
    </w:p>
    <w:p w14:paraId="72F00B63" w14:textId="72C9D9B6" w:rsidR="00E518BD" w:rsidRDefault="00E518BD" w:rsidP="00355C9D">
      <w:pPr>
        <w:pStyle w:val="ListParagraph"/>
        <w:spacing w:after="120"/>
        <w:jc w:val="both"/>
      </w:pPr>
      <w:r>
        <w:t>The provision of a high standard of consultation and information, using professional skills and standards and with due regard for confidentiality.</w:t>
      </w:r>
    </w:p>
    <w:p w14:paraId="7DF1BB17" w14:textId="7E115E81" w:rsidR="00E518BD" w:rsidRDefault="00E518BD" w:rsidP="00355C9D">
      <w:pPr>
        <w:pStyle w:val="ListParagraph"/>
        <w:spacing w:after="120"/>
        <w:jc w:val="both"/>
      </w:pPr>
      <w:r>
        <w:t>Exercising professional judgement in a timely and appropriate manner in line with practice standards and Agency protocols.</w:t>
      </w:r>
    </w:p>
    <w:p w14:paraId="3DA35160" w14:textId="306144ED" w:rsidR="00E518BD" w:rsidRDefault="00E518BD" w:rsidP="00355C9D">
      <w:pPr>
        <w:pStyle w:val="ListParagraph"/>
        <w:spacing w:after="120"/>
        <w:jc w:val="both"/>
      </w:pPr>
      <w:r>
        <w:t xml:space="preserve">Operating within set legislation, delegations, </w:t>
      </w:r>
      <w:proofErr w:type="gramStart"/>
      <w:r>
        <w:t>guidelines</w:t>
      </w:r>
      <w:proofErr w:type="gramEnd"/>
      <w:r>
        <w:t xml:space="preserve"> and timeframes.</w:t>
      </w:r>
    </w:p>
    <w:p w14:paraId="23D479B0" w14:textId="2CB0A913" w:rsidR="00E518BD" w:rsidRDefault="00E518BD" w:rsidP="00355C9D">
      <w:pPr>
        <w:pStyle w:val="ListParagraph"/>
        <w:spacing w:after="120"/>
        <w:jc w:val="both"/>
      </w:pPr>
      <w:r>
        <w:t>Exercising reasonable care in the performance of duties consistent with the relevant Work Health and Safety legislation.</w:t>
      </w:r>
    </w:p>
    <w:p w14:paraId="0BF71FEA" w14:textId="77777777" w:rsidR="00355C9D" w:rsidRPr="00845782" w:rsidRDefault="00355C9D" w:rsidP="00355C9D">
      <w:pPr>
        <w:pStyle w:val="ListParagraph"/>
        <w:jc w:val="both"/>
        <w:rPr>
          <w:rFonts w:ascii="Gill Sans MT" w:hAnsi="Gill Sans MT"/>
          <w:szCs w:val="22"/>
        </w:rPr>
      </w:pPr>
      <w:bookmarkStart w:id="2" w:name="_Hlk140827263"/>
      <w:bookmarkStart w:id="3" w:name="_Hlk140839099"/>
      <w:bookmarkStart w:id="4"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2901426" w14:textId="77777777" w:rsidR="00355C9D" w:rsidRPr="00845782" w:rsidRDefault="00355C9D" w:rsidP="00355C9D">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0C61BBDE" w14:textId="77777777" w:rsidR="00355C9D" w:rsidRPr="00845782" w:rsidRDefault="00355C9D" w:rsidP="00355C9D">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2"/>
      <w:r w:rsidRPr="00845782">
        <w:rPr>
          <w:rFonts w:ascii="Gill Sans MT" w:hAnsi="Gill Sans MT"/>
          <w:szCs w:val="22"/>
        </w:rPr>
        <w:t>.</w:t>
      </w:r>
      <w:bookmarkEnd w:id="3"/>
    </w:p>
    <w:bookmarkEnd w:id="4"/>
    <w:bookmarkEnd w:id="5"/>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355C9D">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355C9D">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55C9D">
      <w:pPr>
        <w:pStyle w:val="ListNumbered"/>
        <w:numPr>
          <w:ilvl w:val="0"/>
          <w:numId w:val="16"/>
        </w:numPr>
        <w:spacing w:after="120"/>
        <w:jc w:val="both"/>
      </w:pPr>
      <w:r>
        <w:t>Conviction checks in the following areas:</w:t>
      </w:r>
    </w:p>
    <w:p w14:paraId="64D6C105" w14:textId="77777777" w:rsidR="00E91AB6" w:rsidRDefault="00E91AB6" w:rsidP="00355C9D">
      <w:pPr>
        <w:pStyle w:val="ListNumbered"/>
        <w:numPr>
          <w:ilvl w:val="1"/>
          <w:numId w:val="13"/>
        </w:numPr>
        <w:spacing w:after="120"/>
        <w:jc w:val="both"/>
      </w:pPr>
      <w:r>
        <w:t>crimes of violence</w:t>
      </w:r>
    </w:p>
    <w:p w14:paraId="1DB7CFAF" w14:textId="77777777" w:rsidR="00E91AB6" w:rsidRDefault="00E91AB6" w:rsidP="00355C9D">
      <w:pPr>
        <w:pStyle w:val="ListNumbered"/>
        <w:numPr>
          <w:ilvl w:val="1"/>
          <w:numId w:val="13"/>
        </w:numPr>
        <w:spacing w:after="120"/>
        <w:jc w:val="both"/>
      </w:pPr>
      <w:r>
        <w:t>sex related offences</w:t>
      </w:r>
    </w:p>
    <w:p w14:paraId="2FA73182" w14:textId="77777777" w:rsidR="00E91AB6" w:rsidRDefault="00E91AB6" w:rsidP="00355C9D">
      <w:pPr>
        <w:pStyle w:val="ListNumbered"/>
        <w:numPr>
          <w:ilvl w:val="1"/>
          <w:numId w:val="13"/>
        </w:numPr>
        <w:spacing w:after="120"/>
        <w:jc w:val="both"/>
      </w:pPr>
      <w:r>
        <w:t>serious drug offences</w:t>
      </w:r>
    </w:p>
    <w:p w14:paraId="3C232643" w14:textId="77777777" w:rsidR="00405739" w:rsidRDefault="00E91AB6" w:rsidP="00355C9D">
      <w:pPr>
        <w:pStyle w:val="ListNumbered"/>
        <w:numPr>
          <w:ilvl w:val="1"/>
          <w:numId w:val="13"/>
        </w:numPr>
        <w:spacing w:after="120"/>
        <w:jc w:val="both"/>
      </w:pPr>
      <w:r>
        <w:t>crimes involving dishonesty</w:t>
      </w:r>
    </w:p>
    <w:p w14:paraId="5CA70319" w14:textId="77777777" w:rsidR="00E91AB6" w:rsidRDefault="00E91AB6" w:rsidP="00355C9D">
      <w:pPr>
        <w:pStyle w:val="ListNumbered"/>
        <w:spacing w:after="120"/>
        <w:jc w:val="both"/>
      </w:pPr>
      <w:r>
        <w:t>Identification check</w:t>
      </w:r>
    </w:p>
    <w:p w14:paraId="0E2EB94A" w14:textId="77777777" w:rsidR="00E91AB6" w:rsidRPr="008803FC" w:rsidRDefault="00E91AB6" w:rsidP="00355C9D">
      <w:pPr>
        <w:pStyle w:val="ListNumbered"/>
        <w:spacing w:after="120"/>
        <w:jc w:val="both"/>
      </w:pPr>
      <w:r>
        <w:t>Disciplinary action in previous employment check.</w:t>
      </w:r>
    </w:p>
    <w:p w14:paraId="3187123E" w14:textId="77777777" w:rsidR="00E91AB6" w:rsidRDefault="00E91AB6" w:rsidP="00130E72">
      <w:pPr>
        <w:pStyle w:val="Heading3"/>
      </w:pPr>
      <w:r>
        <w:t>Selection Criteria:</w:t>
      </w:r>
    </w:p>
    <w:p w14:paraId="094677F5" w14:textId="26CA3C63" w:rsidR="007F1FFA" w:rsidRDefault="007F1FFA" w:rsidP="00355C9D">
      <w:pPr>
        <w:pStyle w:val="ListParagraph"/>
        <w:numPr>
          <w:ilvl w:val="0"/>
          <w:numId w:val="21"/>
        </w:numPr>
        <w:spacing w:after="120"/>
        <w:jc w:val="both"/>
      </w:pPr>
      <w:r>
        <w:t>Comprehensive knowledge of family violence, with demonstrated knowledge and/or experience in the clinical and/or therapeutic management of clients (adults and children) with complex care needs, including the ability to liaise effectively with family members and other service providers.</w:t>
      </w:r>
    </w:p>
    <w:p w14:paraId="744A1BCA" w14:textId="0CEBAB74" w:rsidR="00741EF2" w:rsidRDefault="007F1FFA" w:rsidP="00355C9D">
      <w:pPr>
        <w:pStyle w:val="ListParagraph"/>
        <w:numPr>
          <w:ilvl w:val="0"/>
          <w:numId w:val="21"/>
        </w:numPr>
        <w:spacing w:after="120"/>
        <w:jc w:val="both"/>
      </w:pPr>
      <w:r>
        <w:t xml:space="preserve">Highly developed self-management skills, including the ability to plan, organise and prioritise workloads, whilst demonstrating adaptability, </w:t>
      </w:r>
      <w:proofErr w:type="gramStart"/>
      <w:r>
        <w:t>flexibility</w:t>
      </w:r>
      <w:proofErr w:type="gramEnd"/>
      <w:r>
        <w:t xml:space="preserve"> and commitment to a team-based approach in an environment subject to work pressure and change.</w:t>
      </w:r>
    </w:p>
    <w:p w14:paraId="25757A29" w14:textId="6B1D38CD" w:rsidR="007F1FFA" w:rsidRDefault="007F1FFA" w:rsidP="00355C9D">
      <w:pPr>
        <w:pStyle w:val="ListNumbered"/>
        <w:numPr>
          <w:ilvl w:val="0"/>
          <w:numId w:val="21"/>
        </w:numPr>
        <w:spacing w:after="120"/>
        <w:jc w:val="both"/>
      </w:pPr>
      <w:r>
        <w:t>Demonstrated skills and experience in working with children and families at risk, including the ability to provide advice on complex and critical cases and assessment of risk to adult and child victims, and to inform safety planning.</w:t>
      </w:r>
    </w:p>
    <w:p w14:paraId="26DC4A71" w14:textId="6204C649" w:rsidR="007F1FFA" w:rsidRDefault="007F1FFA" w:rsidP="00355C9D">
      <w:pPr>
        <w:pStyle w:val="ListNumbered"/>
        <w:numPr>
          <w:ilvl w:val="0"/>
          <w:numId w:val="21"/>
        </w:numPr>
        <w:spacing w:after="120"/>
        <w:jc w:val="both"/>
      </w:pPr>
      <w:r>
        <w:t>Highly developed interpersonal, advocacy and negotiation skills, as well as well-developed oral and written communication skills, with the demonstrated capacity to work effectively within multidisciplinary teams and to form and facilitate collaborative relationships.</w:t>
      </w:r>
    </w:p>
    <w:p w14:paraId="6C2098D4" w14:textId="69E79868" w:rsidR="007F1FFA" w:rsidRDefault="007F1FFA" w:rsidP="00355C9D">
      <w:pPr>
        <w:pStyle w:val="ListNumbered"/>
        <w:numPr>
          <w:ilvl w:val="0"/>
          <w:numId w:val="21"/>
        </w:numPr>
        <w:spacing w:after="120"/>
        <w:jc w:val="both"/>
      </w:pPr>
      <w:r>
        <w:t>Demonstrated understanding of the social, emotional and health needs of children at risk of abuse and/or neglect, including understanding the impacts on children exposed to family violence.</w:t>
      </w:r>
    </w:p>
    <w:p w14:paraId="424E348E" w14:textId="3A54651C" w:rsidR="00E91AB6" w:rsidRDefault="007F1FFA" w:rsidP="00355C9D">
      <w:pPr>
        <w:pStyle w:val="ListNumbered"/>
        <w:numPr>
          <w:ilvl w:val="0"/>
          <w:numId w:val="21"/>
        </w:numPr>
        <w:spacing w:after="120"/>
        <w:jc w:val="both"/>
      </w:pPr>
      <w:r>
        <w:t>Demonstrated high level knowledge of service responses and interventions that can provide positive outcomes and increase and build safety for clients experiencing family and domestic violence.</w:t>
      </w:r>
    </w:p>
    <w:p w14:paraId="201CCDCC" w14:textId="77777777" w:rsidR="00E91AB6" w:rsidRDefault="00E91AB6" w:rsidP="00130E72">
      <w:pPr>
        <w:pStyle w:val="Heading3"/>
      </w:pPr>
      <w:r>
        <w:t>Working Environment:</w:t>
      </w:r>
    </w:p>
    <w:p w14:paraId="6DA01ACF" w14:textId="77777777" w:rsidR="009E6E6B" w:rsidRDefault="009E6E6B" w:rsidP="00355C9D">
      <w:pPr>
        <w:jc w:val="both"/>
      </w:pPr>
      <w:bookmarkStart w:id="6" w:name="_Hlk14023424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23178E7" w14:textId="77777777" w:rsidR="009E6E6B" w:rsidRDefault="009E6E6B" w:rsidP="00355C9D">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EF7F994" w14:textId="77777777" w:rsidR="009E6E6B" w:rsidRDefault="009E6E6B" w:rsidP="00355C9D">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66B23E5" w14:textId="4F916F32" w:rsidR="003F6F22" w:rsidRDefault="009E6E6B" w:rsidP="00355C9D">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6"/>
    </w:p>
    <w:sectPr w:rsidR="003F6F22"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C6D4" w14:textId="77777777" w:rsidR="00FC316D" w:rsidRDefault="00FC316D" w:rsidP="00F420E2">
      <w:pPr>
        <w:spacing w:after="0" w:line="240" w:lineRule="auto"/>
      </w:pPr>
      <w:r>
        <w:separator/>
      </w:r>
    </w:p>
  </w:endnote>
  <w:endnote w:type="continuationSeparator" w:id="0">
    <w:p w14:paraId="6B839629" w14:textId="77777777" w:rsidR="00FC316D" w:rsidRDefault="00FC316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5A50" w14:textId="77777777" w:rsidR="00FC316D" w:rsidRDefault="00FC316D" w:rsidP="00F420E2">
      <w:pPr>
        <w:spacing w:after="0" w:line="240" w:lineRule="auto"/>
      </w:pPr>
      <w:r>
        <w:separator/>
      </w:r>
    </w:p>
  </w:footnote>
  <w:footnote w:type="continuationSeparator" w:id="0">
    <w:p w14:paraId="0EB530DF" w14:textId="77777777" w:rsidR="00FC316D" w:rsidRDefault="00FC316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B190D6F"/>
    <w:multiLevelType w:val="hybridMultilevel"/>
    <w:tmpl w:val="FD5AF7D6"/>
    <w:lvl w:ilvl="0" w:tplc="5036ACBA">
      <w:numFmt w:val="bullet"/>
      <w:lvlText w:val="•"/>
      <w:lvlJc w:val="left"/>
      <w:pPr>
        <w:ind w:left="930" w:hanging="57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C3992"/>
    <w:multiLevelType w:val="hybridMultilevel"/>
    <w:tmpl w:val="AF7EDFFC"/>
    <w:lvl w:ilvl="0" w:tplc="87BA6964">
      <w:numFmt w:val="bullet"/>
      <w:lvlText w:val=""/>
      <w:lvlJc w:val="left"/>
      <w:pPr>
        <w:ind w:left="927" w:hanging="360"/>
      </w:pPr>
      <w:rPr>
        <w:rFonts w:ascii="Symbol" w:eastAsia="Calibri" w:hAnsi="Symbol"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C1009A"/>
    <w:multiLevelType w:val="hybridMultilevel"/>
    <w:tmpl w:val="6F92BC32"/>
    <w:lvl w:ilvl="0" w:tplc="0C090001">
      <w:start w:val="1"/>
      <w:numFmt w:val="bullet"/>
      <w:lvlText w:val=""/>
      <w:lvlJc w:val="left"/>
      <w:pPr>
        <w:ind w:left="930" w:hanging="5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3E20ED"/>
    <w:multiLevelType w:val="hybridMultilevel"/>
    <w:tmpl w:val="D8FC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63632184">
    <w:abstractNumId w:val="22"/>
  </w:num>
  <w:num w:numId="2" w16cid:durableId="336664446">
    <w:abstractNumId w:val="3"/>
  </w:num>
  <w:num w:numId="3" w16cid:durableId="991563541">
    <w:abstractNumId w:val="1"/>
  </w:num>
  <w:num w:numId="4" w16cid:durableId="181093371">
    <w:abstractNumId w:val="9"/>
  </w:num>
  <w:num w:numId="5" w16cid:durableId="932397636">
    <w:abstractNumId w:val="16"/>
  </w:num>
  <w:num w:numId="6" w16cid:durableId="422805451">
    <w:abstractNumId w:val="12"/>
  </w:num>
  <w:num w:numId="7" w16cid:durableId="851147165">
    <w:abstractNumId w:val="20"/>
  </w:num>
  <w:num w:numId="8" w16cid:durableId="67270606">
    <w:abstractNumId w:val="0"/>
  </w:num>
  <w:num w:numId="9" w16cid:durableId="57213579">
    <w:abstractNumId w:val="21"/>
  </w:num>
  <w:num w:numId="10" w16cid:durableId="86191821">
    <w:abstractNumId w:val="17"/>
  </w:num>
  <w:num w:numId="11" w16cid:durableId="1157722060">
    <w:abstractNumId w:val="5"/>
  </w:num>
  <w:num w:numId="12" w16cid:durableId="1045569945">
    <w:abstractNumId w:val="8"/>
  </w:num>
  <w:num w:numId="13" w16cid:durableId="1048381939">
    <w:abstractNumId w:val="11"/>
  </w:num>
  <w:num w:numId="14" w16cid:durableId="520432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4284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359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5022619">
    <w:abstractNumId w:val="13"/>
  </w:num>
  <w:num w:numId="18" w16cid:durableId="1044063526">
    <w:abstractNumId w:val="2"/>
  </w:num>
  <w:num w:numId="19" w16cid:durableId="415053990">
    <w:abstractNumId w:val="15"/>
  </w:num>
  <w:num w:numId="20" w16cid:durableId="1516000529">
    <w:abstractNumId w:val="18"/>
  </w:num>
  <w:num w:numId="21" w16cid:durableId="1121218619">
    <w:abstractNumId w:val="14"/>
  </w:num>
  <w:num w:numId="22" w16cid:durableId="1816797746">
    <w:abstractNumId w:val="4"/>
  </w:num>
  <w:num w:numId="23" w16cid:durableId="1483814050">
    <w:abstractNumId w:val="19"/>
  </w:num>
  <w:num w:numId="24" w16cid:durableId="1212838503">
    <w:abstractNumId w:val="6"/>
  </w:num>
  <w:num w:numId="25" w16cid:durableId="966736790">
    <w:abstractNumId w:val="10"/>
  </w:num>
  <w:num w:numId="26" w16cid:durableId="1110010798">
    <w:abstractNumId w:val="5"/>
  </w:num>
  <w:num w:numId="27" w16cid:durableId="204826300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B9F"/>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55C9D"/>
    <w:rsid w:val="0036283E"/>
    <w:rsid w:val="0036538B"/>
    <w:rsid w:val="00365ADE"/>
    <w:rsid w:val="003703B1"/>
    <w:rsid w:val="00374075"/>
    <w:rsid w:val="003A15EA"/>
    <w:rsid w:val="003C0420"/>
    <w:rsid w:val="003C0450"/>
    <w:rsid w:val="003C1834"/>
    <w:rsid w:val="003C43E7"/>
    <w:rsid w:val="003C72BB"/>
    <w:rsid w:val="003D0EEB"/>
    <w:rsid w:val="003F0985"/>
    <w:rsid w:val="003F0D82"/>
    <w:rsid w:val="003F6F2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11E07"/>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D6A55"/>
    <w:rsid w:val="007E4B28"/>
    <w:rsid w:val="007F1FFA"/>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E6E6B"/>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2B7"/>
    <w:rsid w:val="00AC23EA"/>
    <w:rsid w:val="00AC412D"/>
    <w:rsid w:val="00AE0701"/>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E592C"/>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72FD2"/>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8BD"/>
    <w:rsid w:val="00E576C4"/>
    <w:rsid w:val="00E62956"/>
    <w:rsid w:val="00E658B7"/>
    <w:rsid w:val="00E6769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C316D"/>
    <w:rsid w:val="00FD3D54"/>
    <w:rsid w:val="00FF0D53"/>
    <w:rsid w:val="00FF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9170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011E"/>
    <w:rsid w:val="000C5EE0"/>
    <w:rsid w:val="000D02DF"/>
    <w:rsid w:val="000E120A"/>
    <w:rsid w:val="00116A15"/>
    <w:rsid w:val="001B7F7F"/>
    <w:rsid w:val="00223460"/>
    <w:rsid w:val="00243E83"/>
    <w:rsid w:val="002F26CA"/>
    <w:rsid w:val="00400D27"/>
    <w:rsid w:val="00497E2A"/>
    <w:rsid w:val="005256DB"/>
    <w:rsid w:val="006E4BAF"/>
    <w:rsid w:val="007637B0"/>
    <w:rsid w:val="00831BA8"/>
    <w:rsid w:val="00845F91"/>
    <w:rsid w:val="008F6D05"/>
    <w:rsid w:val="00A778EB"/>
    <w:rsid w:val="00B34CFF"/>
    <w:rsid w:val="00B56F0D"/>
    <w:rsid w:val="00C96AFA"/>
    <w:rsid w:val="00D721D5"/>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2AE0891-C45F-494B-AA18-96A76336FF44}"/>
</file>

<file path=customXml/itemProps3.xml><?xml version="1.0" encoding="utf-8"?>
<ds:datastoreItem xmlns:ds="http://schemas.openxmlformats.org/officeDocument/2006/customXml" ds:itemID="{96453E49-F1DD-447D-A66C-24F55DF56357}"/>
</file>

<file path=customXml/itemProps4.xml><?xml version="1.0" encoding="utf-8"?>
<ds:datastoreItem xmlns:ds="http://schemas.openxmlformats.org/officeDocument/2006/customXml" ds:itemID="{A26C4CB3-B61A-4022-8086-48861DDFA0F5}"/>
</file>

<file path=docProps/app.xml><?xml version="1.0" encoding="utf-8"?>
<Properties xmlns="http://schemas.openxmlformats.org/officeDocument/2006/extended-properties" xmlns:vt="http://schemas.openxmlformats.org/officeDocument/2006/docPropsVTypes">
  <Template>Normal.dotm</Template>
  <TotalTime>5</TotalTime>
  <Pages>4</Pages>
  <Words>1582</Words>
  <Characters>9828</Characters>
  <Application>Microsoft Office Word</Application>
  <DocSecurity>0</DocSecurity>
  <Lines>169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6</cp:revision>
  <cp:lastPrinted>2023-07-21T00:47:00Z</cp:lastPrinted>
  <dcterms:created xsi:type="dcterms:W3CDTF">2023-07-14T03:59:00Z</dcterms:created>
  <dcterms:modified xsi:type="dcterms:W3CDTF">2023-07-28T04:06:00Z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084f795ae3a5405f2b1bca5e15270c884d78cde5e1012c22b4acdd7785970702</vt:lpwstr>
  </property>
  <property fmtid="{D5CDD505-2E9C-101B-9397-08002B2CF9AE}" pid="3" name="ContentTypeId">
    <vt:lpwstr>0x0101007E0A95F90167CF48AFA56518ED626CF7</vt:lpwstr>
  </property>
</Properties>
</file>