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EEEC8BA">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0390223C" w:rsidR="00D9745F" w:rsidRDefault="00D9745F" w:rsidP="002048DE">
      <w:pPr>
        <w:pStyle w:val="Heading1"/>
      </w:pPr>
      <w:r>
        <w:t xml:space="preserve">Divisional Information – </w:t>
      </w:r>
      <w:r w:rsidR="004F7358" w:rsidRPr="001352C5">
        <w:rPr>
          <w:rFonts w:ascii="Arial" w:hAnsi="Arial"/>
        </w:rPr>
        <w:t>Consumer, Building and Occupational Services</w:t>
      </w:r>
    </w:p>
    <w:p w14:paraId="2D284B40" w14:textId="77777777" w:rsidR="004F7358" w:rsidRPr="004F7358" w:rsidRDefault="004F7358" w:rsidP="004F7358">
      <w:pPr>
        <w:pStyle w:val="Caption"/>
        <w:rPr>
          <w:iCs w:val="0"/>
          <w:sz w:val="24"/>
          <w:szCs w:val="22"/>
        </w:rPr>
      </w:pPr>
      <w:r w:rsidRPr="004F7358">
        <w:rPr>
          <w:iCs w:val="0"/>
          <w:sz w:val="24"/>
          <w:szCs w:val="22"/>
        </w:rPr>
        <w:t xml:space="preserve">The Consumer, Building and Occupational Services (CBOS) is responsible for the regulation of the consumer, building, </w:t>
      </w:r>
      <w:proofErr w:type="gramStart"/>
      <w:r w:rsidRPr="004F7358">
        <w:rPr>
          <w:iCs w:val="0"/>
          <w:sz w:val="24"/>
          <w:szCs w:val="22"/>
        </w:rPr>
        <w:t>construction</w:t>
      </w:r>
      <w:proofErr w:type="gramEnd"/>
      <w:r w:rsidRPr="004F7358">
        <w:rPr>
          <w:iCs w:val="0"/>
          <w:sz w:val="24"/>
          <w:szCs w:val="22"/>
        </w:rPr>
        <w:t xml:space="preserve"> and occupational licensing sector through the promotion of education, information, compliance and enforcement services. CBOS is made up of the following areas:</w:t>
      </w:r>
    </w:p>
    <w:p w14:paraId="7DDBADFD"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Office of the General Manager </w:t>
      </w:r>
    </w:p>
    <w:p w14:paraId="6FAEB7A5"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Building Standards and Regulations  </w:t>
      </w:r>
    </w:p>
    <w:p w14:paraId="1CC83525"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Compliance and Dispute Resolution (Regulatory Compliance Unit) </w:t>
      </w:r>
    </w:p>
    <w:p w14:paraId="47AB9E30"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Corporate Affairs</w:t>
      </w:r>
    </w:p>
    <w:p w14:paraId="1DE077CC"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Electrical Standards and Safety </w:t>
      </w:r>
    </w:p>
    <w:p w14:paraId="47609737"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Gas Standards and Safety </w:t>
      </w:r>
    </w:p>
    <w:p w14:paraId="5F95E51B"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Occupational Licensing and Accreditation </w:t>
      </w:r>
    </w:p>
    <w:p w14:paraId="14832BA1"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r>
      <w:proofErr w:type="spellStart"/>
      <w:r w:rsidRPr="004F7358">
        <w:rPr>
          <w:iCs w:val="0"/>
          <w:sz w:val="24"/>
          <w:szCs w:val="22"/>
        </w:rPr>
        <w:t>PlanBuild</w:t>
      </w:r>
      <w:proofErr w:type="spellEnd"/>
    </w:p>
    <w:p w14:paraId="072D8BC5"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Policy and Projects</w:t>
      </w:r>
    </w:p>
    <w:p w14:paraId="7957B498"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 xml:space="preserve">Risk Based Licensing and Registration </w:t>
      </w:r>
    </w:p>
    <w:p w14:paraId="34B8159E" w14:textId="77777777" w:rsidR="004F7358" w:rsidRPr="004F7358" w:rsidRDefault="004F7358" w:rsidP="004F7358">
      <w:pPr>
        <w:pStyle w:val="Caption"/>
        <w:rPr>
          <w:iCs w:val="0"/>
          <w:sz w:val="24"/>
          <w:szCs w:val="22"/>
        </w:rPr>
      </w:pPr>
      <w:r w:rsidRPr="004F7358">
        <w:rPr>
          <w:iCs w:val="0"/>
          <w:sz w:val="24"/>
          <w:szCs w:val="22"/>
        </w:rPr>
        <w:t>•</w:t>
      </w:r>
      <w:r w:rsidRPr="004F7358">
        <w:rPr>
          <w:iCs w:val="0"/>
          <w:sz w:val="24"/>
          <w:szCs w:val="22"/>
        </w:rPr>
        <w:tab/>
        <w:t>Rental Services</w:t>
      </w:r>
    </w:p>
    <w:p w14:paraId="387F19E1" w14:textId="4CC684B7" w:rsidR="00297F6C" w:rsidRDefault="004F7358" w:rsidP="004F7358">
      <w:pPr>
        <w:pStyle w:val="Caption"/>
      </w:pPr>
      <w:r w:rsidRPr="004F7358">
        <w:rPr>
          <w:iCs w:val="0"/>
          <w:sz w:val="24"/>
          <w:szCs w:val="22"/>
        </w:rPr>
        <w:t xml:space="preserve">Visit the </w:t>
      </w:r>
      <w:hyperlink r:id="rId15" w:history="1">
        <w:r w:rsidRPr="004F7358">
          <w:rPr>
            <w:rFonts w:ascii="Arial" w:eastAsia="Times New Roman" w:hAnsi="Arial" w:cs="Arial"/>
            <w:iCs w:val="0"/>
            <w:color w:val="0000FF"/>
            <w:kern w:val="0"/>
            <w:sz w:val="24"/>
            <w:szCs w:val="24"/>
            <w:u w:val="single"/>
            <w14:ligatures w14:val="none"/>
          </w:rPr>
          <w:t>website</w:t>
        </w:r>
      </w:hyperlink>
      <w:r w:rsidRPr="004F7358">
        <w:rPr>
          <w:iCs w:val="0"/>
          <w:sz w:val="24"/>
          <w:szCs w:val="24"/>
        </w:rPr>
        <w:t xml:space="preserve"> </w:t>
      </w:r>
      <w:r w:rsidRPr="004F7358">
        <w:rPr>
          <w:iCs w:val="0"/>
          <w:sz w:val="24"/>
          <w:szCs w:val="22"/>
        </w:rPr>
        <w:t xml:space="preserve">for more information. </w:t>
      </w:r>
      <w:r w:rsidR="00297F6C">
        <w:rPr>
          <w:noProof/>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6"/>
      <w:headerReference w:type="first" r:id="rId17"/>
      <w:footerReference w:type="first" r:id="rId18"/>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38C73DA1" w:rsidR="00BD0AF7" w:rsidRPr="00F16B4E" w:rsidRDefault="002048DE" w:rsidP="00016FBA">
        <w:pPr>
          <w:pStyle w:val="Caption"/>
          <w:tabs>
            <w:tab w:val="right" w:pos="9781"/>
          </w:tabs>
        </w:pPr>
        <w:r>
          <w:t>About the Department of Justice</w:t>
        </w:r>
        <w:r w:rsidR="00C715CD">
          <w:t xml:space="preserve"> (</w:t>
        </w:r>
        <w:r w:rsidR="004F7358" w:rsidRPr="001352C5">
          <w:rPr>
            <w:rFonts w:ascii="Arial" w:hAnsi="Arial"/>
          </w:rPr>
          <w:t>Consumer, Building and Occupational Services</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778D6200"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4F7358" w:rsidRPr="001352C5">
      <w:rPr>
        <w:rFonts w:ascii="Arial" w:hAnsi="Arial"/>
      </w:rPr>
      <w:t>Consumer, Building and Occupational Services</w:t>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6"/>
  </w:num>
  <w:num w:numId="3" w16cid:durableId="1629973155">
    <w:abstractNumId w:val="12"/>
  </w:num>
  <w:num w:numId="4" w16cid:durableId="385221688">
    <w:abstractNumId w:val="5"/>
  </w:num>
  <w:num w:numId="5" w16cid:durableId="322122057">
    <w:abstractNumId w:val="10"/>
  </w:num>
  <w:num w:numId="6" w16cid:durableId="475102946">
    <w:abstractNumId w:val="7"/>
  </w:num>
  <w:num w:numId="7" w16cid:durableId="1270314643">
    <w:abstractNumId w:val="1"/>
  </w:num>
  <w:num w:numId="8" w16cid:durableId="1646156393">
    <w:abstractNumId w:val="11"/>
  </w:num>
  <w:num w:numId="9" w16cid:durableId="365259678">
    <w:abstractNumId w:val="0"/>
  </w:num>
  <w:num w:numId="10" w16cid:durableId="908928662">
    <w:abstractNumId w:val="11"/>
  </w:num>
  <w:num w:numId="11" w16cid:durableId="975066633">
    <w:abstractNumId w:val="2"/>
  </w:num>
  <w:num w:numId="12" w16cid:durableId="1234043785">
    <w:abstractNumId w:val="11"/>
  </w:num>
  <w:num w:numId="13" w16cid:durableId="2127000715">
    <w:abstractNumId w:val="14"/>
  </w:num>
  <w:num w:numId="14" w16cid:durableId="1241452146">
    <w:abstractNumId w:val="8"/>
  </w:num>
  <w:num w:numId="15" w16cid:durableId="1976566598">
    <w:abstractNumId w:val="8"/>
  </w:num>
  <w:num w:numId="16" w16cid:durableId="1625233505">
    <w:abstractNumId w:val="3"/>
  </w:num>
  <w:num w:numId="17" w16cid:durableId="207769506">
    <w:abstractNumId w:val="9"/>
  </w:num>
  <w:num w:numId="18" w16cid:durableId="1242174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16FBA"/>
    <w:rsid w:val="00043209"/>
    <w:rsid w:val="00052F1B"/>
    <w:rsid w:val="001314BC"/>
    <w:rsid w:val="001511B0"/>
    <w:rsid w:val="001B3323"/>
    <w:rsid w:val="002048DE"/>
    <w:rsid w:val="002623EA"/>
    <w:rsid w:val="00297F6C"/>
    <w:rsid w:val="002A1A03"/>
    <w:rsid w:val="002B0B84"/>
    <w:rsid w:val="002B3394"/>
    <w:rsid w:val="002B3835"/>
    <w:rsid w:val="002D12FB"/>
    <w:rsid w:val="002D7078"/>
    <w:rsid w:val="00321351"/>
    <w:rsid w:val="003813E5"/>
    <w:rsid w:val="003A54FA"/>
    <w:rsid w:val="003C79F5"/>
    <w:rsid w:val="00421B3F"/>
    <w:rsid w:val="0043635E"/>
    <w:rsid w:val="004475F0"/>
    <w:rsid w:val="00447BD4"/>
    <w:rsid w:val="004977A5"/>
    <w:rsid w:val="004D1E00"/>
    <w:rsid w:val="004D3811"/>
    <w:rsid w:val="004F7358"/>
    <w:rsid w:val="00512870"/>
    <w:rsid w:val="00517409"/>
    <w:rsid w:val="0059331B"/>
    <w:rsid w:val="005B3569"/>
    <w:rsid w:val="005C29D5"/>
    <w:rsid w:val="005C32D6"/>
    <w:rsid w:val="005E2931"/>
    <w:rsid w:val="005F2CFF"/>
    <w:rsid w:val="006128FD"/>
    <w:rsid w:val="00635C51"/>
    <w:rsid w:val="00653335"/>
    <w:rsid w:val="006606A4"/>
    <w:rsid w:val="00663B53"/>
    <w:rsid w:val="006653CD"/>
    <w:rsid w:val="006A3EE9"/>
    <w:rsid w:val="006E6FA2"/>
    <w:rsid w:val="0071069A"/>
    <w:rsid w:val="00740C39"/>
    <w:rsid w:val="00774FCA"/>
    <w:rsid w:val="00781449"/>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36BD9"/>
    <w:rsid w:val="009374FF"/>
    <w:rsid w:val="009423EC"/>
    <w:rsid w:val="00945CE8"/>
    <w:rsid w:val="00950DB8"/>
    <w:rsid w:val="00952DC6"/>
    <w:rsid w:val="00952E97"/>
    <w:rsid w:val="009720CE"/>
    <w:rsid w:val="00990420"/>
    <w:rsid w:val="00996D62"/>
    <w:rsid w:val="009F0C39"/>
    <w:rsid w:val="00A143B1"/>
    <w:rsid w:val="00A167E4"/>
    <w:rsid w:val="00A2725B"/>
    <w:rsid w:val="00A31B9D"/>
    <w:rsid w:val="00A71F4B"/>
    <w:rsid w:val="00A95D25"/>
    <w:rsid w:val="00AB08AB"/>
    <w:rsid w:val="00AB3404"/>
    <w:rsid w:val="00AD1270"/>
    <w:rsid w:val="00AE18EF"/>
    <w:rsid w:val="00AF294A"/>
    <w:rsid w:val="00B2209C"/>
    <w:rsid w:val="00B33B13"/>
    <w:rsid w:val="00B67B16"/>
    <w:rsid w:val="00B90D66"/>
    <w:rsid w:val="00B95C38"/>
    <w:rsid w:val="00BD0AF7"/>
    <w:rsid w:val="00BD5BCC"/>
    <w:rsid w:val="00C03F27"/>
    <w:rsid w:val="00C14B03"/>
    <w:rsid w:val="00C45CBE"/>
    <w:rsid w:val="00C57ED5"/>
    <w:rsid w:val="00C715CD"/>
    <w:rsid w:val="00CB2709"/>
    <w:rsid w:val="00CB2738"/>
    <w:rsid w:val="00CC4A79"/>
    <w:rsid w:val="00D80468"/>
    <w:rsid w:val="00D9745F"/>
    <w:rsid w:val="00DA6B55"/>
    <w:rsid w:val="00DA78EE"/>
    <w:rsid w:val="00DD0D3B"/>
    <w:rsid w:val="00E051F2"/>
    <w:rsid w:val="00E169C2"/>
    <w:rsid w:val="00E25491"/>
    <w:rsid w:val="00E419F9"/>
    <w:rsid w:val="00E563CC"/>
    <w:rsid w:val="00E65FE5"/>
    <w:rsid w:val="00EC73A3"/>
    <w:rsid w:val="00EE3F8B"/>
    <w:rsid w:val="00F16B4E"/>
    <w:rsid w:val="00F513FA"/>
    <w:rsid w:val="00FB2A98"/>
    <w:rsid w:val="00FB55E5"/>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www.justice.tas.gov.au/"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5397</Characters>
  <Application>Microsoft Office Word</Application>
  <DocSecurity>0</DocSecurity>
  <Lines>99</Lines>
  <Paragraphs>49</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2024-11-08T00:27:00Z</dcterms:created>
  <dcterms:modified xsi:type="dcterms:W3CDTF">2024-11-08T00:27:00Z</dcterms:modified>
</cp:coreProperties>
</file>