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1660" w14:textId="77777777" w:rsidR="003C79F5" w:rsidRPr="00D84E54" w:rsidRDefault="00E8491A" w:rsidP="0087234C">
      <w:pPr>
        <w:pStyle w:val="Subtitle"/>
        <w:spacing w:before="400"/>
        <w:rPr>
          <w:rFonts w:cstheme="minorHAnsi"/>
          <w:sz w:val="28"/>
          <w:szCs w:val="28"/>
        </w:rPr>
      </w:pPr>
      <w:bookmarkStart w:id="0" w:name="_Toc160358825"/>
      <w:r w:rsidRPr="00D84E54">
        <w:rPr>
          <w:rFonts w:cstheme="minorHAnsi"/>
          <w:sz w:val="28"/>
          <w:szCs w:val="28"/>
        </w:rPr>
        <w:t>Monetary Penalties Enforcement Services</w:t>
      </w:r>
    </w:p>
    <w:p w14:paraId="4F0A4AF9" w14:textId="77777777" w:rsidR="0064198D" w:rsidRPr="00D84E54" w:rsidRDefault="00E8491A" w:rsidP="0064198D">
      <w:pPr>
        <w:pStyle w:val="Title"/>
        <w:spacing w:after="400"/>
        <w:contextualSpacing w:val="0"/>
        <w:rPr>
          <w:rFonts w:asciiTheme="minorHAnsi" w:hAnsiTheme="minorHAnsi" w:cstheme="minorHAnsi"/>
          <w:sz w:val="28"/>
          <w:szCs w:val="28"/>
        </w:rPr>
      </w:pPr>
      <w:r w:rsidRPr="00D84E54">
        <w:rPr>
          <w:rFonts w:asciiTheme="minorHAnsi" w:hAnsiTheme="minorHAnsi" w:cstheme="minorHAnsi"/>
          <w:sz w:val="28"/>
          <w:szCs w:val="28"/>
        </w:rPr>
        <w:t>Senior Finance Officer</w:t>
      </w:r>
      <w:r w:rsidR="0064198D" w:rsidRPr="00D84E54">
        <w:rPr>
          <w:rFonts w:asciiTheme="minorHAnsi" w:hAnsiTheme="minorHAnsi" w:cstheme="minorHAnsi"/>
          <w:sz w:val="28"/>
          <w:szCs w:val="28"/>
        </w:rPr>
        <w:t xml:space="preserve"> – Statement of Duties</w:t>
      </w:r>
    </w:p>
    <w:bookmarkEnd w:id="0"/>
    <w:p w14:paraId="58EB1416" w14:textId="77777777" w:rsidR="00FB2A98" w:rsidRPr="00D84E54" w:rsidRDefault="00D40F47" w:rsidP="00D40F47">
      <w:pPr>
        <w:pStyle w:val="Heading1"/>
        <w:rPr>
          <w:rFonts w:asciiTheme="minorHAnsi" w:hAnsiTheme="minorHAnsi" w:cstheme="minorHAnsi"/>
          <w:sz w:val="22"/>
          <w:szCs w:val="22"/>
        </w:rPr>
      </w:pPr>
      <w:r w:rsidRPr="00D84E54">
        <w:rPr>
          <w:rFonts w:asciiTheme="minorHAnsi" w:hAnsiTheme="minorHAnsi" w:cstheme="minorHAnsi"/>
          <w:sz w:val="22"/>
          <w:szCs w:val="22"/>
        </w:rPr>
        <w:t>Objective</w:t>
      </w:r>
    </w:p>
    <w:p w14:paraId="4D6E83D5" w14:textId="77777777" w:rsidR="00E8491A" w:rsidRPr="00D84E54" w:rsidRDefault="00E8491A" w:rsidP="00D84E54">
      <w:pPr>
        <w:pStyle w:val="Heading1"/>
        <w:ind w:left="0" w:firstLine="0"/>
        <w:rPr>
          <w:rFonts w:asciiTheme="minorHAnsi" w:eastAsiaTheme="minorHAnsi" w:hAnsiTheme="minorHAnsi" w:cstheme="minorHAnsi"/>
          <w:b w:val="0"/>
          <w:color w:val="1A1A1A" w:themeColor="text1"/>
          <w:sz w:val="22"/>
          <w:szCs w:val="22"/>
        </w:rPr>
      </w:pPr>
      <w:r w:rsidRPr="00D84E54">
        <w:rPr>
          <w:rFonts w:asciiTheme="minorHAnsi" w:eastAsiaTheme="minorHAnsi" w:hAnsiTheme="minorHAnsi" w:cstheme="minorHAnsi"/>
          <w:b w:val="0"/>
          <w:color w:val="1A1A1A" w:themeColor="text1"/>
          <w:sz w:val="22"/>
          <w:szCs w:val="22"/>
        </w:rPr>
        <w:t>This position is responsible for processing and reconciling financial transactions to ensure accurate and timely financial reporting.</w:t>
      </w:r>
    </w:p>
    <w:p w14:paraId="23C4552D" w14:textId="77777777" w:rsidR="00D40F47" w:rsidRPr="00D84E54" w:rsidRDefault="00D40F47" w:rsidP="00D40F47">
      <w:pPr>
        <w:pStyle w:val="Heading1"/>
        <w:rPr>
          <w:rFonts w:asciiTheme="minorHAnsi" w:hAnsiTheme="minorHAnsi" w:cstheme="minorHAnsi"/>
          <w:sz w:val="22"/>
          <w:szCs w:val="22"/>
        </w:rPr>
      </w:pPr>
      <w:r w:rsidRPr="00D84E54">
        <w:rPr>
          <w:rFonts w:asciiTheme="minorHAnsi" w:hAnsiTheme="minorHAnsi" w:cstheme="minorHAnsi"/>
          <w:sz w:val="22"/>
          <w:szCs w:val="22"/>
        </w:rPr>
        <w:t>Duties</w:t>
      </w:r>
    </w:p>
    <w:p w14:paraId="3E046E2C"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Manage the disbursement of funds and refunds in an administered funds environment, ensuring compliance with financial regulations and internal controls.</w:t>
      </w:r>
    </w:p>
    <w:p w14:paraId="4B036B1F"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Perform all necessary accounting functions to reconcile receipts and disbursements, including identifying and rectifying errors on financial ledgers and ensuring data accuracy across financial databases.</w:t>
      </w:r>
    </w:p>
    <w:p w14:paraId="5D3155A2"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Provide timely and accurate advice to clients, addressing queries and delivering financial insights based on data-driven analysis and reporting.</w:t>
      </w:r>
    </w:p>
    <w:p w14:paraId="48AF0BBB"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Supervise finance staff in the routine operations of the section, ensuring adherence to processes and promoting the effective use of financial databases and reporting tools.</w:t>
      </w:r>
    </w:p>
    <w:p w14:paraId="7E61E3A4"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Assist in all areas of the Monetary Penalties Enforcement Service as directed, ensuring seamless financial operations and providing data analysis as required.</w:t>
      </w:r>
    </w:p>
    <w:p w14:paraId="0C66FB33"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Support the implementation, development, and enhancement of divisional initiatives, with a focus on optimizing the use of business intelligence reporting platforms and financial databases to improve operational efficiency and decision-making.</w:t>
      </w:r>
    </w:p>
    <w:p w14:paraId="65BF874D"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The incumbent can expect to be allocated duties, not specifically mentioned in this document, that are within the capacity, qualifications and experience normally expected from persons occupying positions at this classification level.</w:t>
      </w:r>
    </w:p>
    <w:p w14:paraId="7FB68284" w14:textId="77777777" w:rsidR="00EA6A91" w:rsidRPr="00D84E54" w:rsidRDefault="00D40F47" w:rsidP="00D40F47">
      <w:pPr>
        <w:pStyle w:val="Heading1"/>
        <w:rPr>
          <w:rFonts w:asciiTheme="minorHAnsi" w:hAnsiTheme="minorHAnsi" w:cstheme="minorHAnsi"/>
          <w:sz w:val="22"/>
          <w:szCs w:val="22"/>
        </w:rPr>
      </w:pPr>
      <w:r w:rsidRPr="00D84E54">
        <w:rPr>
          <w:rFonts w:asciiTheme="minorHAnsi" w:hAnsiTheme="minorHAnsi" w:cstheme="minorHAnsi"/>
          <w:sz w:val="22"/>
          <w:szCs w:val="22"/>
        </w:rPr>
        <w:t>Level of responsibility</w:t>
      </w:r>
    </w:p>
    <w:p w14:paraId="17B9F139"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Expertise in financial record-keeping and accounting: Demonstrating a strong understanding of financial systems, ensuring accurate maintenance of financial records and adherence to accounting standards.</w:t>
      </w:r>
    </w:p>
    <w:p w14:paraId="5367E781"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Analytical and evaluative skills: The ability to research, evaluate, and interpret financial information is crucial, along with a proven track record in resource management to optimize financial performance and outcomes.</w:t>
      </w:r>
    </w:p>
    <w:p w14:paraId="54292ADC"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Team leadership and development: Responsible for providing clear instruction, comprehensive information, effective supervision, and ongoing training to team members, tailored to the specific nature of their roles to ensure their success and growth.</w:t>
      </w:r>
    </w:p>
    <w:p w14:paraId="4A5E2272"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 xml:space="preserve">Ensure efficient and effective management of work health, wellbeing and safety for the areas of responsibility in accordance with the WHS requirements in the </w:t>
      </w:r>
      <w:r w:rsidRPr="00AD5E21">
        <w:rPr>
          <w:rFonts w:eastAsia="Times New Roman" w:cstheme="minorHAnsi"/>
          <w:color w:val="auto"/>
          <w:kern w:val="0"/>
          <w:sz w:val="22"/>
          <w14:ligatures w14:val="none"/>
        </w:rPr>
        <w:t>WHS Act</w:t>
      </w:r>
      <w:r w:rsidRPr="00D84E54">
        <w:rPr>
          <w:rFonts w:eastAsia="Times New Roman" w:cstheme="minorHAnsi"/>
          <w:color w:val="auto"/>
          <w:kern w:val="0"/>
          <w:sz w:val="22"/>
          <w14:ligatures w14:val="none"/>
        </w:rPr>
        <w:t>.</w:t>
      </w:r>
    </w:p>
    <w:p w14:paraId="1DA283A0" w14:textId="77777777" w:rsidR="00BF7B04" w:rsidRDefault="00BF7B04">
      <w:pPr>
        <w:spacing w:after="160" w:line="259" w:lineRule="auto"/>
        <w:rPr>
          <w:rFonts w:eastAsiaTheme="majorEastAsia" w:cstheme="minorHAnsi"/>
          <w:b/>
          <w:color w:val="0D0D0D" w:themeColor="text1" w:themeShade="80"/>
          <w:sz w:val="22"/>
        </w:rPr>
      </w:pPr>
      <w:r>
        <w:rPr>
          <w:rFonts w:cstheme="minorHAnsi"/>
          <w:sz w:val="22"/>
        </w:rPr>
        <w:br w:type="page"/>
      </w:r>
    </w:p>
    <w:p w14:paraId="185C582B" w14:textId="035CE3F9" w:rsidR="000221A3" w:rsidRPr="00D84E54" w:rsidRDefault="000221A3" w:rsidP="000221A3">
      <w:pPr>
        <w:pStyle w:val="Heading1"/>
        <w:rPr>
          <w:rFonts w:asciiTheme="minorHAnsi" w:hAnsiTheme="minorHAnsi" w:cstheme="minorHAnsi"/>
          <w:sz w:val="22"/>
          <w:szCs w:val="22"/>
        </w:rPr>
      </w:pPr>
      <w:r w:rsidRPr="00D84E54">
        <w:rPr>
          <w:rFonts w:asciiTheme="minorHAnsi" w:hAnsiTheme="minorHAnsi" w:cstheme="minorHAnsi"/>
          <w:sz w:val="22"/>
          <w:szCs w:val="22"/>
        </w:rPr>
        <w:lastRenderedPageBreak/>
        <w:t>Direction and supervision received</w:t>
      </w:r>
    </w:p>
    <w:p w14:paraId="29AF1A8D"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Reports to the Manager of Finance and Data.</w:t>
      </w:r>
    </w:p>
    <w:p w14:paraId="3D9A5E27"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Works collaboratively in a team environment, contributing to shared goals and objectives.</w:t>
      </w:r>
    </w:p>
    <w:p w14:paraId="661ACA38" w14:textId="77777777" w:rsidR="00E8491A" w:rsidRPr="00D84E54"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Guidelines and procedures are well-established, though the role may require interpretation and judgment to determine the most suitable approach for specific tasks and responsibilities.</w:t>
      </w:r>
    </w:p>
    <w:p w14:paraId="2CCCAE32" w14:textId="77777777" w:rsidR="000221A3" w:rsidRPr="00D84E54" w:rsidRDefault="000221A3" w:rsidP="000221A3">
      <w:pPr>
        <w:pStyle w:val="Heading1"/>
        <w:rPr>
          <w:rFonts w:asciiTheme="minorHAnsi" w:hAnsiTheme="minorHAnsi" w:cstheme="minorHAnsi"/>
          <w:sz w:val="22"/>
          <w:szCs w:val="22"/>
        </w:rPr>
      </w:pPr>
      <w:r w:rsidRPr="00D84E54">
        <w:rPr>
          <w:rFonts w:asciiTheme="minorHAnsi" w:hAnsiTheme="minorHAnsi" w:cstheme="minorHAnsi"/>
          <w:sz w:val="22"/>
          <w:szCs w:val="22"/>
        </w:rPr>
        <w:t>Selection criteria</w:t>
      </w:r>
    </w:p>
    <w:p w14:paraId="43438490" w14:textId="77777777" w:rsidR="00E8491A" w:rsidRPr="00D84E54" w:rsidRDefault="00E8491A" w:rsidP="00E8491A">
      <w:pPr>
        <w:spacing w:line="240" w:lineRule="auto"/>
        <w:rPr>
          <w:rFonts w:eastAsia="Times New Roman" w:cstheme="minorHAnsi"/>
          <w:color w:val="auto"/>
          <w:kern w:val="0"/>
          <w:sz w:val="22"/>
          <w14:ligatures w14:val="none"/>
        </w:rPr>
      </w:pPr>
      <w:r w:rsidRPr="00D84E54">
        <w:rPr>
          <w:rFonts w:eastAsia="Times New Roman" w:cstheme="minorHAnsi"/>
          <w:color w:val="auto"/>
          <w:kern w:val="0"/>
          <w:sz w:val="22"/>
          <w14:ligatures w14:val="none"/>
        </w:rPr>
        <w:t>The following specific selection criteria must be addressed by candidates by describing their relevant personal and professional skills and abilities; qualifications, training and competencies; past achievements; and potential for development.  The position objective and duties can also be used to assist in addressing the selection criteria.</w:t>
      </w:r>
    </w:p>
    <w:p w14:paraId="10415E55" w14:textId="77777777" w:rsidR="00E8491A" w:rsidRPr="00D84E54" w:rsidRDefault="00E8491A" w:rsidP="00AD5E21">
      <w:pPr>
        <w:numPr>
          <w:ilvl w:val="0"/>
          <w:numId w:val="22"/>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Sound knowledge of accounting practices, with advanced skills and experience in operating and managing computerised financial systems. Demonstrated ability to ensure high levels of accuracy and attention to detail when processing financial data and managing interfaces between systems.</w:t>
      </w:r>
    </w:p>
    <w:p w14:paraId="36CCAA70" w14:textId="77777777" w:rsidR="00E8491A" w:rsidRPr="00D84E54" w:rsidRDefault="00E8491A" w:rsidP="00AD5E21">
      <w:pPr>
        <w:numPr>
          <w:ilvl w:val="0"/>
          <w:numId w:val="22"/>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Proven experience in developing, documenting, and implementing comprehensive procedural and operational manuals, ensuring clarity and compliance with best practices for financial and data management processes.</w:t>
      </w:r>
    </w:p>
    <w:p w14:paraId="0CE04BED" w14:textId="61B9D184" w:rsidR="00D84E54" w:rsidRPr="00D84E54" w:rsidRDefault="00D84E54" w:rsidP="00AD5E21">
      <w:pPr>
        <w:numPr>
          <w:ilvl w:val="0"/>
          <w:numId w:val="22"/>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High level communication and interpersonal skills with the ability to supervise staff.</w:t>
      </w:r>
    </w:p>
    <w:p w14:paraId="64B35012" w14:textId="77777777" w:rsidR="00E8491A" w:rsidRPr="00D84E54" w:rsidRDefault="00E8491A" w:rsidP="00AD5E21">
      <w:pPr>
        <w:numPr>
          <w:ilvl w:val="0"/>
          <w:numId w:val="22"/>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Strong self-management and organizational skills, with the ability to set priorities, manage multiple tasks concurrently, and consistently meet deadlines. Demonstrated capacity to embrace and contribute positively to organizational change, ensuring adaptability in a dynamic work environment.</w:t>
      </w:r>
    </w:p>
    <w:p w14:paraId="4E13A405" w14:textId="77777777" w:rsidR="00E8491A" w:rsidRPr="00D84E54" w:rsidRDefault="00E8491A" w:rsidP="00AD5E21">
      <w:pPr>
        <w:numPr>
          <w:ilvl w:val="0"/>
          <w:numId w:val="22"/>
        </w:numPr>
        <w:spacing w:after="60" w:line="240" w:lineRule="auto"/>
        <w:ind w:left="714" w:hanging="357"/>
        <w:rPr>
          <w:rFonts w:eastAsia="Times New Roman" w:cstheme="minorHAnsi"/>
          <w:color w:val="auto"/>
          <w:kern w:val="0"/>
          <w:sz w:val="22"/>
          <w14:ligatures w14:val="none"/>
        </w:rPr>
      </w:pPr>
      <w:r w:rsidRPr="00D84E54">
        <w:rPr>
          <w:rFonts w:eastAsia="Times New Roman" w:cstheme="minorHAnsi"/>
          <w:color w:val="auto"/>
          <w:kern w:val="0"/>
          <w:sz w:val="22"/>
          <w14:ligatures w14:val="none"/>
        </w:rPr>
        <w:t>Be able to understand and apply the requirements of the relevant WHS legislation in your areas of responsibility.</w:t>
      </w:r>
    </w:p>
    <w:p w14:paraId="628839B8" w14:textId="77777777" w:rsidR="000221A3" w:rsidRPr="00D84E54" w:rsidRDefault="000221A3" w:rsidP="000221A3">
      <w:pPr>
        <w:pStyle w:val="Heading1"/>
        <w:rPr>
          <w:rFonts w:asciiTheme="minorHAnsi" w:hAnsiTheme="minorHAnsi" w:cstheme="minorHAnsi"/>
          <w:sz w:val="22"/>
          <w:szCs w:val="22"/>
        </w:rPr>
      </w:pPr>
      <w:r w:rsidRPr="00D84E54">
        <w:rPr>
          <w:rFonts w:asciiTheme="minorHAnsi" w:hAnsiTheme="minorHAnsi" w:cstheme="minorHAnsi"/>
          <w:sz w:val="22"/>
          <w:szCs w:val="22"/>
        </w:rPr>
        <w:t>Essential requirements</w:t>
      </w:r>
    </w:p>
    <w:p w14:paraId="1F1B22E2" w14:textId="3F08A1B7" w:rsidR="000221A3" w:rsidRPr="00AD5E21" w:rsidRDefault="00D84E54" w:rsidP="00AD5E21">
      <w:pPr>
        <w:numPr>
          <w:ilvl w:val="0"/>
          <w:numId w:val="19"/>
        </w:numPr>
        <w:spacing w:after="60" w:line="240" w:lineRule="auto"/>
        <w:ind w:left="714" w:hanging="357"/>
        <w:rPr>
          <w:rFonts w:eastAsia="Times New Roman" w:cstheme="minorHAnsi"/>
          <w:color w:val="auto"/>
          <w:kern w:val="0"/>
          <w:sz w:val="22"/>
          <w14:ligatures w14:val="none"/>
        </w:rPr>
      </w:pPr>
      <w:r w:rsidRPr="00AD5E21">
        <w:rPr>
          <w:rFonts w:eastAsia="Times New Roman" w:cstheme="minorHAnsi"/>
          <w:color w:val="auto"/>
          <w:kern w:val="0"/>
          <w:sz w:val="22"/>
          <w14:ligatures w14:val="none"/>
        </w:rPr>
        <w:t>Nil</w:t>
      </w:r>
    </w:p>
    <w:p w14:paraId="6F16062D" w14:textId="77777777" w:rsidR="000221A3" w:rsidRPr="00D84E54" w:rsidRDefault="000221A3" w:rsidP="000221A3">
      <w:pPr>
        <w:pStyle w:val="Heading1"/>
        <w:rPr>
          <w:rFonts w:asciiTheme="minorHAnsi" w:hAnsiTheme="minorHAnsi" w:cstheme="minorHAnsi"/>
          <w:sz w:val="22"/>
          <w:szCs w:val="22"/>
        </w:rPr>
      </w:pPr>
      <w:r w:rsidRPr="00D84E54">
        <w:rPr>
          <w:rFonts w:asciiTheme="minorHAnsi" w:hAnsiTheme="minorHAnsi" w:cstheme="minorHAnsi"/>
          <w:sz w:val="22"/>
          <w:szCs w:val="22"/>
        </w:rPr>
        <w:t>Desirable requirements</w:t>
      </w:r>
    </w:p>
    <w:p w14:paraId="3AF7D087" w14:textId="77777777" w:rsidR="00E8491A" w:rsidRPr="00AD5E21" w:rsidRDefault="00E8491A" w:rsidP="00AD5E21">
      <w:pPr>
        <w:numPr>
          <w:ilvl w:val="0"/>
          <w:numId w:val="19"/>
        </w:numPr>
        <w:spacing w:after="60" w:line="240" w:lineRule="auto"/>
        <w:ind w:left="714" w:hanging="357"/>
        <w:rPr>
          <w:rFonts w:eastAsia="Times New Roman" w:cstheme="minorHAnsi"/>
          <w:color w:val="auto"/>
          <w:kern w:val="0"/>
          <w:sz w:val="22"/>
          <w14:ligatures w14:val="none"/>
        </w:rPr>
      </w:pPr>
      <w:r w:rsidRPr="00AD5E21">
        <w:rPr>
          <w:rFonts w:eastAsia="Times New Roman" w:cstheme="minorHAnsi"/>
          <w:color w:val="auto"/>
          <w:kern w:val="0"/>
          <w:sz w:val="22"/>
          <w14:ligatures w14:val="none"/>
        </w:rPr>
        <w:t>Highly desirable to have Finance knowledge gained through past work experience or satisfactory completion of a relevant course of study at a tertiary institution.</w:t>
      </w:r>
    </w:p>
    <w:p w14:paraId="7CAE644D" w14:textId="77777777" w:rsidR="00AD5E21" w:rsidRDefault="00AD5E21">
      <w:pPr>
        <w:spacing w:after="160" w:line="259" w:lineRule="auto"/>
        <w:rPr>
          <w:rFonts w:eastAsiaTheme="majorEastAsia" w:cstheme="minorHAnsi"/>
          <w:b/>
          <w:color w:val="0D0D0D" w:themeColor="text1" w:themeShade="80"/>
          <w:sz w:val="22"/>
        </w:rPr>
      </w:pPr>
      <w:r>
        <w:rPr>
          <w:rFonts w:cstheme="minorHAnsi"/>
          <w:sz w:val="22"/>
        </w:rPr>
        <w:br w:type="page"/>
      </w:r>
    </w:p>
    <w:p w14:paraId="50079F56" w14:textId="015388A9" w:rsidR="000221A3" w:rsidRPr="00D84E54" w:rsidRDefault="000221A3" w:rsidP="000221A3">
      <w:pPr>
        <w:pStyle w:val="Heading1"/>
        <w:rPr>
          <w:rFonts w:asciiTheme="minorHAnsi" w:hAnsiTheme="minorHAnsi" w:cstheme="minorHAnsi"/>
          <w:sz w:val="22"/>
          <w:szCs w:val="22"/>
        </w:rPr>
      </w:pPr>
      <w:r w:rsidRPr="00D84E54">
        <w:rPr>
          <w:rFonts w:asciiTheme="minorHAnsi" w:hAnsiTheme="minorHAnsi" w:cstheme="minorHAnsi"/>
          <w:sz w:val="22"/>
          <w:szCs w:val="22"/>
        </w:rPr>
        <w:lastRenderedPageBreak/>
        <w:t xml:space="preserve">Pre-employment Checks </w:t>
      </w:r>
    </w:p>
    <w:p w14:paraId="4F788D58" w14:textId="77777777" w:rsidR="00DF363A" w:rsidRPr="00D84E54" w:rsidRDefault="00DF363A" w:rsidP="00DF363A">
      <w:pPr>
        <w:rPr>
          <w:rFonts w:cstheme="minorHAnsi"/>
          <w:sz w:val="22"/>
        </w:rPr>
      </w:pPr>
      <w:r w:rsidRPr="00D84E54">
        <w:rPr>
          <w:rFonts w:cstheme="minorHAnsi"/>
          <w:sz w:val="22"/>
        </w:rPr>
        <w:t xml:space="preserve">The Head of State Service has determined that the person nominated for this vacancy is to satisfy a pre-employment check before taking up the appointment, promotion or transfer. </w:t>
      </w:r>
    </w:p>
    <w:p w14:paraId="5ED34069" w14:textId="77777777" w:rsidR="00DF363A" w:rsidRPr="00D84E54" w:rsidRDefault="00DF363A" w:rsidP="00DF363A">
      <w:pPr>
        <w:rPr>
          <w:rFonts w:cstheme="minorHAnsi"/>
          <w:sz w:val="22"/>
        </w:rPr>
      </w:pPr>
      <w:r w:rsidRPr="00D84E54">
        <w:rPr>
          <w:rFonts w:cstheme="minorHAnsi"/>
          <w:sz w:val="22"/>
        </w:rPr>
        <w:t>The following checks are to be conducted:</w:t>
      </w:r>
    </w:p>
    <w:p w14:paraId="695AD502" w14:textId="77777777" w:rsidR="00DF363A" w:rsidRPr="00D84E54" w:rsidRDefault="00DF363A" w:rsidP="00DF363A">
      <w:pPr>
        <w:pStyle w:val="ListNumber"/>
        <w:numPr>
          <w:ilvl w:val="0"/>
          <w:numId w:val="18"/>
        </w:numPr>
        <w:ind w:left="426" w:hanging="426"/>
        <w:rPr>
          <w:rFonts w:cstheme="minorHAnsi"/>
          <w:sz w:val="22"/>
        </w:rPr>
      </w:pPr>
      <w:r w:rsidRPr="00D84E54">
        <w:rPr>
          <w:rFonts w:cstheme="minorHAnsi"/>
          <w:sz w:val="22"/>
        </w:rPr>
        <w:t>Pre-employment checks</w:t>
      </w:r>
    </w:p>
    <w:p w14:paraId="5CAA97E6"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Arson and fire setting</w:t>
      </w:r>
    </w:p>
    <w:p w14:paraId="17923B28"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Violent crimes and crimes against the person</w:t>
      </w:r>
    </w:p>
    <w:p w14:paraId="5FF436E2"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Sex-related offences</w:t>
      </w:r>
    </w:p>
    <w:p w14:paraId="36EA75A3"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Drug and alcohol related offences</w:t>
      </w:r>
    </w:p>
    <w:p w14:paraId="5BAFB984"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Crimes involving dishonesty</w:t>
      </w:r>
    </w:p>
    <w:p w14:paraId="7F6CEBD8"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Crimes involving deception</w:t>
      </w:r>
    </w:p>
    <w:p w14:paraId="10A0B715"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Making false declarations</w:t>
      </w:r>
    </w:p>
    <w:p w14:paraId="009C4C9E"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Malicious damage and destruction to property</w:t>
      </w:r>
    </w:p>
    <w:p w14:paraId="0733EE6B"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Serious traffic offences</w:t>
      </w:r>
    </w:p>
    <w:p w14:paraId="6E4E2801"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Crimes against public order or relating to the Administration of Law and Justice</w:t>
      </w:r>
    </w:p>
    <w:p w14:paraId="4761AF5A" w14:textId="77777777" w:rsidR="00DF363A" w:rsidRPr="00D84E54" w:rsidRDefault="00DF363A" w:rsidP="0087234C">
      <w:pPr>
        <w:pStyle w:val="BulletL1"/>
        <w:spacing w:after="0" w:line="288" w:lineRule="auto"/>
        <w:ind w:left="709"/>
        <w:contextualSpacing w:val="0"/>
        <w:rPr>
          <w:rFonts w:cstheme="minorHAnsi"/>
          <w:sz w:val="22"/>
        </w:rPr>
      </w:pPr>
      <w:r w:rsidRPr="00D84E54">
        <w:rPr>
          <w:rFonts w:cstheme="minorHAnsi"/>
          <w:sz w:val="22"/>
        </w:rPr>
        <w:t>Crimes against Executive or the Legislative Power</w:t>
      </w:r>
    </w:p>
    <w:p w14:paraId="0990F108" w14:textId="77777777" w:rsidR="00DF363A" w:rsidRPr="00D84E54" w:rsidRDefault="00DF363A" w:rsidP="00DF363A">
      <w:pPr>
        <w:pStyle w:val="BulletL1"/>
        <w:ind w:left="709"/>
        <w:rPr>
          <w:rFonts w:cstheme="minorHAnsi"/>
          <w:sz w:val="22"/>
        </w:rPr>
      </w:pPr>
      <w:r w:rsidRPr="00D84E54">
        <w:rPr>
          <w:rFonts w:cstheme="minorHAnsi"/>
          <w:sz w:val="22"/>
        </w:rPr>
        <w:t>Crimes involving Conspiracy</w:t>
      </w:r>
    </w:p>
    <w:p w14:paraId="187B7183" w14:textId="77777777" w:rsidR="00DF363A" w:rsidRPr="00D84E54" w:rsidRDefault="00DF363A" w:rsidP="00DF363A">
      <w:pPr>
        <w:pStyle w:val="ListNumber"/>
        <w:rPr>
          <w:rFonts w:cstheme="minorHAnsi"/>
          <w:sz w:val="22"/>
        </w:rPr>
      </w:pPr>
      <w:r w:rsidRPr="00D84E54">
        <w:rPr>
          <w:rFonts w:cstheme="minorHAnsi"/>
          <w:sz w:val="22"/>
        </w:rPr>
        <w:t>Disciplinary action in previous employment.</w:t>
      </w:r>
    </w:p>
    <w:p w14:paraId="52BE6B81" w14:textId="77777777" w:rsidR="000221A3" w:rsidRPr="00D84E54" w:rsidRDefault="00DF363A" w:rsidP="00DF363A">
      <w:pPr>
        <w:pStyle w:val="ListNumber"/>
        <w:rPr>
          <w:rFonts w:cstheme="minorHAnsi"/>
          <w:sz w:val="22"/>
        </w:rPr>
      </w:pPr>
      <w:r w:rsidRPr="00D84E54">
        <w:rPr>
          <w:rFonts w:cstheme="minorHAnsi"/>
          <w:sz w:val="22"/>
        </w:rPr>
        <w:t>Identification check.</w:t>
      </w:r>
    </w:p>
    <w:p w14:paraId="6E2F278D" w14:textId="77777777" w:rsidR="00F37264" w:rsidRPr="00D84E54" w:rsidRDefault="00F37264" w:rsidP="00F37264">
      <w:pPr>
        <w:pStyle w:val="Heading1"/>
        <w:rPr>
          <w:rFonts w:asciiTheme="minorHAnsi" w:hAnsiTheme="minorHAnsi" w:cstheme="minorHAnsi"/>
          <w:sz w:val="22"/>
          <w:szCs w:val="22"/>
        </w:rPr>
      </w:pPr>
      <w:r w:rsidRPr="00D84E54">
        <w:rPr>
          <w:rFonts w:asciiTheme="minorHAnsi" w:hAnsiTheme="minorHAnsi" w:cstheme="minorHAnsi"/>
          <w:sz w:val="22"/>
          <w:szCs w:val="22"/>
        </w:rP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828"/>
        <w:gridCol w:w="5242"/>
      </w:tblGrid>
      <w:tr w:rsidR="00F37264" w:rsidRPr="00D84E54" w14:paraId="6D0415F0" w14:textId="77777777" w:rsidTr="00BF7B04">
        <w:trPr>
          <w:trHeight w:val="340"/>
          <w:tblHeader/>
        </w:trPr>
        <w:tc>
          <w:tcPr>
            <w:tcW w:w="3828" w:type="dxa"/>
            <w:shd w:val="clear" w:color="auto" w:fill="F2F2F2" w:themeFill="background1" w:themeFillShade="F2"/>
            <w:vAlign w:val="center"/>
          </w:tcPr>
          <w:p w14:paraId="220D3772"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Title</w:t>
            </w:r>
          </w:p>
        </w:tc>
        <w:tc>
          <w:tcPr>
            <w:tcW w:w="5242" w:type="dxa"/>
            <w:shd w:val="clear" w:color="auto" w:fill="F2F2F2" w:themeFill="background1" w:themeFillShade="F2"/>
            <w:vAlign w:val="center"/>
          </w:tcPr>
          <w:p w14:paraId="7014E78E" w14:textId="77777777" w:rsidR="00F37264" w:rsidRPr="00D84E54" w:rsidRDefault="00E8491A" w:rsidP="00F37264">
            <w:pPr>
              <w:pStyle w:val="Tablecopy"/>
              <w:rPr>
                <w:rFonts w:cstheme="minorHAnsi"/>
                <w:sz w:val="22"/>
              </w:rPr>
            </w:pPr>
            <w:r w:rsidRPr="00D84E54">
              <w:rPr>
                <w:rFonts w:cstheme="minorHAnsi"/>
                <w:sz w:val="22"/>
              </w:rPr>
              <w:t>Senior Finance Officer</w:t>
            </w:r>
          </w:p>
        </w:tc>
      </w:tr>
      <w:tr w:rsidR="00F37264" w:rsidRPr="00D84E54" w14:paraId="7A391F21" w14:textId="77777777" w:rsidTr="00BF7B04">
        <w:trPr>
          <w:trHeight w:val="340"/>
          <w:tblHeader/>
        </w:trPr>
        <w:tc>
          <w:tcPr>
            <w:tcW w:w="3828" w:type="dxa"/>
            <w:shd w:val="clear" w:color="auto" w:fill="F2F2F2" w:themeFill="background1" w:themeFillShade="F2"/>
            <w:vAlign w:val="center"/>
          </w:tcPr>
          <w:p w14:paraId="50CA92FF"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Number</w:t>
            </w:r>
          </w:p>
        </w:tc>
        <w:tc>
          <w:tcPr>
            <w:tcW w:w="5242" w:type="dxa"/>
            <w:shd w:val="clear" w:color="auto" w:fill="F2F2F2" w:themeFill="background1" w:themeFillShade="F2"/>
            <w:vAlign w:val="center"/>
          </w:tcPr>
          <w:p w14:paraId="06760F64" w14:textId="77777777" w:rsidR="00F37264" w:rsidRPr="00D84E54" w:rsidRDefault="00E8491A" w:rsidP="00F37264">
            <w:pPr>
              <w:pStyle w:val="Tablecopy"/>
              <w:rPr>
                <w:rFonts w:cstheme="minorHAnsi"/>
                <w:sz w:val="22"/>
              </w:rPr>
            </w:pPr>
            <w:r w:rsidRPr="00D84E54">
              <w:rPr>
                <w:rFonts w:cstheme="minorHAnsi"/>
                <w:sz w:val="22"/>
              </w:rPr>
              <w:t>355020</w:t>
            </w:r>
          </w:p>
        </w:tc>
      </w:tr>
      <w:tr w:rsidR="00F37264" w:rsidRPr="00D84E54" w14:paraId="12AD5FA3" w14:textId="77777777" w:rsidTr="00BF7B04">
        <w:trPr>
          <w:trHeight w:val="340"/>
          <w:tblHeader/>
        </w:trPr>
        <w:tc>
          <w:tcPr>
            <w:tcW w:w="3828" w:type="dxa"/>
            <w:shd w:val="clear" w:color="auto" w:fill="F2F2F2" w:themeFill="background1" w:themeFillShade="F2"/>
            <w:vAlign w:val="center"/>
          </w:tcPr>
          <w:p w14:paraId="7C6C30D7"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Award</w:t>
            </w:r>
          </w:p>
        </w:tc>
        <w:tc>
          <w:tcPr>
            <w:tcW w:w="5242" w:type="dxa"/>
            <w:shd w:val="clear" w:color="auto" w:fill="F2F2F2" w:themeFill="background1" w:themeFillShade="F2"/>
            <w:vAlign w:val="center"/>
          </w:tcPr>
          <w:p w14:paraId="5D9AB20C" w14:textId="77777777" w:rsidR="00F37264" w:rsidRPr="00D84E54" w:rsidRDefault="00E8491A" w:rsidP="00F37264">
            <w:pPr>
              <w:pStyle w:val="Tablecopy"/>
              <w:rPr>
                <w:rFonts w:cstheme="minorHAnsi"/>
                <w:sz w:val="22"/>
              </w:rPr>
            </w:pPr>
            <w:r w:rsidRPr="00D84E54">
              <w:rPr>
                <w:rFonts w:cstheme="minorHAnsi"/>
                <w:sz w:val="22"/>
              </w:rPr>
              <w:t>Tasmanian State Service Award</w:t>
            </w:r>
          </w:p>
        </w:tc>
      </w:tr>
      <w:tr w:rsidR="00F37264" w:rsidRPr="00D84E54" w14:paraId="3FA92E5E" w14:textId="77777777" w:rsidTr="00BF7B04">
        <w:trPr>
          <w:trHeight w:val="340"/>
          <w:tblHeader/>
        </w:trPr>
        <w:tc>
          <w:tcPr>
            <w:tcW w:w="3828" w:type="dxa"/>
            <w:shd w:val="clear" w:color="auto" w:fill="F2F2F2" w:themeFill="background1" w:themeFillShade="F2"/>
            <w:vAlign w:val="center"/>
          </w:tcPr>
          <w:p w14:paraId="203AAB8F"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Classification</w:t>
            </w:r>
          </w:p>
        </w:tc>
        <w:tc>
          <w:tcPr>
            <w:tcW w:w="5242" w:type="dxa"/>
            <w:shd w:val="clear" w:color="auto" w:fill="F2F2F2" w:themeFill="background1" w:themeFillShade="F2"/>
            <w:vAlign w:val="center"/>
          </w:tcPr>
          <w:p w14:paraId="05D46166" w14:textId="77777777" w:rsidR="00F37264" w:rsidRPr="00D84E54" w:rsidRDefault="00E8491A" w:rsidP="00F37264">
            <w:pPr>
              <w:pStyle w:val="Tablecopy"/>
              <w:rPr>
                <w:rFonts w:cstheme="minorHAnsi"/>
                <w:sz w:val="22"/>
              </w:rPr>
            </w:pPr>
            <w:r w:rsidRPr="00D84E54">
              <w:rPr>
                <w:rFonts w:cstheme="minorHAnsi"/>
                <w:sz w:val="22"/>
              </w:rPr>
              <w:t>General Stream Band 4</w:t>
            </w:r>
          </w:p>
        </w:tc>
      </w:tr>
      <w:tr w:rsidR="00F37264" w:rsidRPr="00D84E54" w14:paraId="291AED0C" w14:textId="77777777" w:rsidTr="00BF7B04">
        <w:trPr>
          <w:trHeight w:val="340"/>
          <w:tblHeader/>
        </w:trPr>
        <w:tc>
          <w:tcPr>
            <w:tcW w:w="3828" w:type="dxa"/>
            <w:shd w:val="clear" w:color="auto" w:fill="F2F2F2" w:themeFill="background1" w:themeFillShade="F2"/>
            <w:vAlign w:val="center"/>
          </w:tcPr>
          <w:p w14:paraId="58649B59"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Division</w:t>
            </w:r>
          </w:p>
        </w:tc>
        <w:tc>
          <w:tcPr>
            <w:tcW w:w="5242" w:type="dxa"/>
            <w:shd w:val="clear" w:color="auto" w:fill="F2F2F2" w:themeFill="background1" w:themeFillShade="F2"/>
            <w:vAlign w:val="center"/>
          </w:tcPr>
          <w:p w14:paraId="26A87EF3" w14:textId="77777777" w:rsidR="00F37264" w:rsidRPr="00D84E54" w:rsidRDefault="00E8491A" w:rsidP="00F37264">
            <w:pPr>
              <w:pStyle w:val="Tablecopy"/>
              <w:rPr>
                <w:rFonts w:cstheme="minorHAnsi"/>
                <w:sz w:val="22"/>
              </w:rPr>
            </w:pPr>
            <w:r w:rsidRPr="00D84E54">
              <w:rPr>
                <w:rFonts w:cstheme="minorHAnsi"/>
                <w:sz w:val="22"/>
              </w:rPr>
              <w:t>Monetary Penalties Enforcement Services</w:t>
            </w:r>
          </w:p>
        </w:tc>
      </w:tr>
      <w:tr w:rsidR="00F37264" w:rsidRPr="00D84E54" w14:paraId="02AC4F84" w14:textId="77777777" w:rsidTr="00BF7B04">
        <w:trPr>
          <w:trHeight w:val="340"/>
          <w:tblHeader/>
        </w:trPr>
        <w:tc>
          <w:tcPr>
            <w:tcW w:w="3828" w:type="dxa"/>
            <w:shd w:val="clear" w:color="auto" w:fill="F2F2F2" w:themeFill="background1" w:themeFillShade="F2"/>
            <w:vAlign w:val="center"/>
          </w:tcPr>
          <w:p w14:paraId="0904A4C1"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Full Time Equivalent</w:t>
            </w:r>
          </w:p>
        </w:tc>
        <w:tc>
          <w:tcPr>
            <w:tcW w:w="5242" w:type="dxa"/>
            <w:shd w:val="clear" w:color="auto" w:fill="F2F2F2" w:themeFill="background1" w:themeFillShade="F2"/>
            <w:vAlign w:val="center"/>
          </w:tcPr>
          <w:p w14:paraId="123126DB" w14:textId="7A89E892" w:rsidR="00F37264" w:rsidRPr="00D84E54" w:rsidRDefault="00E8491A" w:rsidP="00F37264">
            <w:pPr>
              <w:pStyle w:val="Tablecopy"/>
              <w:rPr>
                <w:rFonts w:cstheme="minorHAnsi"/>
                <w:sz w:val="22"/>
              </w:rPr>
            </w:pPr>
            <w:r w:rsidRPr="00D84E54">
              <w:rPr>
                <w:rFonts w:cstheme="minorHAnsi"/>
                <w:sz w:val="22"/>
              </w:rPr>
              <w:t>1.</w:t>
            </w:r>
            <w:r w:rsidR="00D84E54">
              <w:rPr>
                <w:rFonts w:cstheme="minorHAnsi"/>
                <w:sz w:val="22"/>
              </w:rPr>
              <w:t>0</w:t>
            </w:r>
          </w:p>
        </w:tc>
      </w:tr>
      <w:tr w:rsidR="00F37264" w:rsidRPr="00D84E54" w14:paraId="45D24040" w14:textId="77777777" w:rsidTr="00BF7B04">
        <w:trPr>
          <w:trHeight w:val="340"/>
          <w:tblHeader/>
        </w:trPr>
        <w:tc>
          <w:tcPr>
            <w:tcW w:w="3828" w:type="dxa"/>
            <w:shd w:val="clear" w:color="auto" w:fill="F2F2F2" w:themeFill="background1" w:themeFillShade="F2"/>
            <w:vAlign w:val="center"/>
          </w:tcPr>
          <w:p w14:paraId="27733806"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Output Group</w:t>
            </w:r>
          </w:p>
        </w:tc>
        <w:tc>
          <w:tcPr>
            <w:tcW w:w="5242" w:type="dxa"/>
            <w:shd w:val="clear" w:color="auto" w:fill="F2F2F2" w:themeFill="background1" w:themeFillShade="F2"/>
            <w:vAlign w:val="center"/>
          </w:tcPr>
          <w:p w14:paraId="0A38F316" w14:textId="77777777" w:rsidR="00F37264" w:rsidRPr="00D84E54" w:rsidRDefault="00E8491A" w:rsidP="00F37264">
            <w:pPr>
              <w:pStyle w:val="Tablecopy"/>
              <w:rPr>
                <w:rFonts w:cstheme="minorHAnsi"/>
                <w:sz w:val="22"/>
              </w:rPr>
            </w:pPr>
            <w:r w:rsidRPr="00D84E54">
              <w:rPr>
                <w:rFonts w:cstheme="minorHAnsi"/>
                <w:sz w:val="22"/>
              </w:rPr>
              <w:t>Monetary Penalties Enforcement Services</w:t>
            </w:r>
          </w:p>
        </w:tc>
      </w:tr>
      <w:tr w:rsidR="00F37264" w:rsidRPr="00D84E54" w14:paraId="1D805B1E" w14:textId="77777777" w:rsidTr="00BF7B04">
        <w:trPr>
          <w:trHeight w:val="340"/>
          <w:tblHeader/>
        </w:trPr>
        <w:tc>
          <w:tcPr>
            <w:tcW w:w="3828" w:type="dxa"/>
            <w:shd w:val="clear" w:color="auto" w:fill="F2F2F2" w:themeFill="background1" w:themeFillShade="F2"/>
            <w:vAlign w:val="center"/>
          </w:tcPr>
          <w:p w14:paraId="2DF7A600"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Branch</w:t>
            </w:r>
          </w:p>
        </w:tc>
        <w:tc>
          <w:tcPr>
            <w:tcW w:w="5242" w:type="dxa"/>
            <w:shd w:val="clear" w:color="auto" w:fill="F2F2F2" w:themeFill="background1" w:themeFillShade="F2"/>
            <w:vAlign w:val="center"/>
          </w:tcPr>
          <w:p w14:paraId="10A8242C" w14:textId="77777777" w:rsidR="00F37264" w:rsidRPr="00D84E54" w:rsidRDefault="00E8491A" w:rsidP="00F37264">
            <w:pPr>
              <w:pStyle w:val="Tablecopy"/>
              <w:rPr>
                <w:rFonts w:cstheme="minorHAnsi"/>
                <w:sz w:val="22"/>
              </w:rPr>
            </w:pPr>
            <w:r w:rsidRPr="00D84E54">
              <w:rPr>
                <w:rFonts w:cstheme="minorHAnsi"/>
                <w:sz w:val="22"/>
              </w:rPr>
              <w:t>Finance and Data</w:t>
            </w:r>
          </w:p>
        </w:tc>
      </w:tr>
      <w:tr w:rsidR="00F37264" w:rsidRPr="00D84E54" w14:paraId="2B3B1D25" w14:textId="77777777" w:rsidTr="00BF7B04">
        <w:trPr>
          <w:trHeight w:val="340"/>
          <w:tblHeader/>
        </w:trPr>
        <w:tc>
          <w:tcPr>
            <w:tcW w:w="3828" w:type="dxa"/>
            <w:shd w:val="clear" w:color="auto" w:fill="F2F2F2" w:themeFill="background1" w:themeFillShade="F2"/>
            <w:vAlign w:val="center"/>
          </w:tcPr>
          <w:p w14:paraId="60344B0A"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Supervisor</w:t>
            </w:r>
          </w:p>
        </w:tc>
        <w:tc>
          <w:tcPr>
            <w:tcW w:w="5242" w:type="dxa"/>
            <w:shd w:val="clear" w:color="auto" w:fill="F2F2F2" w:themeFill="background1" w:themeFillShade="F2"/>
            <w:vAlign w:val="center"/>
          </w:tcPr>
          <w:p w14:paraId="512FA0DD" w14:textId="77777777" w:rsidR="00F37264" w:rsidRPr="00D84E54" w:rsidRDefault="00E8491A" w:rsidP="00F37264">
            <w:pPr>
              <w:pStyle w:val="Tablecopy"/>
              <w:rPr>
                <w:rFonts w:cstheme="minorHAnsi"/>
                <w:sz w:val="22"/>
              </w:rPr>
            </w:pPr>
            <w:r w:rsidRPr="00D84E54">
              <w:rPr>
                <w:rFonts w:cstheme="minorHAnsi"/>
                <w:sz w:val="22"/>
              </w:rPr>
              <w:t>Manager Finance and Data</w:t>
            </w:r>
          </w:p>
        </w:tc>
      </w:tr>
      <w:tr w:rsidR="00F37264" w:rsidRPr="00D84E54" w14:paraId="1886B1D0" w14:textId="77777777" w:rsidTr="00BF7B04">
        <w:trPr>
          <w:trHeight w:val="340"/>
          <w:tblHeader/>
        </w:trPr>
        <w:tc>
          <w:tcPr>
            <w:tcW w:w="3828" w:type="dxa"/>
            <w:shd w:val="clear" w:color="auto" w:fill="F2F2F2" w:themeFill="background1" w:themeFillShade="F2"/>
            <w:vAlign w:val="center"/>
          </w:tcPr>
          <w:p w14:paraId="15D9ECA3"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Direct Reports</w:t>
            </w:r>
          </w:p>
        </w:tc>
        <w:tc>
          <w:tcPr>
            <w:tcW w:w="5242" w:type="dxa"/>
            <w:shd w:val="clear" w:color="auto" w:fill="F2F2F2" w:themeFill="background1" w:themeFillShade="F2"/>
            <w:vAlign w:val="center"/>
          </w:tcPr>
          <w:p w14:paraId="6457D4AC" w14:textId="77777777" w:rsidR="00F37264" w:rsidRPr="00D84E54" w:rsidRDefault="00E8491A" w:rsidP="00F37264">
            <w:pPr>
              <w:pStyle w:val="Tablecopy"/>
              <w:rPr>
                <w:rFonts w:cstheme="minorHAnsi"/>
                <w:sz w:val="22"/>
              </w:rPr>
            </w:pPr>
            <w:r w:rsidRPr="00D84E54">
              <w:rPr>
                <w:rFonts w:cstheme="minorHAnsi"/>
                <w:sz w:val="22"/>
              </w:rPr>
              <w:t>2</w:t>
            </w:r>
          </w:p>
        </w:tc>
      </w:tr>
      <w:tr w:rsidR="00F37264" w:rsidRPr="00D84E54" w14:paraId="2740ADB9" w14:textId="77777777" w:rsidTr="00BF7B04">
        <w:trPr>
          <w:trHeight w:val="340"/>
          <w:tblHeader/>
        </w:trPr>
        <w:tc>
          <w:tcPr>
            <w:tcW w:w="3828" w:type="dxa"/>
            <w:shd w:val="clear" w:color="auto" w:fill="F2F2F2" w:themeFill="background1" w:themeFillShade="F2"/>
            <w:vAlign w:val="center"/>
          </w:tcPr>
          <w:p w14:paraId="02603E8D"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Location</w:t>
            </w:r>
          </w:p>
        </w:tc>
        <w:tc>
          <w:tcPr>
            <w:tcW w:w="5242" w:type="dxa"/>
            <w:shd w:val="clear" w:color="auto" w:fill="F2F2F2" w:themeFill="background1" w:themeFillShade="F2"/>
            <w:vAlign w:val="center"/>
          </w:tcPr>
          <w:p w14:paraId="414C4D5D" w14:textId="77777777" w:rsidR="00F37264" w:rsidRPr="00D84E54" w:rsidRDefault="00E8491A" w:rsidP="00F37264">
            <w:pPr>
              <w:pStyle w:val="Tablecopy"/>
              <w:rPr>
                <w:rFonts w:cstheme="minorHAnsi"/>
                <w:sz w:val="22"/>
              </w:rPr>
            </w:pPr>
            <w:r w:rsidRPr="00D84E54">
              <w:rPr>
                <w:rFonts w:cstheme="minorHAnsi"/>
                <w:sz w:val="22"/>
              </w:rPr>
              <w:t>Hobart</w:t>
            </w:r>
          </w:p>
        </w:tc>
      </w:tr>
      <w:tr w:rsidR="00F37264" w:rsidRPr="00D84E54" w14:paraId="42A39CA9" w14:textId="77777777" w:rsidTr="00BF7B04">
        <w:trPr>
          <w:trHeight w:val="340"/>
          <w:tblHeader/>
        </w:trPr>
        <w:tc>
          <w:tcPr>
            <w:tcW w:w="3828" w:type="dxa"/>
            <w:shd w:val="clear" w:color="auto" w:fill="F2F2F2" w:themeFill="background1" w:themeFillShade="F2"/>
            <w:vAlign w:val="center"/>
          </w:tcPr>
          <w:p w14:paraId="775560E1" w14:textId="77777777" w:rsidR="00F37264" w:rsidRPr="00D84E54" w:rsidRDefault="00F37264" w:rsidP="00F37264">
            <w:pPr>
              <w:pStyle w:val="Tableheadingblack"/>
              <w:rPr>
                <w:rFonts w:asciiTheme="minorHAnsi" w:hAnsiTheme="minorHAnsi" w:cstheme="minorHAnsi"/>
                <w:sz w:val="22"/>
              </w:rPr>
            </w:pPr>
            <w:r w:rsidRPr="00D84E54">
              <w:rPr>
                <w:rFonts w:asciiTheme="minorHAnsi" w:hAnsiTheme="minorHAnsi" w:cstheme="minorHAnsi"/>
                <w:sz w:val="22"/>
              </w:rPr>
              <w:t>Position category and funding</w:t>
            </w:r>
          </w:p>
        </w:tc>
        <w:tc>
          <w:tcPr>
            <w:tcW w:w="5242" w:type="dxa"/>
            <w:shd w:val="clear" w:color="auto" w:fill="F2F2F2" w:themeFill="background1" w:themeFillShade="F2"/>
            <w:vAlign w:val="center"/>
          </w:tcPr>
          <w:p w14:paraId="21728D4E" w14:textId="77777777" w:rsidR="00F37264" w:rsidRPr="00D84E54" w:rsidRDefault="00E8491A" w:rsidP="00F37264">
            <w:pPr>
              <w:pStyle w:val="Tablecopy"/>
              <w:rPr>
                <w:rFonts w:cstheme="minorHAnsi"/>
                <w:sz w:val="22"/>
              </w:rPr>
            </w:pPr>
            <w:r w:rsidRPr="00D84E54">
              <w:rPr>
                <w:rFonts w:cstheme="minorHAnsi"/>
                <w:sz w:val="22"/>
              </w:rPr>
              <w:t>Cost code:  A067</w:t>
            </w:r>
          </w:p>
        </w:tc>
      </w:tr>
      <w:tr w:rsidR="00DC1ABA" w:rsidRPr="00D84E54" w14:paraId="3A268596" w14:textId="77777777" w:rsidTr="00BF7B04">
        <w:trPr>
          <w:trHeight w:val="340"/>
          <w:tblHeader/>
        </w:trPr>
        <w:tc>
          <w:tcPr>
            <w:tcW w:w="3828" w:type="dxa"/>
            <w:shd w:val="clear" w:color="auto" w:fill="F2F2F2" w:themeFill="background1" w:themeFillShade="F2"/>
            <w:vAlign w:val="center"/>
          </w:tcPr>
          <w:p w14:paraId="77E63B21" w14:textId="0A69A572" w:rsidR="00DC1ABA" w:rsidRPr="00D84E54" w:rsidRDefault="00DC1ABA" w:rsidP="00F37264">
            <w:pPr>
              <w:pStyle w:val="Tableheadingblack"/>
              <w:rPr>
                <w:rFonts w:asciiTheme="minorHAnsi" w:hAnsiTheme="minorHAnsi" w:cstheme="minorHAnsi"/>
                <w:sz w:val="22"/>
              </w:rPr>
            </w:pPr>
            <w:r>
              <w:rPr>
                <w:rFonts w:asciiTheme="minorHAnsi" w:hAnsiTheme="minorHAnsi" w:cstheme="minorHAnsi"/>
                <w:sz w:val="22"/>
              </w:rPr>
              <w:t>Content Manager Record Number</w:t>
            </w:r>
          </w:p>
        </w:tc>
        <w:tc>
          <w:tcPr>
            <w:tcW w:w="5242" w:type="dxa"/>
            <w:shd w:val="clear" w:color="auto" w:fill="F2F2F2" w:themeFill="background1" w:themeFillShade="F2"/>
            <w:vAlign w:val="center"/>
          </w:tcPr>
          <w:p w14:paraId="56774F35" w14:textId="708C93B9" w:rsidR="00DC1ABA" w:rsidRPr="00D84E54" w:rsidRDefault="00DC1ABA" w:rsidP="00F37264">
            <w:pPr>
              <w:pStyle w:val="Tablecopy"/>
              <w:rPr>
                <w:rFonts w:cstheme="minorHAnsi"/>
                <w:sz w:val="22"/>
              </w:rPr>
            </w:pPr>
            <w:r w:rsidRPr="00DC1ABA">
              <w:rPr>
                <w:rFonts w:cstheme="minorHAnsi"/>
                <w:sz w:val="22"/>
              </w:rPr>
              <w:t>DOC/24/136926</w:t>
            </w:r>
          </w:p>
        </w:tc>
      </w:tr>
    </w:tbl>
    <w:p w14:paraId="19BDE97F" w14:textId="77777777" w:rsidR="00F37264" w:rsidRPr="00F37264" w:rsidRDefault="00F37264" w:rsidP="00F37264"/>
    <w:p w14:paraId="25B36868"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A4A8" w14:textId="77777777" w:rsidR="00D84E54" w:rsidRDefault="00D84E54" w:rsidP="004438C9">
      <w:r>
        <w:separator/>
      </w:r>
    </w:p>
    <w:p w14:paraId="45179D0B" w14:textId="77777777" w:rsidR="00D84E54" w:rsidRDefault="00D84E54"/>
  </w:endnote>
  <w:endnote w:type="continuationSeparator" w:id="0">
    <w:p w14:paraId="680EC7CA" w14:textId="77777777" w:rsidR="00D84E54" w:rsidRDefault="00D84E54" w:rsidP="004438C9">
      <w:r>
        <w:continuationSeparator/>
      </w:r>
    </w:p>
    <w:p w14:paraId="1A138FD7" w14:textId="77777777" w:rsidR="00D84E54" w:rsidRDefault="00D84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4019ADBE" w14:textId="77777777" w:rsidR="00A02FA7" w:rsidRDefault="00A02FA7" w:rsidP="00A02FA7">
        <w:pPr>
          <w:pStyle w:val="Caption"/>
          <w:tabs>
            <w:tab w:val="right" w:pos="9070"/>
          </w:tabs>
        </w:pPr>
      </w:p>
      <w:p w14:paraId="342B1C94" w14:textId="3C9BC30B" w:rsidR="00BD0AF7" w:rsidRPr="00F16B4E" w:rsidRDefault="0045387D" w:rsidP="00A02FA7">
        <w:pPr>
          <w:pStyle w:val="Caption"/>
          <w:tabs>
            <w:tab w:val="right" w:pos="9070"/>
          </w:tabs>
        </w:pPr>
        <w:r>
          <w:t xml:space="preserve">Last </w:t>
        </w:r>
        <w:r w:rsidRPr="00456BC0">
          <w:t xml:space="preserve">review date: </w:t>
        </w:r>
        <w:r w:rsidR="00D84E54">
          <w:t>October 2024</w:t>
        </w:r>
        <w:r w:rsidR="00A02FA7">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74F42956"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595" w14:textId="4DD33B2F" w:rsidR="00A02FA7" w:rsidRPr="00F16B4E" w:rsidRDefault="00A02FA7" w:rsidP="00A02FA7">
    <w:pPr>
      <w:pStyle w:val="Caption"/>
      <w:tabs>
        <w:tab w:val="right" w:pos="9070"/>
      </w:tabs>
    </w:pPr>
    <w:r>
      <w:t xml:space="preserve">Last </w:t>
    </w:r>
    <w:r w:rsidRPr="00456BC0">
      <w:t xml:space="preserve">review date: </w:t>
    </w:r>
    <w:r w:rsidR="00D84E54">
      <w:t>October 2024</w:t>
    </w:r>
    <w:r>
      <w:tab/>
    </w:r>
    <w:r>
      <w:fldChar w:fldCharType="begin"/>
    </w:r>
    <w:r>
      <w:instrText xml:space="preserve"> PAGE   \* MERGEFORMAT </w:instrText>
    </w:r>
    <w:r>
      <w:fldChar w:fldCharType="separate"/>
    </w:r>
    <w:r>
      <w:t>2</w:t>
    </w:r>
    <w:r>
      <w:rPr>
        <w:noProof/>
      </w:rPr>
      <w:fldChar w:fldCharType="end"/>
    </w:r>
  </w:p>
  <w:p w14:paraId="2C421199"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2B41" w14:textId="77777777" w:rsidR="00D84E54" w:rsidRDefault="00D84E54" w:rsidP="004438C9">
      <w:r>
        <w:separator/>
      </w:r>
    </w:p>
    <w:p w14:paraId="50BD55C6" w14:textId="77777777" w:rsidR="00D84E54" w:rsidRDefault="00D84E54"/>
  </w:footnote>
  <w:footnote w:type="continuationSeparator" w:id="0">
    <w:p w14:paraId="5F1FB81E" w14:textId="77777777" w:rsidR="00D84E54" w:rsidRDefault="00D84E54" w:rsidP="004438C9">
      <w:r>
        <w:continuationSeparator/>
      </w:r>
    </w:p>
    <w:p w14:paraId="5EE74A83" w14:textId="77777777" w:rsidR="00D84E54" w:rsidRDefault="00D84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D5A0"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31B71709" wp14:editId="57FB8677">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2A6EAA"/>
    <w:multiLevelType w:val="hybridMultilevel"/>
    <w:tmpl w:val="8870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F77E1"/>
    <w:multiLevelType w:val="hybridMultilevel"/>
    <w:tmpl w:val="76DA2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CC1061"/>
    <w:multiLevelType w:val="hybridMultilevel"/>
    <w:tmpl w:val="3800D1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81305F"/>
    <w:multiLevelType w:val="hybridMultilevel"/>
    <w:tmpl w:val="E6F87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023DA3"/>
    <w:multiLevelType w:val="hybridMultilevel"/>
    <w:tmpl w:val="C0CE5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7305F6"/>
    <w:multiLevelType w:val="hybridMultilevel"/>
    <w:tmpl w:val="D006F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8"/>
  </w:num>
  <w:num w:numId="4" w16cid:durableId="1956597500">
    <w:abstractNumId w:val="5"/>
  </w:num>
  <w:num w:numId="5" w16cid:durableId="303001286">
    <w:abstractNumId w:val="14"/>
  </w:num>
  <w:num w:numId="6" w16cid:durableId="553349720">
    <w:abstractNumId w:val="7"/>
  </w:num>
  <w:num w:numId="7" w16cid:durableId="1048643758">
    <w:abstractNumId w:val="1"/>
  </w:num>
  <w:num w:numId="8" w16cid:durableId="201139373">
    <w:abstractNumId w:val="15"/>
  </w:num>
  <w:num w:numId="9" w16cid:durableId="286158930">
    <w:abstractNumId w:val="0"/>
  </w:num>
  <w:num w:numId="10" w16cid:durableId="43913803">
    <w:abstractNumId w:val="15"/>
  </w:num>
  <w:num w:numId="11" w16cid:durableId="2125879712">
    <w:abstractNumId w:val="2"/>
  </w:num>
  <w:num w:numId="12" w16cid:durableId="1948462496">
    <w:abstractNumId w:val="15"/>
  </w:num>
  <w:num w:numId="13" w16cid:durableId="6912274">
    <w:abstractNumId w:val="19"/>
  </w:num>
  <w:num w:numId="14" w16cid:durableId="1623803603">
    <w:abstractNumId w:val="8"/>
  </w:num>
  <w:num w:numId="15" w16cid:durableId="1591229665">
    <w:abstractNumId w:val="8"/>
  </w:num>
  <w:num w:numId="16" w16cid:durableId="1754278598">
    <w:abstractNumId w:val="3"/>
  </w:num>
  <w:num w:numId="17" w16cid:durableId="212665966">
    <w:abstractNumId w:val="9"/>
  </w:num>
  <w:num w:numId="18" w16cid:durableId="287712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2548321">
    <w:abstractNumId w:val="12"/>
  </w:num>
  <w:num w:numId="20" w16cid:durableId="1890919417">
    <w:abstractNumId w:val="17"/>
  </w:num>
  <w:num w:numId="21" w16cid:durableId="1116753735">
    <w:abstractNumId w:val="13"/>
  </w:num>
  <w:num w:numId="22" w16cid:durableId="645209448">
    <w:abstractNumId w:val="11"/>
  </w:num>
  <w:num w:numId="23" w16cid:durableId="1969318633">
    <w:abstractNumId w:val="10"/>
  </w:num>
  <w:num w:numId="24" w16cid:durableId="15262866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54"/>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387D"/>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D5E21"/>
    <w:rsid w:val="00AE18EF"/>
    <w:rsid w:val="00AF294A"/>
    <w:rsid w:val="00B2209C"/>
    <w:rsid w:val="00B33B13"/>
    <w:rsid w:val="00B67B16"/>
    <w:rsid w:val="00B90D66"/>
    <w:rsid w:val="00B95C38"/>
    <w:rsid w:val="00BD0AF7"/>
    <w:rsid w:val="00BF7B04"/>
    <w:rsid w:val="00C03F27"/>
    <w:rsid w:val="00C21818"/>
    <w:rsid w:val="00CB2738"/>
    <w:rsid w:val="00CC4A79"/>
    <w:rsid w:val="00CF3CBC"/>
    <w:rsid w:val="00D00E2A"/>
    <w:rsid w:val="00D06F8C"/>
    <w:rsid w:val="00D40F47"/>
    <w:rsid w:val="00D84E54"/>
    <w:rsid w:val="00DA6B55"/>
    <w:rsid w:val="00DC1ABA"/>
    <w:rsid w:val="00DD0D3B"/>
    <w:rsid w:val="00DF363A"/>
    <w:rsid w:val="00E051F2"/>
    <w:rsid w:val="00E169C2"/>
    <w:rsid w:val="00E4377B"/>
    <w:rsid w:val="00E563CC"/>
    <w:rsid w:val="00E65FE5"/>
    <w:rsid w:val="00E7785D"/>
    <w:rsid w:val="00E8491A"/>
    <w:rsid w:val="00EA6623"/>
    <w:rsid w:val="00EA6A91"/>
    <w:rsid w:val="00ED04B3"/>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9C03"/>
  <w15:chartTrackingRefBased/>
  <w15:docId w15:val="{E0D06A83-8B94-4688-BBB7-C2D04050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i\AppData\Local\Microsoft\Windows\INetCache\Content.Outlook\A89XDLRC\Senior%20Finance%20Officer%20SOD%20Aug%202024%20(002).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Senior Finance Officer SOD Aug 2024 (002).dotx</Template>
  <TotalTime>14</TotalTime>
  <Pages>3</Pages>
  <Words>813</Words>
  <Characters>4748</Characters>
  <Application>Microsoft Office Word</Application>
  <DocSecurity>0</DocSecurity>
  <Lines>153</Lines>
  <Paragraphs>109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Rachel</dc:creator>
  <cp:keywords/>
  <dc:description/>
  <cp:lastModifiedBy>Klonaris, Marianna</cp:lastModifiedBy>
  <cp:revision>4</cp:revision>
  <dcterms:created xsi:type="dcterms:W3CDTF">2024-10-30T00:31:00Z</dcterms:created>
  <dcterms:modified xsi:type="dcterms:W3CDTF">2024-10-30T01:07:00Z</dcterms:modified>
</cp:coreProperties>
</file>