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31DCCA59" w14:textId="77777777" w:rsidR="00AB3DFE" w:rsidRDefault="002A0C2C" w:rsidP="002A0C2C">
      <w:pPr>
        <w:rPr>
          <w:szCs w:val="24"/>
        </w:rPr>
      </w:pPr>
      <w:r w:rsidRPr="00ED325E">
        <w:rPr>
          <w:b/>
          <w:bCs/>
          <w:szCs w:val="24"/>
        </w:rPr>
        <w:t xml:space="preserve">Position </w:t>
      </w:r>
      <w:r w:rsidR="00ED325E">
        <w:rPr>
          <w:b/>
          <w:bCs/>
          <w:szCs w:val="24"/>
        </w:rPr>
        <w:t>t</w:t>
      </w:r>
      <w:r w:rsidRPr="00ED325E">
        <w:rPr>
          <w:b/>
          <w:bCs/>
          <w:szCs w:val="24"/>
        </w:rPr>
        <w:t>itle</w:t>
      </w:r>
      <w:r w:rsidR="00AC157D">
        <w:rPr>
          <w:b/>
          <w:bCs/>
          <w:szCs w:val="24"/>
        </w:rPr>
        <w:tab/>
      </w:r>
      <w:r w:rsidR="00AC157D">
        <w:rPr>
          <w:b/>
          <w:bCs/>
          <w:szCs w:val="24"/>
        </w:rPr>
        <w:tab/>
      </w:r>
      <w:r w:rsidR="00AC157D">
        <w:rPr>
          <w:b/>
          <w:bCs/>
          <w:szCs w:val="24"/>
        </w:rPr>
        <w:tab/>
      </w:r>
      <w:r w:rsidR="00AC157D">
        <w:rPr>
          <w:b/>
          <w:bCs/>
          <w:szCs w:val="24"/>
        </w:rPr>
        <w:tab/>
      </w:r>
      <w:r w:rsidR="00AB3DFE" w:rsidRPr="00AB3DFE">
        <w:rPr>
          <w:szCs w:val="24"/>
        </w:rPr>
        <w:t xml:space="preserve">Specialist, Workers Compensation and Injury </w:t>
      </w:r>
    </w:p>
    <w:p w14:paraId="2360C654" w14:textId="6AC4D71F" w:rsidR="002A0C2C" w:rsidRPr="00660A0B" w:rsidRDefault="00AB3DFE" w:rsidP="002A0C2C">
      <w:pPr>
        <w:rPr>
          <w:szCs w:val="24"/>
        </w:rPr>
      </w:pPr>
      <w:r>
        <w:rPr>
          <w:szCs w:val="24"/>
        </w:rPr>
        <w:tab/>
      </w:r>
      <w:r>
        <w:rPr>
          <w:szCs w:val="24"/>
        </w:rPr>
        <w:tab/>
      </w:r>
      <w:r>
        <w:rPr>
          <w:szCs w:val="24"/>
        </w:rPr>
        <w:tab/>
      </w:r>
      <w:r>
        <w:rPr>
          <w:szCs w:val="24"/>
        </w:rPr>
        <w:tab/>
      </w:r>
      <w:r w:rsidRPr="00AB3DFE">
        <w:rPr>
          <w:szCs w:val="24"/>
        </w:rPr>
        <w:t>Management</w:t>
      </w:r>
    </w:p>
    <w:p w14:paraId="4EE9F67F" w14:textId="6EF9299F"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AB3DFE">
        <w:rPr>
          <w:rFonts w:cs="Arial"/>
          <w:szCs w:val="24"/>
        </w:rPr>
        <w:t>707777</w:t>
      </w:r>
    </w:p>
    <w:p w14:paraId="74261B12" w14:textId="77777777" w:rsidR="00AB3DFE" w:rsidRDefault="00ED325E" w:rsidP="00ED325E">
      <w:pPr>
        <w:tabs>
          <w:tab w:val="clear" w:pos="2835"/>
          <w:tab w:val="left" w:pos="3261"/>
        </w:tabs>
        <w:spacing w:line="240" w:lineRule="auto"/>
        <w:rPr>
          <w:rStyle w:val="Heading3Char"/>
          <w:b w:val="0"/>
          <w:bCs/>
          <w:szCs w:val="24"/>
        </w:rPr>
      </w:pPr>
      <w:r w:rsidRPr="00ED325E">
        <w:rPr>
          <w:rStyle w:val="Heading3Char"/>
          <w:szCs w:val="24"/>
        </w:rPr>
        <w:t>Division/Business Unit/Branch</w:t>
      </w:r>
      <w:r w:rsidR="00AC157D">
        <w:rPr>
          <w:rStyle w:val="Heading3Char"/>
          <w:szCs w:val="24"/>
        </w:rPr>
        <w:tab/>
      </w:r>
      <w:r w:rsidR="00AC157D">
        <w:rPr>
          <w:rStyle w:val="Heading3Char"/>
          <w:szCs w:val="24"/>
        </w:rPr>
        <w:tab/>
      </w:r>
      <w:r w:rsidR="00AB3DFE" w:rsidRPr="00AB3DFE">
        <w:rPr>
          <w:rStyle w:val="Heading3Char"/>
          <w:b w:val="0"/>
          <w:bCs/>
          <w:szCs w:val="24"/>
        </w:rPr>
        <w:t xml:space="preserve">Strategy &amp; Business Services/ People &amp; Culture/ </w:t>
      </w:r>
    </w:p>
    <w:p w14:paraId="0AB671D4" w14:textId="1AD07E6F" w:rsidR="00ED325E" w:rsidRPr="00ED325E" w:rsidRDefault="00AB3DFE" w:rsidP="00ED325E">
      <w:pPr>
        <w:tabs>
          <w:tab w:val="clear" w:pos="2835"/>
          <w:tab w:val="left" w:pos="3261"/>
        </w:tabs>
        <w:spacing w:line="240" w:lineRule="auto"/>
        <w:rPr>
          <w:szCs w:val="24"/>
        </w:rPr>
      </w:pPr>
      <w:r>
        <w:rPr>
          <w:rStyle w:val="Heading3Char"/>
          <w:b w:val="0"/>
          <w:bCs/>
          <w:szCs w:val="24"/>
        </w:rPr>
        <w:tab/>
      </w:r>
      <w:r>
        <w:rPr>
          <w:rStyle w:val="Heading3Char"/>
          <w:b w:val="0"/>
          <w:bCs/>
          <w:szCs w:val="24"/>
        </w:rPr>
        <w:tab/>
      </w:r>
      <w:r>
        <w:rPr>
          <w:rStyle w:val="Heading3Char"/>
          <w:b w:val="0"/>
          <w:bCs/>
          <w:szCs w:val="24"/>
        </w:rPr>
        <w:tab/>
      </w:r>
      <w:r w:rsidRPr="00AB3DFE">
        <w:rPr>
          <w:rStyle w:val="Heading3Char"/>
          <w:b w:val="0"/>
          <w:bCs/>
          <w:szCs w:val="24"/>
        </w:rPr>
        <w:t>Relationship Management</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77777777"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General Stream, Band 6</w:t>
      </w:r>
    </w:p>
    <w:p w14:paraId="43FE5591" w14:textId="10CCE779"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proofErr w:type="gramStart"/>
      <w:r w:rsidR="00AB3DFE">
        <w:rPr>
          <w:szCs w:val="24"/>
        </w:rPr>
        <w:t>F</w:t>
      </w:r>
      <w:r w:rsidRPr="00ED325E">
        <w:rPr>
          <w:szCs w:val="24"/>
        </w:rPr>
        <w:t>ixed-term</w:t>
      </w:r>
      <w:proofErr w:type="gramEnd"/>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74355D17"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AB3DFE">
        <w:t xml:space="preserve">Hobart, </w:t>
      </w:r>
      <w:proofErr w:type="gramStart"/>
      <w:r w:rsidR="00AB3DFE">
        <w:t>Launceston</w:t>
      </w:r>
      <w:proofErr w:type="gramEnd"/>
      <w:r w:rsidR="00AB3DFE">
        <w:t xml:space="preserve"> or Devonport</w:t>
      </w:r>
      <w:r w:rsidR="00B66A42" w:rsidRPr="00ED325E">
        <w:rPr>
          <w:szCs w:val="24"/>
        </w:rPr>
        <w:tab/>
      </w:r>
      <w:r w:rsidR="00B66A42" w:rsidRPr="00ED325E">
        <w:rPr>
          <w:szCs w:val="24"/>
        </w:rPr>
        <w:tab/>
      </w:r>
    </w:p>
    <w:p w14:paraId="28E31F1A" w14:textId="5B83322B" w:rsidR="00A27736" w:rsidRDefault="00ED325E" w:rsidP="000F204A">
      <w:pPr>
        <w:tabs>
          <w:tab w:val="clear" w:pos="2835"/>
          <w:tab w:val="left" w:pos="3261"/>
        </w:tabs>
        <w:spacing w:after="480" w:line="240" w:lineRule="auto"/>
        <w:rPr>
          <w:rStyle w:val="Heading3Char"/>
          <w:szCs w:val="24"/>
        </w:rPr>
      </w:pPr>
      <w:r>
        <w:rPr>
          <w:rStyle w:val="Heading3Char"/>
          <w:szCs w:val="24"/>
        </w:rPr>
        <w:t>Report</w:t>
      </w:r>
      <w:r w:rsidR="00AC157D">
        <w:rPr>
          <w:rStyle w:val="Heading3Char"/>
          <w:szCs w:val="24"/>
        </w:rPr>
        <w:t>s</w:t>
      </w:r>
      <w:r>
        <w:rPr>
          <w:rStyle w:val="Heading3Char"/>
          <w:szCs w:val="24"/>
        </w:rPr>
        <w:t xml:space="preserve"> to</w:t>
      </w:r>
      <w:r w:rsidR="003B0B94">
        <w:rPr>
          <w:rStyle w:val="Heading3Char"/>
          <w:szCs w:val="24"/>
        </w:rPr>
        <w:tab/>
      </w:r>
      <w:r w:rsidR="003B0B94">
        <w:rPr>
          <w:rStyle w:val="Heading3Char"/>
          <w:szCs w:val="24"/>
        </w:rPr>
        <w:tab/>
      </w:r>
      <w:r w:rsidR="003B0B94">
        <w:rPr>
          <w:rStyle w:val="Heading3Char"/>
          <w:szCs w:val="24"/>
        </w:rPr>
        <w:tab/>
      </w:r>
      <w:r w:rsidR="00AB3DFE">
        <w:t>Manager, Relationship Management</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1C64ED1B" w14:textId="77777777" w:rsidR="00AB3DFE" w:rsidRPr="0074536C" w:rsidRDefault="00AB3DFE" w:rsidP="00AB3DFE">
      <w:pPr>
        <w:pStyle w:val="NormalWeb"/>
        <w:spacing w:before="0" w:beforeAutospacing="0" w:after="0" w:afterAutospacing="0"/>
        <w:jc w:val="both"/>
        <w:rPr>
          <w:rFonts w:ascii="Gill Sans MT" w:hAnsi="Gill Sans MT" w:cs="Arial"/>
        </w:rPr>
      </w:pPr>
      <w:r w:rsidRPr="003A3F90">
        <w:rPr>
          <w:rFonts w:ascii="Gill Sans MT" w:hAnsi="Gill Sans MT" w:cs="Arial"/>
        </w:rPr>
        <w:t>The purpose of the role is to</w:t>
      </w:r>
      <w:r>
        <w:rPr>
          <w:rFonts w:ascii="Gill Sans MT" w:hAnsi="Gill Sans MT" w:cs="Arial"/>
        </w:rPr>
        <w:t xml:space="preserve"> </w:t>
      </w:r>
      <w:r w:rsidRPr="0074536C">
        <w:rPr>
          <w:rFonts w:ascii="Gill Sans MT" w:hAnsi="Gill Sans MT" w:cs="Arial"/>
        </w:rPr>
        <w:t>ensure effective case management of workers compensation claims and non-compensable injury management in accordance with legislation, the Department’s Injury Management Plan and any applicable policies and guidelines.</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51389D4A" w14:textId="77777777" w:rsidR="00AB3DFE" w:rsidRDefault="00AB3DFE" w:rsidP="00AB3DFE">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A3F90">
        <w:rPr>
          <w:rFonts w:cs="Arial"/>
          <w:szCs w:val="24"/>
        </w:rPr>
        <w:t xml:space="preserve">Deliver and provide support in relation to all injury management and return to work requirements in accordance with the Department’s Injury Management Program and any other relevant legislation, </w:t>
      </w:r>
      <w:proofErr w:type="gramStart"/>
      <w:r w:rsidRPr="003A3F90">
        <w:rPr>
          <w:rFonts w:cs="Arial"/>
          <w:szCs w:val="24"/>
        </w:rPr>
        <w:t>policies</w:t>
      </w:r>
      <w:proofErr w:type="gramEnd"/>
      <w:r w:rsidRPr="003A3F90">
        <w:rPr>
          <w:rFonts w:cs="Arial"/>
          <w:szCs w:val="24"/>
        </w:rPr>
        <w:t xml:space="preserve"> and guidelines</w:t>
      </w:r>
      <w:r>
        <w:rPr>
          <w:rFonts w:cs="Arial"/>
          <w:szCs w:val="24"/>
        </w:rPr>
        <w:t>.</w:t>
      </w:r>
    </w:p>
    <w:p w14:paraId="03F6F288" w14:textId="77777777" w:rsidR="00AB3DFE" w:rsidRPr="003A3F90" w:rsidRDefault="00AB3DFE" w:rsidP="00AB3DFE">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A3F90">
        <w:rPr>
          <w:rFonts w:cs="Arial"/>
          <w:szCs w:val="24"/>
        </w:rPr>
        <w:t xml:space="preserve">Provide authoritative advice on the management of the Department’s workers compensation claims, non-compensable injury management, and return to work management in line with relevant legislation, </w:t>
      </w:r>
      <w:proofErr w:type="gramStart"/>
      <w:r w:rsidRPr="003A3F90">
        <w:rPr>
          <w:rFonts w:cs="Arial"/>
          <w:szCs w:val="24"/>
        </w:rPr>
        <w:t>policies</w:t>
      </w:r>
      <w:proofErr w:type="gramEnd"/>
      <w:r w:rsidRPr="003A3F90">
        <w:rPr>
          <w:rFonts w:cs="Arial"/>
          <w:szCs w:val="24"/>
        </w:rPr>
        <w:t xml:space="preserve"> and guidelines.</w:t>
      </w:r>
    </w:p>
    <w:p w14:paraId="33C30C4C" w14:textId="77777777" w:rsidR="00AB3DFE" w:rsidRPr="003A3F90" w:rsidRDefault="00AB3DFE" w:rsidP="00AB3DFE">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A3F90">
        <w:rPr>
          <w:rFonts w:cs="Arial"/>
          <w:szCs w:val="24"/>
        </w:rPr>
        <w:t>Research, analyse and evaluate the Department’s Injury Management Program to identify, develop and implement contemporary workers compensation and non-</w:t>
      </w:r>
      <w:r>
        <w:rPr>
          <w:rFonts w:cs="Arial"/>
          <w:szCs w:val="24"/>
        </w:rPr>
        <w:t>compensable</w:t>
      </w:r>
      <w:r w:rsidRPr="003A3F90">
        <w:rPr>
          <w:rFonts w:cs="Arial"/>
          <w:szCs w:val="24"/>
        </w:rPr>
        <w:t xml:space="preserve"> injury management policies, practices, </w:t>
      </w:r>
      <w:proofErr w:type="gramStart"/>
      <w:r w:rsidRPr="003A3F90">
        <w:rPr>
          <w:rFonts w:cs="Arial"/>
          <w:szCs w:val="24"/>
        </w:rPr>
        <w:t>processes</w:t>
      </w:r>
      <w:proofErr w:type="gramEnd"/>
      <w:r w:rsidRPr="003A3F90">
        <w:rPr>
          <w:rFonts w:cs="Arial"/>
          <w:szCs w:val="24"/>
        </w:rPr>
        <w:t xml:space="preserve"> and systems which meet operational and service delivery requirements and are in line with relevant legislation.</w:t>
      </w:r>
    </w:p>
    <w:p w14:paraId="5CBB7E9F" w14:textId="77777777" w:rsidR="00AB3DFE" w:rsidRPr="003A3F90" w:rsidRDefault="00AB3DFE" w:rsidP="00AB3DFE">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A3F90">
        <w:rPr>
          <w:rFonts w:cs="Arial"/>
          <w:szCs w:val="24"/>
        </w:rPr>
        <w:t>Evaluate and assess workers compensation claims and provide advice on liability within statutory tim</w:t>
      </w:r>
      <w:r>
        <w:rPr>
          <w:rFonts w:cs="Arial"/>
          <w:szCs w:val="24"/>
        </w:rPr>
        <w:t>e</w:t>
      </w:r>
      <w:r w:rsidRPr="003A3F90">
        <w:rPr>
          <w:rFonts w:cs="Arial"/>
          <w:szCs w:val="24"/>
        </w:rPr>
        <w:t>frames.</w:t>
      </w:r>
    </w:p>
    <w:p w14:paraId="1FF590C0" w14:textId="77777777" w:rsidR="00AB3DFE" w:rsidRPr="003A3F90" w:rsidRDefault="00AB3DFE" w:rsidP="00AB3DFE">
      <w:pPr>
        <w:numPr>
          <w:ilvl w:val="0"/>
          <w:numId w:val="5"/>
        </w:numPr>
        <w:tabs>
          <w:tab w:val="clear" w:pos="2835"/>
        </w:tabs>
        <w:spacing w:after="0" w:line="240" w:lineRule="auto"/>
        <w:jc w:val="both"/>
        <w:rPr>
          <w:szCs w:val="24"/>
        </w:rPr>
      </w:pPr>
      <w:r w:rsidRPr="003A3F90">
        <w:rPr>
          <w:rFonts w:cs="Arial"/>
          <w:szCs w:val="24"/>
        </w:rPr>
        <w:t>Establish and maintain effective working relationships and liaise with key stakeholders including</w:t>
      </w:r>
      <w:r>
        <w:rPr>
          <w:rFonts w:cs="Arial"/>
          <w:szCs w:val="24"/>
        </w:rPr>
        <w:t xml:space="preserve">, </w:t>
      </w:r>
      <w:r w:rsidRPr="003A3F90">
        <w:rPr>
          <w:szCs w:val="24"/>
        </w:rPr>
        <w:t>the Tasmanian State Service Workers Compensation Fund Administration Agent</w:t>
      </w:r>
      <w:r>
        <w:rPr>
          <w:szCs w:val="24"/>
        </w:rPr>
        <w:t xml:space="preserve">, </w:t>
      </w:r>
      <w:r w:rsidRPr="003A3F90">
        <w:rPr>
          <w:szCs w:val="24"/>
        </w:rPr>
        <w:t>injured workers, senior management, workplaces, medical providers, workplace rehabilitation and other relevant service providers.</w:t>
      </w:r>
    </w:p>
    <w:p w14:paraId="2ABEDA50" w14:textId="77777777" w:rsidR="00AB3DFE" w:rsidRPr="003A3F90" w:rsidRDefault="00AB3DFE" w:rsidP="00AB3DFE">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A3F90">
        <w:rPr>
          <w:rFonts w:cs="Arial"/>
          <w:szCs w:val="24"/>
        </w:rPr>
        <w:lastRenderedPageBreak/>
        <w:t>Promote positive injury management outcomes and timely return to work processes through adapting a flexible and strategic approach to the management of compensable and non-compensable cases.</w:t>
      </w:r>
    </w:p>
    <w:p w14:paraId="76C9EA41" w14:textId="77777777" w:rsidR="00AB3DFE" w:rsidRPr="003A3F90" w:rsidRDefault="00AB3DFE" w:rsidP="00AB3DFE">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A3F90">
        <w:rPr>
          <w:rFonts w:cs="Arial"/>
          <w:szCs w:val="24"/>
        </w:rPr>
        <w:t xml:space="preserve">Maintain a current knowledge of regulations, </w:t>
      </w:r>
      <w:proofErr w:type="gramStart"/>
      <w:r w:rsidRPr="003A3F90">
        <w:rPr>
          <w:rFonts w:cs="Arial"/>
          <w:szCs w:val="24"/>
        </w:rPr>
        <w:t>legislation</w:t>
      </w:r>
      <w:proofErr w:type="gramEnd"/>
      <w:r w:rsidRPr="003A3F90">
        <w:rPr>
          <w:rFonts w:cs="Arial"/>
          <w:szCs w:val="24"/>
        </w:rPr>
        <w:t xml:space="preserve"> and practice relevant to workers compensation and non-compensable injury management.</w:t>
      </w:r>
    </w:p>
    <w:p w14:paraId="3B2CAC7C" w14:textId="77777777" w:rsidR="00AB3DFE" w:rsidRPr="003A3F90" w:rsidRDefault="00AB3DFE" w:rsidP="00AB3DFE">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A3F90">
        <w:rPr>
          <w:rFonts w:cs="Arial"/>
          <w:szCs w:val="24"/>
        </w:rPr>
        <w:t>Provide high level reports on workers compensation claims and injury management statistics, including the provision of contemporary information and guidance on emerging workers compensation issues.</w:t>
      </w:r>
    </w:p>
    <w:p w14:paraId="3BE1E80A" w14:textId="77777777" w:rsidR="00AB3DFE" w:rsidRPr="003A3F90" w:rsidRDefault="00AB3DFE" w:rsidP="00AB3DFE">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A3F90">
        <w:rPr>
          <w:rFonts w:cs="Arial"/>
          <w:szCs w:val="24"/>
        </w:rPr>
        <w:t xml:space="preserve">On behalf of the Department liaise with, </w:t>
      </w:r>
      <w:proofErr w:type="gramStart"/>
      <w:r w:rsidRPr="003A3F90">
        <w:rPr>
          <w:rFonts w:cs="Arial"/>
          <w:szCs w:val="24"/>
        </w:rPr>
        <w:t>support</w:t>
      </w:r>
      <w:proofErr w:type="gramEnd"/>
      <w:r w:rsidRPr="003A3F90">
        <w:rPr>
          <w:rFonts w:cs="Arial"/>
          <w:szCs w:val="24"/>
        </w:rPr>
        <w:t xml:space="preserve"> and instruct the Office of the Solicitor-General in Workers Rehabilitation and Compensation Tribunal matters.</w:t>
      </w:r>
    </w:p>
    <w:p w14:paraId="648F9D0D" w14:textId="77777777" w:rsidR="00AB3DFE" w:rsidRPr="00A40BA6" w:rsidRDefault="00AB3DFE" w:rsidP="00AB3DFE">
      <w:pPr>
        <w:numPr>
          <w:ilvl w:val="0"/>
          <w:numId w:val="5"/>
        </w:numPr>
        <w:tabs>
          <w:tab w:val="clear" w:pos="2835"/>
          <w:tab w:val="left" w:pos="2977"/>
          <w:tab w:val="left" w:pos="3686"/>
          <w:tab w:val="left" w:pos="5103"/>
          <w:tab w:val="left" w:pos="5812"/>
          <w:tab w:val="left" w:pos="7088"/>
        </w:tabs>
        <w:spacing w:line="240" w:lineRule="auto"/>
        <w:jc w:val="both"/>
        <w:rPr>
          <w:rFonts w:cs="Arial"/>
          <w:szCs w:val="24"/>
        </w:rPr>
      </w:pPr>
      <w:r w:rsidRPr="003A3F90">
        <w:rPr>
          <w:rFonts w:cs="Arial"/>
          <w:szCs w:val="24"/>
        </w:rPr>
        <w:t>Lead, instruct and guide less qualified or experienced team members.  As a senior member of the team, you will influence skill development and performance of less experienced employees.</w:t>
      </w:r>
    </w:p>
    <w:p w14:paraId="28E31F25" w14:textId="1892DC29"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0EE12711" w14:textId="77777777" w:rsidR="00AB3DFE" w:rsidRPr="003A3F90" w:rsidRDefault="00AB3DFE" w:rsidP="00AB3DFE">
      <w:pPr>
        <w:spacing w:before="60" w:line="240" w:lineRule="auto"/>
        <w:jc w:val="both"/>
        <w:rPr>
          <w:rFonts w:cs="Arial"/>
          <w:szCs w:val="24"/>
        </w:rPr>
      </w:pPr>
      <w:r w:rsidRPr="003A3F90">
        <w:rPr>
          <w:rFonts w:cs="Arial"/>
          <w:szCs w:val="24"/>
        </w:rPr>
        <w:t>The occupant of the position is responsible for:</w:t>
      </w:r>
    </w:p>
    <w:p w14:paraId="6EA4828D" w14:textId="77777777" w:rsidR="00AB3DFE" w:rsidRPr="003A3F90" w:rsidRDefault="00AB3DFE" w:rsidP="00AB3DFE">
      <w:pPr>
        <w:pStyle w:val="ListParagraph"/>
        <w:numPr>
          <w:ilvl w:val="0"/>
          <w:numId w:val="2"/>
        </w:numPr>
        <w:spacing w:line="240" w:lineRule="auto"/>
        <w:ind w:left="357" w:hanging="357"/>
        <w:contextualSpacing w:val="0"/>
        <w:jc w:val="both"/>
        <w:rPr>
          <w:rFonts w:cs="Arial"/>
          <w:bCs/>
          <w:color w:val="000000"/>
          <w:szCs w:val="24"/>
        </w:rPr>
      </w:pPr>
      <w:r w:rsidRPr="003A3F90">
        <w:rPr>
          <w:rFonts w:cs="Arial"/>
          <w:bCs/>
          <w:color w:val="000000"/>
          <w:szCs w:val="24"/>
        </w:rPr>
        <w:t xml:space="preserve">implementing policies, regulations and plans to provide efficient and effective program or service delivery </w:t>
      </w:r>
      <w:proofErr w:type="gramStart"/>
      <w:r w:rsidRPr="003A3F90">
        <w:rPr>
          <w:rFonts w:cs="Arial"/>
          <w:bCs/>
          <w:color w:val="000000"/>
          <w:szCs w:val="24"/>
        </w:rPr>
        <w:t>outcomes;</w:t>
      </w:r>
      <w:proofErr w:type="gramEnd"/>
    </w:p>
    <w:p w14:paraId="38315116" w14:textId="77777777" w:rsidR="00AB3DFE" w:rsidRPr="003A3F90" w:rsidRDefault="00AB3DFE" w:rsidP="00AB3DFE">
      <w:pPr>
        <w:pStyle w:val="ListParagraph"/>
        <w:numPr>
          <w:ilvl w:val="0"/>
          <w:numId w:val="2"/>
        </w:numPr>
        <w:spacing w:line="240" w:lineRule="auto"/>
        <w:ind w:left="357" w:hanging="357"/>
        <w:contextualSpacing w:val="0"/>
        <w:jc w:val="both"/>
        <w:rPr>
          <w:rFonts w:cs="Arial"/>
          <w:bCs/>
          <w:color w:val="000000"/>
          <w:szCs w:val="24"/>
        </w:rPr>
      </w:pPr>
      <w:r w:rsidRPr="003A3F90">
        <w:rPr>
          <w:rFonts w:cs="Arial"/>
          <w:bCs/>
          <w:color w:val="000000"/>
          <w:szCs w:val="24"/>
        </w:rPr>
        <w:t xml:space="preserve">management and/or quality control of outcomes, processes, systems, resources, </w:t>
      </w:r>
      <w:proofErr w:type="gramStart"/>
      <w:r w:rsidRPr="003A3F90">
        <w:rPr>
          <w:rFonts w:cs="Arial"/>
          <w:bCs/>
          <w:color w:val="000000"/>
          <w:szCs w:val="24"/>
        </w:rPr>
        <w:t>assets</w:t>
      </w:r>
      <w:proofErr w:type="gramEnd"/>
      <w:r w:rsidRPr="003A3F90">
        <w:rPr>
          <w:rFonts w:cs="Arial"/>
          <w:bCs/>
          <w:color w:val="000000"/>
          <w:szCs w:val="24"/>
        </w:rPr>
        <w:t xml:space="preserve"> and infrastructure.  This includes managing the performance of subordinate </w:t>
      </w:r>
      <w:proofErr w:type="gramStart"/>
      <w:r w:rsidRPr="003A3F90">
        <w:rPr>
          <w:rFonts w:cs="Arial"/>
          <w:bCs/>
          <w:color w:val="000000"/>
          <w:szCs w:val="24"/>
        </w:rPr>
        <w:t>staff;</w:t>
      </w:r>
      <w:proofErr w:type="gramEnd"/>
    </w:p>
    <w:p w14:paraId="57008831" w14:textId="77777777" w:rsidR="00AB3DFE" w:rsidRPr="003A3F90" w:rsidRDefault="00AB3DFE" w:rsidP="00AB3DFE">
      <w:pPr>
        <w:pStyle w:val="ListParagraph"/>
        <w:numPr>
          <w:ilvl w:val="0"/>
          <w:numId w:val="2"/>
        </w:numPr>
        <w:spacing w:line="240" w:lineRule="auto"/>
        <w:ind w:left="357" w:hanging="357"/>
        <w:contextualSpacing w:val="0"/>
        <w:jc w:val="both"/>
        <w:rPr>
          <w:rFonts w:cs="Arial"/>
          <w:bCs/>
          <w:color w:val="000000"/>
          <w:szCs w:val="24"/>
        </w:rPr>
      </w:pPr>
      <w:r w:rsidRPr="003A3F90">
        <w:rPr>
          <w:rFonts w:cs="Arial"/>
          <w:bCs/>
          <w:color w:val="000000"/>
          <w:szCs w:val="24"/>
        </w:rPr>
        <w:t>providing advice on the application of policy to systems and processes in meeting specified program objectives; and</w:t>
      </w:r>
    </w:p>
    <w:p w14:paraId="4A75996A" w14:textId="77777777" w:rsidR="00AB3DFE" w:rsidRPr="003A3F90" w:rsidRDefault="00AB3DFE" w:rsidP="00AB3DFE">
      <w:pPr>
        <w:pStyle w:val="ListParagraph"/>
        <w:numPr>
          <w:ilvl w:val="0"/>
          <w:numId w:val="2"/>
        </w:numPr>
        <w:spacing w:line="240" w:lineRule="auto"/>
        <w:ind w:left="357" w:hanging="357"/>
        <w:contextualSpacing w:val="0"/>
        <w:jc w:val="both"/>
        <w:rPr>
          <w:rFonts w:cs="Arial"/>
          <w:bCs/>
          <w:color w:val="000000"/>
          <w:szCs w:val="24"/>
        </w:rPr>
      </w:pPr>
      <w:r w:rsidRPr="003A3F90">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14:paraId="1C8B5AA4" w14:textId="77777777" w:rsidR="00AB3DFE" w:rsidRPr="003A3F90" w:rsidRDefault="00AB3DFE" w:rsidP="00AB3DFE">
      <w:pPr>
        <w:widowControl w:val="0"/>
        <w:spacing w:before="240" w:after="0" w:line="240" w:lineRule="auto"/>
        <w:jc w:val="both"/>
        <w:rPr>
          <w:color w:val="000000"/>
          <w:szCs w:val="24"/>
        </w:rPr>
      </w:pPr>
      <w:r w:rsidRPr="003A3F90">
        <w:rPr>
          <w:color w:val="000000"/>
          <w:szCs w:val="24"/>
        </w:rPr>
        <w:t>The decision making and direction received in relation to the role are that:</w:t>
      </w:r>
    </w:p>
    <w:p w14:paraId="292104F8" w14:textId="77777777" w:rsidR="00AB3DFE" w:rsidRPr="003A3F90" w:rsidRDefault="00AB3DFE" w:rsidP="00AB3DFE">
      <w:pPr>
        <w:pStyle w:val="ListParagraph"/>
        <w:widowControl w:val="0"/>
        <w:numPr>
          <w:ilvl w:val="0"/>
          <w:numId w:val="6"/>
        </w:numPr>
        <w:spacing w:line="240" w:lineRule="auto"/>
        <w:ind w:left="357" w:hanging="357"/>
        <w:contextualSpacing w:val="0"/>
        <w:jc w:val="both"/>
        <w:rPr>
          <w:color w:val="000000"/>
          <w:szCs w:val="24"/>
        </w:rPr>
      </w:pPr>
      <w:r w:rsidRPr="003A3F90">
        <w:rPr>
          <w:color w:val="000000"/>
          <w:szCs w:val="24"/>
        </w:rPr>
        <w:t xml:space="preserve">guidance and instruction may on occasion be received on the implementation of modifications consistent with policy, regulatory and/or technological requirements and </w:t>
      </w:r>
      <w:proofErr w:type="gramStart"/>
      <w:r w:rsidRPr="003A3F90">
        <w:rPr>
          <w:color w:val="000000"/>
          <w:szCs w:val="24"/>
        </w:rPr>
        <w:t>developments;</w:t>
      </w:r>
      <w:proofErr w:type="gramEnd"/>
    </w:p>
    <w:p w14:paraId="72C86B31" w14:textId="77777777" w:rsidR="00AB3DFE" w:rsidRPr="003A3F90" w:rsidRDefault="00AB3DFE" w:rsidP="00AB3DFE">
      <w:pPr>
        <w:pStyle w:val="ListParagraph"/>
        <w:widowControl w:val="0"/>
        <w:numPr>
          <w:ilvl w:val="0"/>
          <w:numId w:val="6"/>
        </w:numPr>
        <w:spacing w:line="240" w:lineRule="auto"/>
        <w:ind w:left="357" w:hanging="357"/>
        <w:contextualSpacing w:val="0"/>
        <w:jc w:val="both"/>
        <w:rPr>
          <w:color w:val="000000"/>
          <w:szCs w:val="24"/>
        </w:rPr>
      </w:pPr>
      <w:r w:rsidRPr="003A3F90">
        <w:rPr>
          <w:color w:val="000000"/>
          <w:szCs w:val="24"/>
        </w:rPr>
        <w:t xml:space="preserve">the occupant operates with considerable independence in determining priorities, </w:t>
      </w:r>
      <w:proofErr w:type="gramStart"/>
      <w:r w:rsidRPr="003A3F90">
        <w:rPr>
          <w:color w:val="000000"/>
          <w:szCs w:val="24"/>
        </w:rPr>
        <w:t>procedures</w:t>
      </w:r>
      <w:proofErr w:type="gramEnd"/>
      <w:r w:rsidRPr="003A3F90">
        <w:rPr>
          <w:color w:val="000000"/>
          <w:szCs w:val="24"/>
        </w:rPr>
        <w:t xml:space="preserve"> and approach in implementing policies, plans, systems and procedures in a complex specialised environment; and</w:t>
      </w:r>
    </w:p>
    <w:p w14:paraId="0DC5337C" w14:textId="77777777" w:rsidR="00AB3DFE" w:rsidRPr="003A3F90" w:rsidRDefault="00AB3DFE" w:rsidP="00AB3DFE">
      <w:pPr>
        <w:pStyle w:val="ListParagraph"/>
        <w:widowControl w:val="0"/>
        <w:numPr>
          <w:ilvl w:val="0"/>
          <w:numId w:val="6"/>
        </w:numPr>
        <w:spacing w:after="240" w:line="240" w:lineRule="auto"/>
        <w:ind w:left="357" w:hanging="357"/>
        <w:contextualSpacing w:val="0"/>
        <w:jc w:val="both"/>
        <w:rPr>
          <w:color w:val="000000"/>
          <w:szCs w:val="24"/>
        </w:rPr>
      </w:pPr>
      <w:r w:rsidRPr="003A3F90">
        <w:rPr>
          <w:color w:val="000000"/>
          <w:szCs w:val="24"/>
        </w:rPr>
        <w:t>work of a highly technically complex nature or with a varied range of activities may receive instruction and/or provide innovative solutions to meet program or service delivery outcomes.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2D0B5E7E" w14:textId="77777777" w:rsidR="00AB3DFE" w:rsidRPr="003A3F90" w:rsidRDefault="00AB3DFE" w:rsidP="00AB3DFE">
      <w:pPr>
        <w:pStyle w:val="BodyText3"/>
        <w:numPr>
          <w:ilvl w:val="0"/>
          <w:numId w:val="7"/>
        </w:numPr>
        <w:spacing w:before="60" w:after="0"/>
        <w:jc w:val="both"/>
        <w:rPr>
          <w:rFonts w:ascii="Gill Sans MT" w:eastAsiaTheme="minorHAnsi" w:hAnsi="Gill Sans MT" w:cstheme="minorBidi"/>
          <w:sz w:val="24"/>
          <w:szCs w:val="24"/>
          <w:lang w:eastAsia="en-US"/>
        </w:rPr>
      </w:pPr>
      <w:r w:rsidRPr="003A3F90">
        <w:rPr>
          <w:rFonts w:ascii="Gill Sans MT" w:eastAsiaTheme="minorHAnsi" w:hAnsi="Gill Sans MT" w:cstheme="minorBidi"/>
          <w:sz w:val="24"/>
          <w:szCs w:val="24"/>
          <w:lang w:eastAsia="en-US"/>
        </w:rPr>
        <w:t xml:space="preserve">Significant experience and knowledge of injury management including regulations, policies, </w:t>
      </w:r>
      <w:proofErr w:type="gramStart"/>
      <w:r w:rsidRPr="003A3F90">
        <w:rPr>
          <w:rFonts w:ascii="Gill Sans MT" w:eastAsiaTheme="minorHAnsi" w:hAnsi="Gill Sans MT" w:cstheme="minorBidi"/>
          <w:sz w:val="24"/>
          <w:szCs w:val="24"/>
          <w:lang w:eastAsia="en-US"/>
        </w:rPr>
        <w:t>systems</w:t>
      </w:r>
      <w:proofErr w:type="gramEnd"/>
      <w:r w:rsidRPr="003A3F90">
        <w:rPr>
          <w:rFonts w:ascii="Gill Sans MT" w:eastAsiaTheme="minorHAnsi" w:hAnsi="Gill Sans MT" w:cstheme="minorBidi"/>
          <w:sz w:val="24"/>
          <w:szCs w:val="24"/>
          <w:lang w:eastAsia="en-US"/>
        </w:rPr>
        <w:t xml:space="preserve"> and processes.</w:t>
      </w:r>
    </w:p>
    <w:p w14:paraId="2834CC7C" w14:textId="77777777" w:rsidR="00AB3DFE" w:rsidRPr="003A3F90" w:rsidRDefault="00AB3DFE" w:rsidP="00AB3DFE">
      <w:pPr>
        <w:pStyle w:val="BodyText3"/>
        <w:numPr>
          <w:ilvl w:val="0"/>
          <w:numId w:val="7"/>
        </w:numPr>
        <w:spacing w:before="60" w:after="0"/>
        <w:jc w:val="both"/>
        <w:rPr>
          <w:rFonts w:ascii="Gill Sans MT" w:eastAsiaTheme="minorHAnsi" w:hAnsi="Gill Sans MT" w:cstheme="minorBidi"/>
          <w:sz w:val="24"/>
          <w:szCs w:val="24"/>
          <w:lang w:eastAsia="en-US"/>
        </w:rPr>
      </w:pPr>
      <w:r w:rsidRPr="003A3F90">
        <w:rPr>
          <w:rFonts w:ascii="Gill Sans MT" w:eastAsiaTheme="minorHAnsi" w:hAnsi="Gill Sans MT" w:cstheme="minorBidi"/>
          <w:sz w:val="24"/>
          <w:szCs w:val="24"/>
          <w:lang w:eastAsia="en-US"/>
        </w:rPr>
        <w:t>Comprehensive knowledge of relevant workers compensation legislation and successful experience in implementing strategies to proactively manage workers compensation claims.</w:t>
      </w:r>
    </w:p>
    <w:p w14:paraId="0C957A2E" w14:textId="77777777" w:rsidR="00AB3DFE" w:rsidRPr="003A3F90" w:rsidRDefault="00AB3DFE" w:rsidP="00AB3DFE">
      <w:pPr>
        <w:pStyle w:val="ListParagraph"/>
        <w:numPr>
          <w:ilvl w:val="0"/>
          <w:numId w:val="7"/>
        </w:numPr>
        <w:spacing w:line="240" w:lineRule="auto"/>
        <w:ind w:left="357"/>
        <w:contextualSpacing w:val="0"/>
        <w:jc w:val="both"/>
        <w:rPr>
          <w:szCs w:val="24"/>
        </w:rPr>
      </w:pPr>
      <w:r w:rsidRPr="003A3F90">
        <w:rPr>
          <w:szCs w:val="24"/>
        </w:rPr>
        <w:lastRenderedPageBreak/>
        <w:t>Management roles require significant management skills and expertise to lead a complex activity or program unit to support the operation or functional area.</w:t>
      </w:r>
    </w:p>
    <w:p w14:paraId="5D7CF4FA" w14:textId="77777777" w:rsidR="00AB3DFE" w:rsidRPr="003A3F90" w:rsidRDefault="00AB3DFE" w:rsidP="00AB3DFE">
      <w:pPr>
        <w:numPr>
          <w:ilvl w:val="0"/>
          <w:numId w:val="7"/>
        </w:numPr>
        <w:tabs>
          <w:tab w:val="clear" w:pos="2835"/>
          <w:tab w:val="left" w:pos="450"/>
        </w:tabs>
        <w:spacing w:line="240" w:lineRule="auto"/>
        <w:ind w:left="357"/>
        <w:jc w:val="both"/>
        <w:rPr>
          <w:szCs w:val="24"/>
        </w:rPr>
      </w:pPr>
      <w:r w:rsidRPr="003A3F90">
        <w:rPr>
          <w:szCs w:val="24"/>
        </w:rPr>
        <w:t xml:space="preserve">High level communication and interpersonal skills including consultation, negotiation, liaison and conflict resolution skills and the ability to effectively represent the Agency.  High level written communication skills.  </w:t>
      </w:r>
    </w:p>
    <w:p w14:paraId="1DCEF27D" w14:textId="77777777" w:rsidR="00AB3DFE" w:rsidRDefault="00AB3DFE" w:rsidP="00AB3DFE">
      <w:pPr>
        <w:pStyle w:val="ListParagraph"/>
        <w:numPr>
          <w:ilvl w:val="0"/>
          <w:numId w:val="7"/>
        </w:numPr>
        <w:spacing w:after="240" w:line="240" w:lineRule="auto"/>
        <w:ind w:left="357"/>
        <w:contextualSpacing w:val="0"/>
        <w:jc w:val="both"/>
        <w:rPr>
          <w:szCs w:val="24"/>
        </w:rPr>
      </w:pPr>
      <w:r w:rsidRPr="003A3F90">
        <w:rPr>
          <w:szCs w:val="24"/>
        </w:rPr>
        <w:t xml:space="preserve">Highly developed conceptual and reasoning skills to research, investigate, analyse, </w:t>
      </w:r>
      <w:proofErr w:type="gramStart"/>
      <w:r w:rsidRPr="003A3F90">
        <w:rPr>
          <w:szCs w:val="24"/>
        </w:rPr>
        <w:t>evaluate</w:t>
      </w:r>
      <w:proofErr w:type="gramEnd"/>
      <w:r w:rsidRPr="003A3F90">
        <w:rPr>
          <w:szCs w:val="24"/>
        </w:rPr>
        <w:t xml:space="preserve"> and integrate relevant solutions from diverse disciplines or fields into area of activity. Initiative, flexibility and creativity in developing options and recommendations to resolve problems and improve service delivery.  </w:t>
      </w:r>
    </w:p>
    <w:p w14:paraId="27396CD2" w14:textId="77777777" w:rsidR="00AB3DFE" w:rsidRPr="003A3F90" w:rsidRDefault="00AB3DFE" w:rsidP="00AB3DFE">
      <w:pPr>
        <w:pStyle w:val="ListParagraph"/>
        <w:numPr>
          <w:ilvl w:val="0"/>
          <w:numId w:val="7"/>
        </w:numPr>
        <w:spacing w:after="240" w:line="240" w:lineRule="auto"/>
        <w:ind w:left="357"/>
        <w:contextualSpacing w:val="0"/>
        <w:jc w:val="both"/>
        <w:rPr>
          <w:szCs w:val="24"/>
        </w:rPr>
      </w:pPr>
      <w:r w:rsidRPr="003A3F90">
        <w:rPr>
          <w:szCs w:val="24"/>
        </w:rPr>
        <w:t>High level organisational skills which enable the coordination, facilitation and conduct of a variety of activities, and the planning and completion of work activities within tight time frames.</w:t>
      </w:r>
    </w:p>
    <w:p w14:paraId="125D251B" w14:textId="206777DF" w:rsidR="00B2568D" w:rsidRPr="00AB3DFE" w:rsidRDefault="00B2568D" w:rsidP="00AB3DFE">
      <w:pPr>
        <w:spacing w:before="240" w:line="240" w:lineRule="auto"/>
        <w:jc w:val="both"/>
        <w:rPr>
          <w:rFonts w:cs="Arial"/>
          <w:b/>
          <w:sz w:val="28"/>
          <w:szCs w:val="28"/>
        </w:rPr>
      </w:pPr>
      <w:r>
        <w:rPr>
          <w:rFonts w:cs="Arial"/>
          <w:b/>
          <w:sz w:val="28"/>
          <w:szCs w:val="28"/>
        </w:rPr>
        <w:t>Position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3B703C3D" w14:textId="77777777" w:rsidR="00F36A96" w:rsidRPr="00F36A96" w:rsidRDefault="00F36A96" w:rsidP="00F36A96">
      <w:pPr>
        <w:pStyle w:val="ListParagraph"/>
        <w:numPr>
          <w:ilvl w:val="0"/>
          <w:numId w:val="11"/>
        </w:numPr>
        <w:tabs>
          <w:tab w:val="clear" w:pos="2835"/>
        </w:tabs>
        <w:spacing w:before="0" w:after="200"/>
        <w:ind w:left="426"/>
        <w:jc w:val="both"/>
        <w:rPr>
          <w:rFonts w:cs="Arial"/>
          <w:color w:val="000000"/>
          <w:szCs w:val="24"/>
        </w:rPr>
      </w:pPr>
      <w:r w:rsidRPr="00F36A96">
        <w:rPr>
          <w:rFonts w:cs="Arial"/>
          <w:color w:val="000000"/>
          <w:szCs w:val="24"/>
        </w:rPr>
        <w:t xml:space="preserve">A person is to provide evidence that they are vaccinated against COVID-19 or have an approved exemption. </w:t>
      </w:r>
    </w:p>
    <w:p w14:paraId="5BC3C2CE" w14:textId="6CE2D651" w:rsidR="00F36A96" w:rsidRPr="00F36A96" w:rsidRDefault="00F36A96" w:rsidP="00F36A96">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00154017" w14:textId="3DA03E05" w:rsidR="00F36A96" w:rsidRPr="00F36A96" w:rsidRDefault="00F36A96" w:rsidP="00F36A96">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4A48715F" w14:textId="77777777" w:rsidR="00F36A96" w:rsidRPr="00F36A96" w:rsidRDefault="00F36A96" w:rsidP="00F36A96">
      <w:pPr>
        <w:pStyle w:val="paragraph"/>
        <w:numPr>
          <w:ilvl w:val="0"/>
          <w:numId w:val="16"/>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58321A23" w14:textId="77777777" w:rsidR="00F36A96" w:rsidRPr="00F36A96" w:rsidRDefault="00F36A96" w:rsidP="00F36A96">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152182EA" w14:textId="0359A601" w:rsidR="00F36A96" w:rsidRPr="00F36A96" w:rsidRDefault="00F36A96" w:rsidP="00F36A96">
      <w:pPr>
        <w:pStyle w:val="ListParagraph"/>
        <w:numPr>
          <w:ilvl w:val="1"/>
          <w:numId w:val="14"/>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11"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41A80873" w14:textId="77777777" w:rsidR="00F36A96" w:rsidRPr="00F36A96" w:rsidRDefault="00F36A96" w:rsidP="00F36A96">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6658FB84" w14:textId="2D8AC493" w:rsidR="00F36A96" w:rsidRPr="00F36A96" w:rsidRDefault="00F36A96" w:rsidP="00F36A96">
      <w:pPr>
        <w:pStyle w:val="ListParagraph"/>
        <w:numPr>
          <w:ilvl w:val="1"/>
          <w:numId w:val="14"/>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7EB5EBB0" w14:textId="77777777" w:rsidR="00F36A96" w:rsidRPr="00F36A96" w:rsidRDefault="00F36A96" w:rsidP="00FD067E">
      <w:pPr>
        <w:pStyle w:val="paragraph"/>
        <w:numPr>
          <w:ilvl w:val="0"/>
          <w:numId w:val="16"/>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241FBEFE" w14:textId="71A2C5A0" w:rsidR="00F36A96" w:rsidRDefault="00F36A96" w:rsidP="00A04D5D">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 xml:space="preserve">Demonstrated to the satisfaction of the Head of Agency. </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38885202" w14:textId="77777777" w:rsidR="00AB3DFE" w:rsidRPr="00351329" w:rsidRDefault="00AB3DFE" w:rsidP="00AB3DFE">
      <w:pPr>
        <w:pStyle w:val="BodyText"/>
        <w:numPr>
          <w:ilvl w:val="0"/>
          <w:numId w:val="11"/>
        </w:numPr>
        <w:tabs>
          <w:tab w:val="clear" w:pos="2835"/>
        </w:tabs>
        <w:spacing w:after="0" w:line="240" w:lineRule="auto"/>
        <w:jc w:val="both"/>
      </w:pPr>
      <w:r w:rsidRPr="00351329">
        <w:t>Certificate IV in Personal Injury Management (Return-to-Work)</w:t>
      </w:r>
      <w:r>
        <w:t>.</w:t>
      </w:r>
    </w:p>
    <w:p w14:paraId="60BEEB2B" w14:textId="77777777" w:rsidR="00AB3DFE" w:rsidRDefault="00AB3DFE" w:rsidP="00AB3DFE">
      <w:pPr>
        <w:pStyle w:val="BodyText"/>
        <w:numPr>
          <w:ilvl w:val="0"/>
          <w:numId w:val="11"/>
        </w:numPr>
        <w:tabs>
          <w:tab w:val="clear" w:pos="2835"/>
        </w:tabs>
        <w:spacing w:after="0" w:line="240" w:lineRule="auto"/>
        <w:jc w:val="both"/>
      </w:pPr>
      <w:r w:rsidRPr="00351329">
        <w:lastRenderedPageBreak/>
        <w:t>Qualified Injury Management Coordinator</w:t>
      </w:r>
      <w:r>
        <w:t>.</w:t>
      </w:r>
      <w:r w:rsidRPr="00351329" w:rsidDel="0057396A">
        <w:t xml:space="preserve"> </w:t>
      </w:r>
    </w:p>
    <w:p w14:paraId="1750C5A9" w14:textId="77777777" w:rsidR="00AB3DFE" w:rsidRPr="00351329" w:rsidRDefault="00AB3DFE" w:rsidP="00AB3DFE">
      <w:pPr>
        <w:pStyle w:val="BodyText"/>
        <w:numPr>
          <w:ilvl w:val="0"/>
          <w:numId w:val="11"/>
        </w:numPr>
        <w:tabs>
          <w:tab w:val="clear" w:pos="2835"/>
        </w:tabs>
        <w:spacing w:after="0" w:line="240" w:lineRule="auto"/>
        <w:jc w:val="both"/>
      </w:pPr>
      <w:r w:rsidRPr="00351329">
        <w:t>Tertiary qualification</w:t>
      </w:r>
      <w:r>
        <w:t>(</w:t>
      </w:r>
      <w:r w:rsidRPr="00351329">
        <w:t>s</w:t>
      </w:r>
      <w:r>
        <w:t>)</w:t>
      </w:r>
      <w:r w:rsidRPr="00351329">
        <w:t xml:space="preserve"> in workers compensation claims, injury management</w:t>
      </w:r>
      <w:r>
        <w:t>, work health and safety</w:t>
      </w:r>
      <w:r w:rsidRPr="00351329">
        <w:t xml:space="preserve"> or a related discipline.</w:t>
      </w:r>
    </w:p>
    <w:p w14:paraId="15DE719B" w14:textId="587D745A" w:rsidR="00F53A56" w:rsidRPr="00F53A56" w:rsidRDefault="00F53A56" w:rsidP="00AB3DFE">
      <w:pPr>
        <w:pStyle w:val="ListParagraph"/>
        <w:tabs>
          <w:tab w:val="clear" w:pos="2835"/>
        </w:tabs>
        <w:spacing w:before="0" w:after="240"/>
        <w:ind w:left="426"/>
        <w:rPr>
          <w:rFonts w:cs="Arial"/>
          <w:iCs/>
          <w:szCs w:val="24"/>
        </w:rPr>
      </w:pP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28E31F41" w14:textId="352E1A22" w:rsidR="000A687B" w:rsidRPr="00AC157D" w:rsidRDefault="00900182" w:rsidP="00A12351">
      <w:pPr>
        <w:spacing w:line="240" w:lineRule="auto"/>
        <w:jc w:val="both"/>
        <w:rPr>
          <w:rFonts w:cs="Arial"/>
          <w:color w:val="000000"/>
          <w:szCs w:val="24"/>
        </w:rPr>
      </w:pPr>
      <w:r w:rsidRPr="00AC157D">
        <w:rPr>
          <w:rFonts w:cs="Arial"/>
          <w:b/>
          <w:color w:val="000000"/>
          <w:szCs w:val="24"/>
        </w:rPr>
        <w:t xml:space="preserve">The Department of </w:t>
      </w:r>
      <w:r w:rsidR="008B0AF3" w:rsidRPr="00AC157D">
        <w:rPr>
          <w:rFonts w:cs="Arial"/>
          <w:b/>
          <w:color w:val="000000"/>
          <w:szCs w:val="24"/>
        </w:rPr>
        <w:t>Natural Resources and Environment Tasmania</w:t>
      </w:r>
      <w:r w:rsidR="00104441" w:rsidRPr="00AC157D">
        <w:rPr>
          <w:rFonts w:cs="Arial"/>
          <w:b/>
          <w:color w:val="000000"/>
          <w:szCs w:val="24"/>
        </w:rPr>
        <w:t xml:space="preserve"> (NRE Tas)</w:t>
      </w:r>
      <w:r w:rsidR="000A687B"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8E31F42" w14:textId="44AD65FD" w:rsidR="000A687B" w:rsidRPr="00AC157D" w:rsidRDefault="000A687B" w:rsidP="00A12351">
      <w:pPr>
        <w:autoSpaceDE w:val="0"/>
        <w:autoSpaceDN w:val="0"/>
        <w:adjustRightInd w:val="0"/>
        <w:spacing w:after="240" w:line="240" w:lineRule="auto"/>
        <w:jc w:val="both"/>
        <w:rPr>
          <w:rFonts w:cs="Arial"/>
          <w:color w:val="000000"/>
          <w:szCs w:val="24"/>
        </w:rPr>
      </w:pPr>
      <w:r w:rsidRPr="00AC157D">
        <w:rPr>
          <w:rFonts w:cs="Arial"/>
          <w:color w:val="000000"/>
          <w:szCs w:val="24"/>
        </w:rPr>
        <w:t>Under Tasmania’s emergency management arrangement</w:t>
      </w:r>
      <w:r w:rsidR="004F41AE" w:rsidRPr="00AC157D">
        <w:rPr>
          <w:rFonts w:cs="Arial"/>
          <w:color w:val="000000"/>
          <w:szCs w:val="24"/>
        </w:rPr>
        <w:t>s</w:t>
      </w:r>
      <w:r w:rsidRPr="00AC157D">
        <w:rPr>
          <w:rFonts w:cs="Arial"/>
          <w:color w:val="000000"/>
          <w:szCs w:val="24"/>
        </w:rPr>
        <w:t xml:space="preserve"> </w:t>
      </w:r>
      <w:r w:rsidR="00104441" w:rsidRPr="00AC157D">
        <w:rPr>
          <w:rFonts w:cs="Arial"/>
          <w:color w:val="000000"/>
          <w:szCs w:val="24"/>
        </w:rPr>
        <w:t>NRE</w:t>
      </w:r>
      <w:r w:rsidR="006A6A88" w:rsidRPr="00AC157D">
        <w:rPr>
          <w:rFonts w:cs="Arial"/>
          <w:color w:val="000000"/>
          <w:szCs w:val="24"/>
        </w:rPr>
        <w:t xml:space="preserve"> </w:t>
      </w:r>
      <w:r w:rsidR="00104441" w:rsidRPr="00AC157D">
        <w:rPr>
          <w:rFonts w:cs="Arial"/>
          <w:color w:val="000000"/>
          <w:szCs w:val="24"/>
        </w:rPr>
        <w:t>Tas is</w:t>
      </w:r>
      <w:r w:rsidRPr="00AC157D">
        <w:rPr>
          <w:rFonts w:cs="Arial"/>
          <w:color w:val="000000"/>
          <w:szCs w:val="24"/>
        </w:rPr>
        <w:t xml:space="preserve">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28E31F43" w14:textId="462BD23F" w:rsidR="000A687B" w:rsidRPr="00AC157D" w:rsidRDefault="008B0AF3" w:rsidP="00A12351">
      <w:pPr>
        <w:spacing w:line="240" w:lineRule="auto"/>
        <w:jc w:val="both"/>
        <w:rPr>
          <w:rFonts w:cs="Arial"/>
          <w:color w:val="000000"/>
          <w:szCs w:val="24"/>
        </w:rPr>
      </w:pPr>
      <w:r w:rsidRPr="00AC157D">
        <w:rPr>
          <w:rFonts w:cs="Arial"/>
          <w:color w:val="000000"/>
          <w:szCs w:val="24"/>
        </w:rPr>
        <w:t xml:space="preserve">The Department’s </w:t>
      </w:r>
      <w:r w:rsidR="000A687B" w:rsidRPr="00AC157D">
        <w:rPr>
          <w:rFonts w:cs="Arial"/>
          <w:color w:val="000000"/>
          <w:szCs w:val="24"/>
        </w:rPr>
        <w:t xml:space="preserve">website at </w:t>
      </w:r>
      <w:hyperlink r:id="rId12" w:history="1">
        <w:r w:rsidR="002831BF" w:rsidRPr="00AC157D">
          <w:rPr>
            <w:rStyle w:val="Hyperlink"/>
            <w:rFonts w:cs="Arial"/>
            <w:szCs w:val="24"/>
          </w:rPr>
          <w:t>www.nre.tas.gov.au</w:t>
        </w:r>
      </w:hyperlink>
      <w:r w:rsidR="00F9797E" w:rsidRPr="00AC157D">
        <w:rPr>
          <w:rFonts w:cs="Arial"/>
          <w:color w:val="000000"/>
          <w:szCs w:val="24"/>
        </w:rPr>
        <w:t xml:space="preserve"> </w:t>
      </w:r>
      <w:r w:rsidR="000A687B" w:rsidRPr="00AC157D">
        <w:rPr>
          <w:rFonts w:cs="Arial"/>
          <w:color w:val="000000"/>
          <w:szCs w:val="24"/>
        </w:rPr>
        <w:t>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p>
    <w:bookmarkEnd w:id="0"/>
    <w:sectPr w:rsidR="00DD1205" w:rsidRPr="00AC157D" w:rsidSect="00351B4D">
      <w:headerReference w:type="default" r:id="rId14"/>
      <w:footerReference w:type="default" r:id="rId15"/>
      <w:footerReference w:type="first" r:id="rId16"/>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D4DB" w14:textId="77777777" w:rsidR="006C547E" w:rsidRDefault="006C547E" w:rsidP="00BC49A5">
      <w:r>
        <w:separator/>
      </w:r>
    </w:p>
  </w:endnote>
  <w:endnote w:type="continuationSeparator" w:id="0">
    <w:p w14:paraId="1625B2CA" w14:textId="77777777" w:rsidR="006C547E" w:rsidRDefault="006C547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464AA38D" w:rsidR="007F65DC" w:rsidRPr="007F65DC" w:rsidRDefault="007F65DC" w:rsidP="00E42668">
    <w:pPr>
      <w:pStyle w:val="Footer"/>
      <w:rPr>
        <w:sz w:val="18"/>
        <w:szCs w:val="18"/>
      </w:rPr>
    </w:pPr>
    <w:r w:rsidRPr="007F65DC">
      <w:rPr>
        <w:sz w:val="18"/>
        <w:szCs w:val="18"/>
      </w:rPr>
      <w:t>Revision Date</w:t>
    </w:r>
    <w:r w:rsidR="00AB3DFE">
      <w:rPr>
        <w:sz w:val="18"/>
        <w:szCs w:val="18"/>
      </w:rPr>
      <w:t>: 14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92D0" w14:textId="77777777" w:rsidR="006C547E" w:rsidRDefault="006C547E" w:rsidP="00BC49A5">
      <w:r>
        <w:separator/>
      </w:r>
    </w:p>
  </w:footnote>
  <w:footnote w:type="continuationSeparator" w:id="0">
    <w:p w14:paraId="4339FB97" w14:textId="77777777" w:rsidR="006C547E" w:rsidRDefault="006C547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1"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045FCE"/>
    <w:multiLevelType w:val="singleLevel"/>
    <w:tmpl w:val="5C907912"/>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2"/>
  </w:num>
  <w:num w:numId="2">
    <w:abstractNumId w:val="6"/>
  </w:num>
  <w:num w:numId="3">
    <w:abstractNumId w:val="9"/>
  </w:num>
  <w:num w:numId="4">
    <w:abstractNumId w:val="2"/>
  </w:num>
  <w:num w:numId="5">
    <w:abstractNumId w:val="5"/>
  </w:num>
  <w:num w:numId="6">
    <w:abstractNumId w:val="7"/>
  </w:num>
  <w:num w:numId="7">
    <w:abstractNumId w:val="1"/>
  </w:num>
  <w:num w:numId="8">
    <w:abstractNumId w:val="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A687B"/>
    <w:rsid w:val="000C63C9"/>
    <w:rsid w:val="000F204A"/>
    <w:rsid w:val="00104441"/>
    <w:rsid w:val="001165AA"/>
    <w:rsid w:val="0016305A"/>
    <w:rsid w:val="00185BDA"/>
    <w:rsid w:val="00192887"/>
    <w:rsid w:val="001947A1"/>
    <w:rsid w:val="001963E4"/>
    <w:rsid w:val="001C06F8"/>
    <w:rsid w:val="001E70C1"/>
    <w:rsid w:val="001E7B7E"/>
    <w:rsid w:val="00204218"/>
    <w:rsid w:val="002533F2"/>
    <w:rsid w:val="00256B0A"/>
    <w:rsid w:val="00263E12"/>
    <w:rsid w:val="002831BF"/>
    <w:rsid w:val="00287BE7"/>
    <w:rsid w:val="002A0C2C"/>
    <w:rsid w:val="002A584C"/>
    <w:rsid w:val="002B5214"/>
    <w:rsid w:val="003058D6"/>
    <w:rsid w:val="00331842"/>
    <w:rsid w:val="003420FF"/>
    <w:rsid w:val="00351B4D"/>
    <w:rsid w:val="003669A2"/>
    <w:rsid w:val="00371F59"/>
    <w:rsid w:val="00391075"/>
    <w:rsid w:val="003951E9"/>
    <w:rsid w:val="003A6246"/>
    <w:rsid w:val="003B0B94"/>
    <w:rsid w:val="003C5DE2"/>
    <w:rsid w:val="003E4A5D"/>
    <w:rsid w:val="003F442E"/>
    <w:rsid w:val="003F7D4A"/>
    <w:rsid w:val="00411FA3"/>
    <w:rsid w:val="00417933"/>
    <w:rsid w:val="004707E8"/>
    <w:rsid w:val="00485CA0"/>
    <w:rsid w:val="00486C56"/>
    <w:rsid w:val="00490402"/>
    <w:rsid w:val="004F2DAF"/>
    <w:rsid w:val="004F41AE"/>
    <w:rsid w:val="00542542"/>
    <w:rsid w:val="00547824"/>
    <w:rsid w:val="005601E2"/>
    <w:rsid w:val="005D5969"/>
    <w:rsid w:val="005F27AA"/>
    <w:rsid w:val="00600395"/>
    <w:rsid w:val="006115DC"/>
    <w:rsid w:val="00642E5D"/>
    <w:rsid w:val="00655B5F"/>
    <w:rsid w:val="00660A0B"/>
    <w:rsid w:val="006A6A88"/>
    <w:rsid w:val="006C547E"/>
    <w:rsid w:val="006D2B77"/>
    <w:rsid w:val="006F2AF5"/>
    <w:rsid w:val="006F6850"/>
    <w:rsid w:val="00710239"/>
    <w:rsid w:val="00725B28"/>
    <w:rsid w:val="00771662"/>
    <w:rsid w:val="007C2B83"/>
    <w:rsid w:val="007C6A47"/>
    <w:rsid w:val="007E7D43"/>
    <w:rsid w:val="007F65DC"/>
    <w:rsid w:val="007F73E6"/>
    <w:rsid w:val="0085499D"/>
    <w:rsid w:val="00855A41"/>
    <w:rsid w:val="008732A5"/>
    <w:rsid w:val="0089060C"/>
    <w:rsid w:val="008B0AF3"/>
    <w:rsid w:val="008F1AEF"/>
    <w:rsid w:val="008F3009"/>
    <w:rsid w:val="00900182"/>
    <w:rsid w:val="0093612C"/>
    <w:rsid w:val="00965A0F"/>
    <w:rsid w:val="00997371"/>
    <w:rsid w:val="009A0473"/>
    <w:rsid w:val="009A65F9"/>
    <w:rsid w:val="009B257D"/>
    <w:rsid w:val="009B4518"/>
    <w:rsid w:val="009D522C"/>
    <w:rsid w:val="009E18B9"/>
    <w:rsid w:val="00A04D5D"/>
    <w:rsid w:val="00A12351"/>
    <w:rsid w:val="00A27736"/>
    <w:rsid w:val="00A44F84"/>
    <w:rsid w:val="00A4574A"/>
    <w:rsid w:val="00A55DB7"/>
    <w:rsid w:val="00A83370"/>
    <w:rsid w:val="00A93F9C"/>
    <w:rsid w:val="00AB01F5"/>
    <w:rsid w:val="00AB3DFE"/>
    <w:rsid w:val="00AC0A6D"/>
    <w:rsid w:val="00AC157D"/>
    <w:rsid w:val="00AC6312"/>
    <w:rsid w:val="00AF1E81"/>
    <w:rsid w:val="00B232E2"/>
    <w:rsid w:val="00B2568D"/>
    <w:rsid w:val="00B47EB2"/>
    <w:rsid w:val="00B6253B"/>
    <w:rsid w:val="00B66A42"/>
    <w:rsid w:val="00B75281"/>
    <w:rsid w:val="00BA4EC6"/>
    <w:rsid w:val="00BB79E6"/>
    <w:rsid w:val="00BC49A5"/>
    <w:rsid w:val="00BD238B"/>
    <w:rsid w:val="00BE0907"/>
    <w:rsid w:val="00BF28DD"/>
    <w:rsid w:val="00C43CCC"/>
    <w:rsid w:val="00C96242"/>
    <w:rsid w:val="00CC6B72"/>
    <w:rsid w:val="00CD42F8"/>
    <w:rsid w:val="00D0096D"/>
    <w:rsid w:val="00D627F0"/>
    <w:rsid w:val="00D97EBA"/>
    <w:rsid w:val="00DA5C52"/>
    <w:rsid w:val="00DD1205"/>
    <w:rsid w:val="00DE517B"/>
    <w:rsid w:val="00DF0BB8"/>
    <w:rsid w:val="00E11F2F"/>
    <w:rsid w:val="00E2671B"/>
    <w:rsid w:val="00E3049F"/>
    <w:rsid w:val="00E42668"/>
    <w:rsid w:val="00E537CB"/>
    <w:rsid w:val="00E96058"/>
    <w:rsid w:val="00EB220A"/>
    <w:rsid w:val="00ED325E"/>
    <w:rsid w:val="00F2463C"/>
    <w:rsid w:val="00F35D73"/>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paragraph" w:styleId="BodyText3">
    <w:name w:val="Body Text 3"/>
    <w:basedOn w:val="Normal"/>
    <w:link w:val="BodyText3Char"/>
    <w:rsid w:val="00AB3DFE"/>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AB3DFE"/>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semiHidden/>
    <w:unhideWhenUsed/>
    <w:rsid w:val="00AB3DFE"/>
  </w:style>
  <w:style w:type="character" w:customStyle="1" w:styleId="BodyTextChar">
    <w:name w:val="Body Text Char"/>
    <w:basedOn w:val="DefaultParagraphFont"/>
    <w:link w:val="BodyText"/>
    <w:uiPriority w:val="99"/>
    <w:semiHidden/>
    <w:rsid w:val="00AB3DFE"/>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e.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individuals/services/medicare/australian-immunisation-register/what-register/immunisation-medical-exemp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Beswick, Laura</cp:lastModifiedBy>
  <cp:revision>2</cp:revision>
  <dcterms:created xsi:type="dcterms:W3CDTF">2022-01-13T21:57:00Z</dcterms:created>
  <dcterms:modified xsi:type="dcterms:W3CDTF">2022-01-13T21:57:00Z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