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4D3019E" w:rsidR="003C0450" w:rsidRPr="00C56BF6" w:rsidRDefault="00532BD1" w:rsidP="004B1E48">
            <w:pPr>
              <w:rPr>
                <w:rFonts w:ascii="Gill Sans MT" w:hAnsi="Gill Sans MT" w:cs="Gill Sans"/>
              </w:rPr>
            </w:pP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st</w:t>
            </w:r>
            <w:r w:rsidRPr="00573067">
              <w:rPr>
                <w:rFonts w:eastAsia="Gill Sans MT" w:cs="Gill Sans MT"/>
              </w:rPr>
              <w:t>he</w:t>
            </w:r>
            <w:r w:rsidRPr="00573067">
              <w:rPr>
                <w:rFonts w:eastAsia="Gill Sans MT" w:cs="Gill Sans MT"/>
                <w:spacing w:val="-2"/>
              </w:rPr>
              <w:t>t</w:t>
            </w:r>
            <w:r w:rsidRPr="00573067">
              <w:rPr>
                <w:rFonts w:eastAsia="Gill Sans MT" w:cs="Gill Sans MT"/>
              </w:rPr>
              <w:t>ic</w:t>
            </w:r>
            <w:r w:rsidRPr="00573067">
              <w:rPr>
                <w:rFonts w:eastAsia="Gill Sans MT" w:cs="Gill Sans MT"/>
                <w:spacing w:val="-1"/>
              </w:rPr>
              <w:t xml:space="preserve"> </w:t>
            </w:r>
            <w:r w:rsidRPr="00573067">
              <w:rPr>
                <w:rFonts w:eastAsia="Gill Sans MT" w:cs="Gill Sans MT"/>
              </w:rPr>
              <w:t>Re</w:t>
            </w:r>
            <w:r w:rsidRPr="00573067">
              <w:rPr>
                <w:rFonts w:eastAsia="Gill Sans MT" w:cs="Gill Sans MT"/>
                <w:spacing w:val="-1"/>
              </w:rPr>
              <w:t>g</w:t>
            </w:r>
            <w:r w:rsidRPr="00573067">
              <w:rPr>
                <w:rFonts w:eastAsia="Gill Sans MT" w:cs="Gill Sans MT"/>
              </w:rPr>
              <w:t>i</w:t>
            </w:r>
            <w:r w:rsidRPr="00573067">
              <w:rPr>
                <w:rFonts w:eastAsia="Gill Sans MT" w:cs="Gill Sans MT"/>
                <w:spacing w:val="-2"/>
              </w:rPr>
              <w:t>s</w:t>
            </w:r>
            <w:r w:rsidRPr="00573067">
              <w:rPr>
                <w:rFonts w:eastAsia="Gill Sans MT" w:cs="Gill Sans MT"/>
              </w:rPr>
              <w:t>t</w:t>
            </w:r>
            <w:r w:rsidRPr="00573067">
              <w:rPr>
                <w:rFonts w:eastAsia="Gill Sans MT" w:cs="Gill Sans MT"/>
                <w:spacing w:val="-2"/>
              </w:rPr>
              <w:t>r</w:t>
            </w:r>
            <w:r w:rsidRPr="00573067">
              <w:rPr>
                <w:rFonts w:eastAsia="Gill Sans MT" w:cs="Gill Sans MT"/>
                <w:spacing w:val="-1"/>
              </w:rPr>
              <w:t>a</w:t>
            </w:r>
            <w:r w:rsidRPr="00573067">
              <w:rPr>
                <w:rFonts w:eastAsia="Gill Sans MT" w:cs="Gill Sans MT"/>
              </w:rPr>
              <w:t>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A638CAF" w:rsidR="003C0450" w:rsidRPr="00C56BF6" w:rsidRDefault="00532BD1" w:rsidP="004B1E48">
            <w:pPr>
              <w:rPr>
                <w:rFonts w:ascii="Gill Sans MT" w:hAnsi="Gill Sans MT" w:cs="Gill Sans"/>
              </w:rPr>
            </w:pPr>
            <w:r>
              <w:rPr>
                <w:rFonts w:cs="Arial"/>
                <w:iCs/>
                <w:kern w:val="36"/>
                <w:lang w:eastAsia="en-AU"/>
              </w:rPr>
              <w:t>512828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11C7B44" w:rsidR="003C0450" w:rsidRPr="00C56BF6" w:rsidRDefault="005532D6" w:rsidP="004B1E48">
            <w:pPr>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DC7D024" w:rsidR="003C0450" w:rsidRPr="00C56BF6" w:rsidRDefault="00532BD1"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BB65E6D" w:rsidR="00B06EDE" w:rsidRPr="005532D6" w:rsidRDefault="005532D6" w:rsidP="005532D6">
            <w:pPr>
              <w:spacing w:after="0"/>
              <w:rPr>
                <w:rFonts w:ascii="Gill Sans MT" w:hAnsi="Gill Sans MT" w:cs="Times New Roman"/>
                <w:b/>
                <w:szCs w:val="22"/>
              </w:rPr>
            </w:pPr>
            <w:r w:rsidRPr="005532D6">
              <w:rPr>
                <w:rStyle w:val="InformationBlockChar"/>
                <w:rFonts w:eastAsiaTheme="minorHAnsi"/>
                <w:b w:val="0"/>
                <w:bCs/>
              </w:rPr>
              <w:t>Hospitals South –</w:t>
            </w:r>
            <w:r w:rsidR="00532BD1">
              <w:rPr>
                <w:rStyle w:val="InformationBlockChar"/>
                <w:rFonts w:eastAsiaTheme="minorHAnsi"/>
              </w:rPr>
              <w:t xml:space="preserve"> </w:t>
            </w:r>
            <w:r w:rsidR="00532BD1">
              <w:t xml:space="preserve">Surgical </w:t>
            </w:r>
            <w:r>
              <w:t xml:space="preserve">and Perioperative </w:t>
            </w:r>
            <w:r w:rsidR="00532BD1">
              <w:t>Services</w:t>
            </w:r>
            <w:r w:rsidR="00532BD1" w:rsidRPr="00C56BF6">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5AE48BD" w:rsidR="003C0450" w:rsidRPr="00C56BF6" w:rsidRDefault="005532D6"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AA5DC2E" w:rsidR="003C0450" w:rsidRPr="00C56BF6" w:rsidRDefault="00A948B8" w:rsidP="004B1E48">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2EB2E9DB" w14:textId="77777777" w:rsidR="00532BD1" w:rsidRDefault="00532BD1" w:rsidP="005532D6">
            <w:pPr>
              <w:pStyle w:val="InformationBlockfillin"/>
              <w:tabs>
                <w:tab w:val="left" w:pos="425"/>
                <w:tab w:val="left" w:pos="7050"/>
              </w:tabs>
              <w:spacing w:before="0" w:after="0" w:line="300" w:lineRule="exact"/>
              <w:rPr>
                <w:rFonts w:eastAsia="Gill Sans MT" w:cs="Gill Sans MT"/>
                <w:spacing w:val="-3"/>
              </w:rPr>
            </w:pPr>
            <w:r w:rsidRPr="00573067">
              <w:rPr>
                <w:rFonts w:eastAsia="Gill Sans MT" w:cs="Gill Sans MT"/>
              </w:rPr>
              <w:t>Di</w:t>
            </w:r>
            <w:r w:rsidRPr="00573067">
              <w:rPr>
                <w:rFonts w:eastAsia="Gill Sans MT" w:cs="Gill Sans MT"/>
                <w:spacing w:val="-2"/>
              </w:rPr>
              <w:t>r</w:t>
            </w:r>
            <w:r w:rsidRPr="00573067">
              <w:rPr>
                <w:rFonts w:eastAsia="Gill Sans MT" w:cs="Gill Sans MT"/>
              </w:rPr>
              <w:t>e</w:t>
            </w:r>
            <w:r w:rsidRPr="00573067">
              <w:rPr>
                <w:rFonts w:eastAsia="Gill Sans MT" w:cs="Gill Sans MT"/>
                <w:spacing w:val="-1"/>
              </w:rPr>
              <w:t>c</w:t>
            </w:r>
            <w:r w:rsidRPr="00573067">
              <w:rPr>
                <w:rFonts w:eastAsia="Gill Sans MT" w:cs="Gill Sans MT"/>
                <w:spacing w:val="-2"/>
              </w:rPr>
              <w:t>t</w:t>
            </w:r>
            <w:r w:rsidRPr="00573067">
              <w:rPr>
                <w:rFonts w:eastAsia="Gill Sans MT" w:cs="Gill Sans MT"/>
              </w:rPr>
              <w:t>or</w:t>
            </w:r>
            <w:r>
              <w:rPr>
                <w:rFonts w:eastAsia="Gill Sans MT" w:cs="Gill Sans MT"/>
              </w:rPr>
              <w:t xml:space="preserve"> -</w:t>
            </w:r>
            <w:r w:rsidRPr="00573067">
              <w:rPr>
                <w:rFonts w:eastAsia="Gill Sans MT" w:cs="Gill Sans MT"/>
              </w:rPr>
              <w:t xml:space="preserve"> D</w:t>
            </w:r>
            <w:r w:rsidRPr="00573067">
              <w:rPr>
                <w:rFonts w:eastAsia="Gill Sans MT" w:cs="Gill Sans MT"/>
                <w:spacing w:val="-2"/>
              </w:rPr>
              <w:t>e</w:t>
            </w:r>
            <w:r w:rsidRPr="00573067">
              <w:rPr>
                <w:rFonts w:eastAsia="Gill Sans MT" w:cs="Gill Sans MT"/>
              </w:rPr>
              <w:t>p</w:t>
            </w:r>
            <w:r w:rsidRPr="00573067">
              <w:rPr>
                <w:rFonts w:eastAsia="Gill Sans MT" w:cs="Gill Sans MT"/>
                <w:spacing w:val="-1"/>
              </w:rPr>
              <w:t>a</w:t>
            </w:r>
            <w:r w:rsidRPr="00573067">
              <w:rPr>
                <w:rFonts w:eastAsia="Gill Sans MT" w:cs="Gill Sans MT"/>
                <w:spacing w:val="-2"/>
              </w:rPr>
              <w:t>r</w:t>
            </w:r>
            <w:r w:rsidRPr="00573067">
              <w:rPr>
                <w:rFonts w:eastAsia="Gill Sans MT" w:cs="Gill Sans MT"/>
              </w:rPr>
              <w:t>tment</w:t>
            </w:r>
            <w:r w:rsidRPr="00573067">
              <w:rPr>
                <w:rFonts w:eastAsia="Gill Sans MT" w:cs="Gill Sans MT"/>
                <w:spacing w:val="-1"/>
              </w:rPr>
              <w:t xml:space="preserve"> </w:t>
            </w:r>
            <w:r w:rsidRPr="00573067">
              <w:rPr>
                <w:rFonts w:eastAsia="Gill Sans MT" w:cs="Gill Sans MT"/>
              </w:rPr>
              <w:t xml:space="preserve">of </w:t>
            </w: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w:t>
            </w:r>
            <w:r w:rsidRPr="00573067">
              <w:rPr>
                <w:rFonts w:eastAsia="Gill Sans MT" w:cs="Gill Sans MT"/>
              </w:rPr>
              <w:t>the</w:t>
            </w:r>
            <w:r w:rsidRPr="00573067">
              <w:rPr>
                <w:rFonts w:eastAsia="Gill Sans MT" w:cs="Gill Sans MT"/>
                <w:spacing w:val="-2"/>
              </w:rPr>
              <w:t>s</w:t>
            </w:r>
            <w:r w:rsidRPr="00573067">
              <w:rPr>
                <w:rFonts w:eastAsia="Gill Sans MT" w:cs="Gill Sans MT"/>
              </w:rPr>
              <w:t>ia</w:t>
            </w:r>
            <w:r>
              <w:rPr>
                <w:rFonts w:eastAsia="Gill Sans MT" w:cs="Gill Sans MT"/>
              </w:rPr>
              <w:t xml:space="preserve"> &amp; Perioperative Medicine and</w:t>
            </w:r>
            <w:r w:rsidRPr="00573067">
              <w:rPr>
                <w:rFonts w:eastAsia="Gill Sans MT" w:cs="Gill Sans MT"/>
                <w:spacing w:val="-3"/>
              </w:rPr>
              <w:t xml:space="preserve"> </w:t>
            </w:r>
          </w:p>
          <w:p w14:paraId="3D7E4061" w14:textId="20C2466F" w:rsidR="003C0450" w:rsidRPr="00C56BF6" w:rsidRDefault="00532BD1" w:rsidP="00532BD1">
            <w:pPr>
              <w:rPr>
                <w:rFonts w:ascii="Gill Sans MT" w:hAnsi="Gill Sans MT" w:cs="Gill Sans"/>
              </w:rPr>
            </w:pPr>
            <w:r w:rsidRPr="00573067">
              <w:rPr>
                <w:rFonts w:eastAsia="Gill Sans MT" w:cs="Gill Sans MT"/>
              </w:rPr>
              <w:t>Supe</w:t>
            </w:r>
            <w:r w:rsidRPr="00573067">
              <w:rPr>
                <w:rFonts w:eastAsia="Gill Sans MT" w:cs="Gill Sans MT"/>
                <w:spacing w:val="-2"/>
              </w:rPr>
              <w:t>r</w:t>
            </w:r>
            <w:r w:rsidRPr="00573067">
              <w:rPr>
                <w:rFonts w:eastAsia="Gill Sans MT" w:cs="Gill Sans MT"/>
                <w:spacing w:val="-1"/>
              </w:rPr>
              <w:t>v</w:t>
            </w:r>
            <w:r w:rsidRPr="00573067">
              <w:rPr>
                <w:rFonts w:eastAsia="Gill Sans MT" w:cs="Gill Sans MT"/>
              </w:rPr>
              <w:t>i</w:t>
            </w:r>
            <w:r w:rsidRPr="00573067">
              <w:rPr>
                <w:rFonts w:eastAsia="Gill Sans MT" w:cs="Gill Sans MT"/>
                <w:spacing w:val="-2"/>
              </w:rPr>
              <w:t>s</w:t>
            </w:r>
            <w:r w:rsidRPr="00573067">
              <w:rPr>
                <w:rFonts w:eastAsia="Gill Sans MT" w:cs="Gill Sans MT"/>
              </w:rPr>
              <w:t>or of</w:t>
            </w:r>
            <w:r w:rsidRPr="00573067">
              <w:rPr>
                <w:rFonts w:eastAsia="Gill Sans MT" w:cs="Gill Sans MT"/>
                <w:spacing w:val="-2"/>
              </w:rPr>
              <w:t xml:space="preserve"> </w:t>
            </w:r>
            <w:r w:rsidRPr="00573067">
              <w:rPr>
                <w:rFonts w:eastAsia="Gill Sans MT" w:cs="Gill Sans MT"/>
              </w:rPr>
              <w:t>T</w:t>
            </w:r>
            <w:r w:rsidRPr="00573067">
              <w:rPr>
                <w:rFonts w:eastAsia="Gill Sans MT" w:cs="Gill Sans MT"/>
                <w:spacing w:val="-2"/>
              </w:rPr>
              <w:t>r</w:t>
            </w:r>
            <w:r w:rsidRPr="00573067">
              <w:rPr>
                <w:rFonts w:eastAsia="Gill Sans MT" w:cs="Gill Sans MT"/>
                <w:spacing w:val="-1"/>
              </w:rPr>
              <w:t>a</w:t>
            </w:r>
            <w:r w:rsidRPr="00573067">
              <w:rPr>
                <w:rFonts w:eastAsia="Gill Sans MT" w:cs="Gill Sans MT"/>
              </w:rPr>
              <w:t>in</w:t>
            </w:r>
            <w:r w:rsidRPr="00573067">
              <w:rPr>
                <w:rFonts w:eastAsia="Gill Sans MT" w:cs="Gill Sans MT"/>
                <w:spacing w:val="-1"/>
              </w:rPr>
              <w:t>i</w:t>
            </w:r>
            <w:r w:rsidRPr="00573067">
              <w:rPr>
                <w:rFonts w:eastAsia="Gill Sans MT" w:cs="Gill Sans MT"/>
              </w:rPr>
              <w:t>ng in</w:t>
            </w:r>
            <w:r w:rsidRPr="00573067">
              <w:rPr>
                <w:rFonts w:eastAsia="Gill Sans MT" w:cs="Gill Sans MT"/>
                <w:spacing w:val="-2"/>
              </w:rPr>
              <w:t xml:space="preserve"> </w:t>
            </w: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w:t>
            </w:r>
            <w:r w:rsidRPr="00573067">
              <w:rPr>
                <w:rFonts w:eastAsia="Gill Sans MT" w:cs="Gill Sans MT"/>
              </w:rPr>
              <w:t>the</w:t>
            </w:r>
            <w:r w:rsidRPr="00573067">
              <w:rPr>
                <w:rFonts w:eastAsia="Gill Sans MT" w:cs="Gill Sans MT"/>
                <w:spacing w:val="-2"/>
              </w:rPr>
              <w:t>s</w:t>
            </w:r>
            <w:r w:rsidRPr="00573067">
              <w:rPr>
                <w:rFonts w:eastAsia="Gill Sans MT" w:cs="Gill Sans MT"/>
              </w:rPr>
              <w:t>ia</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FA08A3A" w:rsidR="004B1E48" w:rsidRPr="00C56BF6" w:rsidRDefault="00A948B8" w:rsidP="004B1E48">
            <w:pPr>
              <w:rPr>
                <w:rFonts w:ascii="Gill Sans MT" w:hAnsi="Gill Sans MT" w:cs="Gill Sans"/>
              </w:rPr>
            </w:pPr>
            <w:r>
              <w:rPr>
                <w:rStyle w:val="InformationBlockChar"/>
                <w:rFonts w:eastAsiaTheme="minorHAnsi"/>
                <w:b w:val="0"/>
                <w:bCs/>
              </w:rPr>
              <w:t>November</w:t>
            </w:r>
            <w:r w:rsidR="005532D6">
              <w:rPr>
                <w:rStyle w:val="InformationBlockChar"/>
                <w:rFonts w:eastAsiaTheme="minorHAnsi"/>
                <w:b w:val="0"/>
                <w:bCs/>
              </w:rPr>
              <w:t xml:space="preserve"> 2022</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19652C5" w:rsidR="00540344" w:rsidRPr="00C56BF6" w:rsidRDefault="00532BD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8CFA79C" w:rsidR="00540344" w:rsidRPr="00C56BF6" w:rsidRDefault="00532BD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EFE66EB" w:rsidR="00B06EDE" w:rsidRPr="005532D6" w:rsidRDefault="005532D6" w:rsidP="005532D6">
            <w:pPr>
              <w:pStyle w:val="BulletedListLevel1"/>
              <w:numPr>
                <w:ilvl w:val="0"/>
                <w:numId w:val="0"/>
              </w:numPr>
              <w:spacing w:after="140"/>
              <w:ind w:left="567" w:hanging="567"/>
              <w:rPr>
                <w:rFonts w:cs="Tahoma"/>
                <w:sz w:val="24"/>
              </w:rPr>
            </w:pPr>
            <w:r>
              <w:t>General</w:t>
            </w:r>
            <w:r>
              <w:rPr>
                <w:rFonts w:cs="Tahoma"/>
              </w:rPr>
              <w:t xml:space="preserve"> or limited registration with the Medical Board of Australia</w:t>
            </w:r>
          </w:p>
          <w:p w14:paraId="42A54C29" w14:textId="3DDAA47D" w:rsidR="00400E85" w:rsidRPr="00996960" w:rsidRDefault="00400E85" w:rsidP="00400E85">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60CE262" w14:textId="77777777" w:rsidR="00B06EDE" w:rsidRDefault="00532BD1" w:rsidP="005532D6">
            <w:pPr>
              <w:pStyle w:val="BodyText"/>
              <w:widowControl w:val="0"/>
              <w:tabs>
                <w:tab w:val="left" w:pos="546"/>
              </w:tabs>
              <w:spacing w:after="140" w:line="239" w:lineRule="auto"/>
              <w:ind w:right="89"/>
              <w:jc w:val="both"/>
            </w:pPr>
            <w:r w:rsidRPr="00460F08">
              <w:t>At least 24 months of junior medical officer experience</w:t>
            </w:r>
          </w:p>
          <w:p w14:paraId="61F30679" w14:textId="3A122B1E" w:rsidR="005532D6" w:rsidRPr="005532D6" w:rsidRDefault="005532D6" w:rsidP="005532D6">
            <w:pPr>
              <w:pStyle w:val="BodyText"/>
              <w:widowControl w:val="0"/>
              <w:tabs>
                <w:tab w:val="left" w:pos="546"/>
              </w:tabs>
              <w:spacing w:after="140" w:line="239" w:lineRule="auto"/>
              <w:ind w:right="89"/>
              <w:jc w:val="both"/>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1755A431" w:rsidR="00B06EDE" w:rsidRDefault="00B06EDE" w:rsidP="00B06EDE"/>
    <w:p w14:paraId="4B88B66E" w14:textId="77777777" w:rsidR="005532D6" w:rsidRPr="00B06EDE" w:rsidRDefault="005532D6" w:rsidP="00B06EDE"/>
    <w:p w14:paraId="643BDE1C" w14:textId="5A95BEB3" w:rsidR="003C0450" w:rsidRDefault="003C0450" w:rsidP="005532D6">
      <w:pPr>
        <w:pStyle w:val="Heading3"/>
        <w:spacing w:before="120" w:line="300" w:lineRule="atLeast"/>
      </w:pPr>
      <w:r w:rsidRPr="00405739">
        <w:lastRenderedPageBreak/>
        <w:t xml:space="preserve">Primary Purpose: </w:t>
      </w:r>
    </w:p>
    <w:p w14:paraId="76A021C5" w14:textId="77777777" w:rsidR="00532BD1" w:rsidRPr="005532D6" w:rsidRDefault="00532BD1" w:rsidP="005532D6">
      <w:pPr>
        <w:keepLines/>
        <w:tabs>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The Anaesthetic Registrar will gain a broad range of experience in all areas of anaesthetic practice. </w:t>
      </w:r>
    </w:p>
    <w:p w14:paraId="783C7487" w14:textId="77777777" w:rsidR="00532BD1" w:rsidRPr="005532D6" w:rsidRDefault="00532BD1" w:rsidP="005532D6">
      <w:pPr>
        <w:keepLines/>
        <w:tabs>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The Anaesthetic Registrar will be involved in routine duties of the Anaesthetic Department as determined by the Director and will work under the supervision and guidance of anaesthesia specialists, in accordance with ANZCA regulations. </w:t>
      </w:r>
    </w:p>
    <w:p w14:paraId="424F69E3" w14:textId="2FB3E8E2" w:rsidR="00532BD1" w:rsidRPr="005532D6" w:rsidRDefault="00532BD1" w:rsidP="005532D6">
      <w:pPr>
        <w:keepLines/>
        <w:tabs>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TATP </w:t>
      </w:r>
      <w:r w:rsidR="00B701D7">
        <w:rPr>
          <w:rFonts w:ascii="Gill Sans MT" w:eastAsia="Times New Roman" w:hAnsi="Gill Sans MT" w:cs="Times New Roman"/>
          <w:b/>
          <w:bCs/>
          <w:szCs w:val="22"/>
          <w:u w:val="single"/>
        </w:rPr>
        <w:t>Training Pathway</w:t>
      </w:r>
      <w:r w:rsidRPr="005532D6">
        <w:rPr>
          <w:rFonts w:ascii="Gill Sans MT" w:eastAsia="Times New Roman" w:hAnsi="Gill Sans MT" w:cs="Times New Roman"/>
          <w:b/>
          <w:bCs/>
          <w:szCs w:val="22"/>
        </w:rPr>
        <w:t xml:space="preserve"> </w:t>
      </w:r>
      <w:r w:rsidRPr="005532D6">
        <w:rPr>
          <w:rFonts w:ascii="Gill Sans MT" w:eastAsia="Times New Roman" w:hAnsi="Gill Sans MT" w:cs="Times New Roman"/>
          <w:szCs w:val="22"/>
        </w:rPr>
        <w:t xml:space="preserve">Registrars are expected to rotate to </w:t>
      </w:r>
      <w:r w:rsidR="005532D6">
        <w:rPr>
          <w:rFonts w:ascii="Gill Sans MT" w:eastAsia="Times New Roman" w:hAnsi="Gill Sans MT" w:cs="Times New Roman"/>
          <w:szCs w:val="22"/>
        </w:rPr>
        <w:t xml:space="preserve">the </w:t>
      </w:r>
      <w:r w:rsidRPr="005532D6">
        <w:rPr>
          <w:rFonts w:ascii="Gill Sans MT" w:eastAsia="Times New Roman" w:hAnsi="Gill Sans MT" w:cs="Times New Roman"/>
          <w:szCs w:val="22"/>
        </w:rPr>
        <w:t xml:space="preserve">Hospitals in their 4 years of training. Trainees should spend their Advanced Training years at Royal Hobart Hospital. </w:t>
      </w:r>
    </w:p>
    <w:p w14:paraId="7B9DF344" w14:textId="77777777" w:rsidR="00532BD1" w:rsidRPr="005532D6" w:rsidRDefault="00532BD1" w:rsidP="005532D6">
      <w:pPr>
        <w:keepLines/>
        <w:tabs>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The Anaesthetic Registrar will be rostered to ensure that an appropriate case-mix of elective and emergency clinical activity is available during the training period. Sub-specialty experience will be provided during the training period. </w:t>
      </w:r>
    </w:p>
    <w:p w14:paraId="3DC1C17A" w14:textId="718335FB" w:rsidR="00B06EDE" w:rsidRPr="005532D6" w:rsidRDefault="00532BD1" w:rsidP="005532D6">
      <w:pPr>
        <w:keepLines/>
        <w:tabs>
          <w:tab w:val="left" w:pos="1134"/>
        </w:tabs>
        <w:spacing w:before="120" w:after="240"/>
        <w:rPr>
          <w:rFonts w:ascii="Gill Sans MT" w:eastAsia="Times New Roman" w:hAnsi="Gill Sans MT" w:cs="Times New Roman"/>
          <w:sz w:val="24"/>
          <w:szCs w:val="22"/>
        </w:rPr>
      </w:pPr>
      <w:r w:rsidRPr="005532D6">
        <w:rPr>
          <w:rFonts w:ascii="Gill Sans MT" w:eastAsia="Times New Roman" w:hAnsi="Gill Sans MT" w:cs="Times New Roman"/>
          <w:szCs w:val="22"/>
        </w:rPr>
        <w:t xml:space="preserve">TATP </w:t>
      </w:r>
      <w:r w:rsidRPr="005532D6">
        <w:rPr>
          <w:rFonts w:ascii="Gill Sans MT" w:eastAsia="Times New Roman" w:hAnsi="Gill Sans MT" w:cs="Times New Roman"/>
          <w:b/>
          <w:bCs/>
          <w:szCs w:val="22"/>
          <w:u w:val="single"/>
        </w:rPr>
        <w:t>Hospital</w:t>
      </w:r>
      <w:r w:rsidRPr="005532D6">
        <w:rPr>
          <w:rFonts w:ascii="Gill Sans MT" w:eastAsia="Times New Roman" w:hAnsi="Gill Sans MT" w:cs="Times New Roman"/>
          <w:b/>
          <w:bCs/>
          <w:szCs w:val="22"/>
        </w:rPr>
        <w:t xml:space="preserve"> </w:t>
      </w:r>
      <w:r w:rsidRPr="005532D6">
        <w:rPr>
          <w:rFonts w:ascii="Gill Sans MT" w:eastAsia="Times New Roman" w:hAnsi="Gill Sans MT" w:cs="Times New Roman"/>
          <w:szCs w:val="22"/>
        </w:rPr>
        <w:t xml:space="preserve">Registrars will not be expected to rotate to other Hospitals during the hospital appointment. The Anaesthetic Registrar will be rostered to ensure that an appropriate case-mix of elective and emergency is available during the training period. Sub-specialty experience will be provided whenever </w:t>
      </w:r>
      <w:proofErr w:type="gramStart"/>
      <w:r w:rsidRPr="005532D6">
        <w:rPr>
          <w:rFonts w:ascii="Gill Sans MT" w:eastAsia="Times New Roman" w:hAnsi="Gill Sans MT" w:cs="Times New Roman"/>
          <w:szCs w:val="22"/>
        </w:rPr>
        <w:t>possible, but</w:t>
      </w:r>
      <w:proofErr w:type="gramEnd"/>
      <w:r w:rsidRPr="005532D6">
        <w:rPr>
          <w:rFonts w:ascii="Gill Sans MT" w:eastAsia="Times New Roman" w:hAnsi="Gill Sans MT" w:cs="Times New Roman"/>
          <w:szCs w:val="22"/>
        </w:rPr>
        <w:t xml:space="preserve"> is not guaranteed.</w:t>
      </w:r>
    </w:p>
    <w:p w14:paraId="005DD4B6" w14:textId="10DDFB31" w:rsidR="00E91AB6" w:rsidRPr="00405739" w:rsidRDefault="00E91AB6" w:rsidP="005532D6">
      <w:pPr>
        <w:pStyle w:val="Heading3"/>
        <w:spacing w:before="120" w:line="300" w:lineRule="atLeast"/>
      </w:pPr>
      <w:r w:rsidRPr="00405739">
        <w:t>Duties:</w:t>
      </w:r>
    </w:p>
    <w:p w14:paraId="7F9F94C7" w14:textId="449E5C36" w:rsidR="00532BD1" w:rsidRPr="005532D6" w:rsidRDefault="00532BD1" w:rsidP="005532D6">
      <w:pPr>
        <w:pStyle w:val="ListParagraph"/>
        <w:keepLines/>
        <w:numPr>
          <w:ilvl w:val="0"/>
          <w:numId w:val="22"/>
        </w:numPr>
        <w:tabs>
          <w:tab w:val="clear" w:pos="1134"/>
          <w:tab w:val="clear" w:pos="1701"/>
          <w:tab w:val="num" w:pos="567"/>
        </w:tabs>
        <w:spacing w:before="120" w:after="120"/>
        <w:ind w:left="567" w:hanging="567"/>
        <w:rPr>
          <w:rFonts w:ascii="Gill Sans MT" w:eastAsia="Times New Roman" w:hAnsi="Gill Sans MT" w:cs="Times New Roman"/>
          <w:szCs w:val="22"/>
        </w:rPr>
      </w:pPr>
      <w:r w:rsidRPr="005532D6">
        <w:rPr>
          <w:rFonts w:ascii="Gill Sans MT" w:eastAsia="Times New Roman" w:hAnsi="Gill Sans MT" w:cs="Times New Roman"/>
          <w:szCs w:val="22"/>
        </w:rPr>
        <w:t xml:space="preserve">Provide services in Anaesthesia including diagnosis, </w:t>
      </w:r>
      <w:proofErr w:type="gramStart"/>
      <w:r w:rsidRPr="005532D6">
        <w:rPr>
          <w:rFonts w:ascii="Gill Sans MT" w:eastAsia="Times New Roman" w:hAnsi="Gill Sans MT" w:cs="Times New Roman"/>
          <w:szCs w:val="22"/>
        </w:rPr>
        <w:t>treatment</w:t>
      </w:r>
      <w:proofErr w:type="gramEnd"/>
      <w:r w:rsidRPr="005532D6">
        <w:rPr>
          <w:rFonts w:ascii="Gill Sans MT" w:eastAsia="Times New Roman" w:hAnsi="Gill Sans MT" w:cs="Times New Roman"/>
          <w:szCs w:val="22"/>
        </w:rPr>
        <w:t xml:space="preserve"> and care for patients, both inpatient and outpatient </w:t>
      </w:r>
      <w:r w:rsidR="001A56AB">
        <w:rPr>
          <w:rFonts w:ascii="Gill Sans MT" w:eastAsia="Times New Roman" w:hAnsi="Gill Sans MT" w:cs="Times New Roman"/>
          <w:szCs w:val="22"/>
        </w:rPr>
        <w:t>at the</w:t>
      </w:r>
      <w:r w:rsidR="005532D6">
        <w:rPr>
          <w:rFonts w:ascii="Gill Sans MT" w:eastAsia="Times New Roman" w:hAnsi="Gill Sans MT" w:cs="Times New Roman"/>
          <w:szCs w:val="22"/>
        </w:rPr>
        <w:t xml:space="preserve"> </w:t>
      </w:r>
      <w:r w:rsidRPr="005532D6">
        <w:rPr>
          <w:rFonts w:ascii="Gill Sans MT" w:eastAsia="Times New Roman" w:hAnsi="Gill Sans MT" w:cs="Times New Roman"/>
          <w:szCs w:val="22"/>
        </w:rPr>
        <w:t>Hospitals.</w:t>
      </w:r>
    </w:p>
    <w:p w14:paraId="281B94B3" w14:textId="77777777" w:rsidR="00532BD1" w:rsidRPr="005532D6" w:rsidRDefault="00532BD1" w:rsidP="005532D6">
      <w:pPr>
        <w:pStyle w:val="ListParagraph"/>
        <w:keepLines/>
        <w:numPr>
          <w:ilvl w:val="0"/>
          <w:numId w:val="22"/>
        </w:numPr>
        <w:tabs>
          <w:tab w:val="clear" w:pos="1134"/>
          <w:tab w:val="clear" w:pos="1701"/>
          <w:tab w:val="num" w:pos="567"/>
        </w:tabs>
        <w:spacing w:before="120" w:after="120"/>
        <w:ind w:left="567" w:hanging="567"/>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Participate in departmental teaching/education programs. </w:t>
      </w:r>
    </w:p>
    <w:p w14:paraId="45245AFD" w14:textId="77777777" w:rsidR="00532BD1" w:rsidRPr="005532D6" w:rsidRDefault="00532BD1" w:rsidP="005532D6">
      <w:pPr>
        <w:pStyle w:val="ListParagraph"/>
        <w:keepLines/>
        <w:numPr>
          <w:ilvl w:val="0"/>
          <w:numId w:val="22"/>
        </w:numPr>
        <w:tabs>
          <w:tab w:val="clear" w:pos="1134"/>
          <w:tab w:val="clear" w:pos="1701"/>
          <w:tab w:val="num" w:pos="567"/>
        </w:tabs>
        <w:spacing w:before="120" w:after="120"/>
        <w:ind w:left="567" w:hanging="567"/>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Participate in research in Anaesthesia. </w:t>
      </w:r>
    </w:p>
    <w:p w14:paraId="1EC36C16" w14:textId="77777777" w:rsidR="00532BD1" w:rsidRPr="005532D6" w:rsidRDefault="00532BD1" w:rsidP="005532D6">
      <w:pPr>
        <w:pStyle w:val="ListParagraph"/>
        <w:keepLines/>
        <w:numPr>
          <w:ilvl w:val="0"/>
          <w:numId w:val="22"/>
        </w:numPr>
        <w:tabs>
          <w:tab w:val="clear" w:pos="1134"/>
          <w:tab w:val="clear" w:pos="1701"/>
          <w:tab w:val="num" w:pos="567"/>
        </w:tabs>
        <w:spacing w:before="120" w:after="120"/>
        <w:ind w:left="567" w:hanging="567"/>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Participate in an out-of-hours Anaesthetic Registrar roster. </w:t>
      </w:r>
    </w:p>
    <w:p w14:paraId="53FF64BA" w14:textId="29B726FF" w:rsidR="00532BD1" w:rsidRPr="005532D6" w:rsidRDefault="00532BD1" w:rsidP="005532D6">
      <w:pPr>
        <w:pStyle w:val="ListParagraph"/>
        <w:keepLines/>
        <w:numPr>
          <w:ilvl w:val="0"/>
          <w:numId w:val="22"/>
        </w:numPr>
        <w:tabs>
          <w:tab w:val="clear" w:pos="1134"/>
          <w:tab w:val="clear" w:pos="1701"/>
          <w:tab w:val="num" w:pos="567"/>
        </w:tabs>
        <w:spacing w:before="120" w:after="120"/>
        <w:ind w:left="567" w:hanging="567"/>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Participate in administrative matters as required by Director of the Department of Anaesthesia. </w:t>
      </w:r>
    </w:p>
    <w:p w14:paraId="07C81E32" w14:textId="77777777" w:rsidR="00532BD1" w:rsidRPr="005532D6" w:rsidRDefault="00532BD1" w:rsidP="005532D6">
      <w:pPr>
        <w:pStyle w:val="ListParagraph"/>
        <w:keepLines/>
        <w:numPr>
          <w:ilvl w:val="0"/>
          <w:numId w:val="22"/>
        </w:numPr>
        <w:tabs>
          <w:tab w:val="clear" w:pos="1134"/>
          <w:tab w:val="clear" w:pos="1701"/>
          <w:tab w:val="num" w:pos="567"/>
        </w:tabs>
        <w:spacing w:before="120" w:after="120"/>
        <w:ind w:left="567" w:hanging="567"/>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Participate in continuous quality improvement activities. </w:t>
      </w:r>
    </w:p>
    <w:p w14:paraId="4C16BA50" w14:textId="77777777" w:rsidR="00532BD1" w:rsidRPr="005532D6" w:rsidRDefault="00532BD1" w:rsidP="005532D6">
      <w:pPr>
        <w:pStyle w:val="ListParagraph"/>
        <w:keepLines/>
        <w:numPr>
          <w:ilvl w:val="0"/>
          <w:numId w:val="22"/>
        </w:numPr>
        <w:tabs>
          <w:tab w:val="clear" w:pos="1134"/>
          <w:tab w:val="clear" w:pos="1701"/>
          <w:tab w:val="num" w:pos="567"/>
        </w:tabs>
        <w:spacing w:before="120" w:after="120"/>
        <w:ind w:left="567" w:hanging="567"/>
        <w:rPr>
          <w:rFonts w:ascii="Gill Sans MT" w:eastAsia="Times New Roman" w:hAnsi="Gill Sans MT" w:cs="Times New Roman"/>
          <w:szCs w:val="22"/>
        </w:rPr>
      </w:pPr>
      <w:r w:rsidRPr="005532D6">
        <w:rPr>
          <w:rFonts w:ascii="Gill Sans MT" w:eastAsia="Times New Roman" w:hAnsi="Gill Sans MT" w:cs="Times New Roman"/>
          <w:szCs w:val="22"/>
        </w:rPr>
        <w:t xml:space="preserve">Observe all hospital policies and procedures and statutory regulations. </w:t>
      </w:r>
    </w:p>
    <w:p w14:paraId="071E08BB" w14:textId="77777777" w:rsidR="00532BD1" w:rsidRPr="005532D6" w:rsidRDefault="00E91AB6" w:rsidP="005532D6">
      <w:pPr>
        <w:pStyle w:val="ListParagraph"/>
        <w:keepLines/>
        <w:numPr>
          <w:ilvl w:val="0"/>
          <w:numId w:val="22"/>
        </w:numPr>
        <w:tabs>
          <w:tab w:val="clear" w:pos="1134"/>
          <w:tab w:val="clear" w:pos="1701"/>
          <w:tab w:val="num" w:pos="567"/>
        </w:tabs>
        <w:spacing w:before="120" w:after="120"/>
        <w:ind w:left="567" w:hanging="567"/>
        <w:rPr>
          <w:rFonts w:ascii="Gill Sans MT" w:eastAsia="Times New Roman" w:hAnsi="Gill Sans MT" w:cs="Times New Roman"/>
          <w:szCs w:val="22"/>
        </w:rPr>
      </w:pPr>
      <w:r w:rsidRPr="005532D6">
        <w:rPr>
          <w:szCs w:val="22"/>
        </w:rPr>
        <w:t xml:space="preserve">Actively participate in and contribute to the organisation’s Quality &amp; Safety and Work Health &amp; Safety processes, including </w:t>
      </w:r>
      <w:r w:rsidR="00CD2D3B" w:rsidRPr="005532D6">
        <w:rPr>
          <w:szCs w:val="22"/>
        </w:rPr>
        <w:t xml:space="preserve">in </w:t>
      </w:r>
      <w:r w:rsidRPr="005532D6">
        <w:rPr>
          <w:szCs w:val="22"/>
        </w:rPr>
        <w:t>the development and implementation of safety systems, improvement initiatives and related training.</w:t>
      </w:r>
    </w:p>
    <w:p w14:paraId="779AC6A6" w14:textId="34DC6BBD" w:rsidR="00E91AB6" w:rsidRPr="005532D6" w:rsidRDefault="00E91AB6" w:rsidP="005532D6">
      <w:pPr>
        <w:pStyle w:val="ListParagraph"/>
        <w:keepLines/>
        <w:numPr>
          <w:ilvl w:val="0"/>
          <w:numId w:val="22"/>
        </w:numPr>
        <w:tabs>
          <w:tab w:val="clear" w:pos="1134"/>
          <w:tab w:val="clear" w:pos="1701"/>
          <w:tab w:val="num" w:pos="567"/>
        </w:tabs>
        <w:spacing w:before="120" w:after="240"/>
        <w:ind w:left="567" w:hanging="567"/>
        <w:rPr>
          <w:rFonts w:ascii="Gill Sans MT" w:eastAsia="Times New Roman" w:hAnsi="Gill Sans MT" w:cs="Times New Roman"/>
          <w:szCs w:val="22"/>
        </w:rPr>
      </w:pPr>
      <w:r w:rsidRPr="005532D6">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5532D6">
      <w:pPr>
        <w:pStyle w:val="Heading3"/>
        <w:spacing w:before="120" w:line="300" w:lineRule="atLeast"/>
      </w:pPr>
      <w:r>
        <w:t>Key Accountabilities and Responsibilities:</w:t>
      </w:r>
    </w:p>
    <w:p w14:paraId="43138BE6" w14:textId="216FF8AE" w:rsidR="00532BD1" w:rsidRPr="005532D6" w:rsidRDefault="00532BD1" w:rsidP="005532D6">
      <w:pPr>
        <w:pStyle w:val="ListParagraph"/>
        <w:spacing w:before="120" w:after="120"/>
        <w:rPr>
          <w:szCs w:val="22"/>
          <w:lang w:eastAsia="en-AU"/>
        </w:rPr>
      </w:pPr>
      <w:r w:rsidRPr="005532D6">
        <w:rPr>
          <w:iCs/>
          <w:szCs w:val="22"/>
        </w:rPr>
        <w:t>Provide</w:t>
      </w:r>
      <w:r w:rsidRPr="005532D6">
        <w:rPr>
          <w:szCs w:val="22"/>
          <w:lang w:eastAsia="en-AU"/>
        </w:rPr>
        <w:t xml:space="preserve"> a </w:t>
      </w:r>
      <w:proofErr w:type="gramStart"/>
      <w:r w:rsidRPr="005532D6">
        <w:rPr>
          <w:szCs w:val="22"/>
          <w:lang w:eastAsia="en-AU"/>
        </w:rPr>
        <w:t>high quality</w:t>
      </w:r>
      <w:proofErr w:type="gramEnd"/>
      <w:r w:rsidRPr="005532D6">
        <w:rPr>
          <w:szCs w:val="22"/>
          <w:lang w:eastAsia="en-AU"/>
        </w:rPr>
        <w:t xml:space="preserve"> service under the direction of the Director of the Department of Anaesthesia to patients of</w:t>
      </w:r>
      <w:r w:rsidR="005532D6">
        <w:rPr>
          <w:szCs w:val="22"/>
          <w:lang w:eastAsia="en-AU"/>
        </w:rPr>
        <w:t xml:space="preserve"> </w:t>
      </w:r>
      <w:r w:rsidRPr="005532D6">
        <w:rPr>
          <w:szCs w:val="22"/>
          <w:lang w:eastAsia="en-AU"/>
        </w:rPr>
        <w:t>Hospitals</w:t>
      </w:r>
      <w:r w:rsidR="005532D6">
        <w:rPr>
          <w:szCs w:val="22"/>
          <w:lang w:eastAsia="en-AU"/>
        </w:rPr>
        <w:t xml:space="preserve"> South</w:t>
      </w:r>
      <w:r w:rsidRPr="005532D6">
        <w:rPr>
          <w:szCs w:val="22"/>
          <w:lang w:eastAsia="en-AU"/>
        </w:rPr>
        <w:t xml:space="preserve">, by: </w:t>
      </w:r>
    </w:p>
    <w:p w14:paraId="5FEAD616"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Providing appropriate clinical care to patients, under appropriate level of supervision as stipulated by Australian and New Zealand College of Anaesthetists. </w:t>
      </w:r>
    </w:p>
    <w:p w14:paraId="4F23FA89"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Coordinating the follow-up care of patients. </w:t>
      </w:r>
    </w:p>
    <w:p w14:paraId="324F2CDE" w14:textId="73E4F7F5" w:rsidR="00532BD1"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Attending inpatient rounds and consulting clinics as scheduled. </w:t>
      </w:r>
    </w:p>
    <w:p w14:paraId="32096BEA" w14:textId="77777777" w:rsidR="005532D6" w:rsidRPr="005532D6" w:rsidRDefault="005532D6" w:rsidP="005532D6">
      <w:pPr>
        <w:keepLines/>
        <w:tabs>
          <w:tab w:val="left" w:pos="567"/>
          <w:tab w:val="left" w:pos="1134"/>
          <w:tab w:val="num" w:pos="3969"/>
        </w:tabs>
        <w:spacing w:before="120" w:after="120"/>
        <w:ind w:left="1135"/>
        <w:rPr>
          <w:rFonts w:ascii="Gill Sans MT" w:eastAsia="Times New Roman" w:hAnsi="Gill Sans MT" w:cs="Times New Roman"/>
          <w:szCs w:val="22"/>
          <w:lang w:eastAsia="en-AU"/>
        </w:rPr>
      </w:pPr>
    </w:p>
    <w:p w14:paraId="227904FC"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lastRenderedPageBreak/>
        <w:t xml:space="preserve">Contributing to an after-hours on-call service in accordance with a roster. </w:t>
      </w:r>
    </w:p>
    <w:p w14:paraId="17C10434"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Ensuring effective communication with care providers, to promote continuity of patient care. </w:t>
      </w:r>
    </w:p>
    <w:p w14:paraId="62CAEB65"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Ensuring appropriate and high-quality documentation in patient records. </w:t>
      </w:r>
    </w:p>
    <w:p w14:paraId="1DB57DDA" w14:textId="77777777" w:rsidR="00532BD1" w:rsidRPr="005532D6" w:rsidRDefault="00532BD1" w:rsidP="005532D6">
      <w:pPr>
        <w:pStyle w:val="ListParagraph"/>
        <w:spacing w:before="120" w:after="120"/>
        <w:rPr>
          <w:szCs w:val="22"/>
        </w:rPr>
      </w:pPr>
      <w:r w:rsidRPr="005532D6">
        <w:rPr>
          <w:iCs/>
          <w:szCs w:val="22"/>
        </w:rPr>
        <w:t>Demonstrate</w:t>
      </w:r>
      <w:r w:rsidRPr="005532D6">
        <w:rPr>
          <w:szCs w:val="22"/>
        </w:rPr>
        <w:t xml:space="preserve"> a commitment to continuous service improvement by participating in: </w:t>
      </w:r>
    </w:p>
    <w:p w14:paraId="56A9C6D9"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Attending clinical and departmental meetings. </w:t>
      </w:r>
    </w:p>
    <w:p w14:paraId="4A3E4494"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The development of clinical guidelines and protocols. </w:t>
      </w:r>
    </w:p>
    <w:p w14:paraId="51D9C21F"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Participating in department audit and quality assurance </w:t>
      </w:r>
      <w:proofErr w:type="gramStart"/>
      <w:r w:rsidRPr="005532D6">
        <w:rPr>
          <w:rFonts w:ascii="Gill Sans MT" w:eastAsia="Times New Roman" w:hAnsi="Gill Sans MT" w:cs="Times New Roman"/>
          <w:szCs w:val="22"/>
          <w:lang w:eastAsia="en-AU"/>
        </w:rPr>
        <w:t>activities;</w:t>
      </w:r>
      <w:proofErr w:type="gramEnd"/>
      <w:r w:rsidRPr="005532D6">
        <w:rPr>
          <w:rFonts w:ascii="Gill Sans MT" w:eastAsia="Times New Roman" w:hAnsi="Gill Sans MT" w:cs="Times New Roman"/>
          <w:szCs w:val="22"/>
          <w:lang w:eastAsia="en-AU"/>
        </w:rPr>
        <w:t xml:space="preserve"> </w:t>
      </w:r>
    </w:p>
    <w:p w14:paraId="29F90FBB" w14:textId="471CD471"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Participating in quality improvement programs undertaken by </w:t>
      </w:r>
      <w:r w:rsidR="00A948B8">
        <w:rPr>
          <w:rFonts w:ascii="Gill Sans MT" w:eastAsia="Times New Roman" w:hAnsi="Gill Sans MT" w:cs="Times New Roman"/>
          <w:szCs w:val="22"/>
          <w:lang w:eastAsia="en-AU"/>
        </w:rPr>
        <w:t xml:space="preserve">the Tasmanian Health </w:t>
      </w:r>
      <w:proofErr w:type="gramStart"/>
      <w:r w:rsidR="00A948B8">
        <w:rPr>
          <w:rFonts w:ascii="Gill Sans MT" w:eastAsia="Times New Roman" w:hAnsi="Gill Sans MT" w:cs="Times New Roman"/>
          <w:szCs w:val="22"/>
          <w:lang w:eastAsia="en-AU"/>
        </w:rPr>
        <w:t>Service</w:t>
      </w:r>
      <w:r w:rsidRPr="005532D6">
        <w:rPr>
          <w:rFonts w:ascii="Gill Sans MT" w:eastAsia="Times New Roman" w:hAnsi="Gill Sans MT" w:cs="Times New Roman"/>
          <w:szCs w:val="22"/>
          <w:lang w:eastAsia="en-AU"/>
        </w:rPr>
        <w:t>;</w:t>
      </w:r>
      <w:proofErr w:type="gramEnd"/>
      <w:r w:rsidRPr="005532D6">
        <w:rPr>
          <w:rFonts w:ascii="Gill Sans MT" w:eastAsia="Times New Roman" w:hAnsi="Gill Sans MT" w:cs="Times New Roman"/>
          <w:szCs w:val="22"/>
          <w:lang w:eastAsia="en-AU"/>
        </w:rPr>
        <w:t xml:space="preserve"> </w:t>
      </w:r>
    </w:p>
    <w:p w14:paraId="52DD450F"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lang w:eastAsia="en-AU"/>
        </w:rPr>
      </w:pPr>
      <w:r w:rsidRPr="005532D6">
        <w:rPr>
          <w:rFonts w:ascii="Gill Sans MT" w:eastAsia="Times New Roman" w:hAnsi="Gill Sans MT" w:cs="Times New Roman"/>
          <w:szCs w:val="22"/>
          <w:lang w:eastAsia="en-AU"/>
        </w:rPr>
        <w:t xml:space="preserve">Participating in College-based programs directed towards maintaining the highest standards of professional care; and </w:t>
      </w:r>
    </w:p>
    <w:p w14:paraId="0DAF3F46"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lang w:eastAsia="en-AU"/>
        </w:rPr>
        <w:t>Participating in personal</w:t>
      </w:r>
      <w:r w:rsidRPr="005532D6">
        <w:rPr>
          <w:rFonts w:ascii="Gill Sans MT" w:eastAsia="Times New Roman" w:hAnsi="Gill Sans MT" w:cs="Times New Roman"/>
          <w:szCs w:val="22"/>
        </w:rPr>
        <w:t xml:space="preserve"> performance appraisal. </w:t>
      </w:r>
    </w:p>
    <w:p w14:paraId="171B0659" w14:textId="77777777" w:rsidR="00532BD1" w:rsidRPr="005532D6" w:rsidRDefault="00532BD1" w:rsidP="005532D6">
      <w:pPr>
        <w:pStyle w:val="ListParagraph"/>
        <w:spacing w:before="120" w:after="120"/>
        <w:rPr>
          <w:szCs w:val="22"/>
        </w:rPr>
      </w:pPr>
      <w:r w:rsidRPr="005532D6">
        <w:rPr>
          <w:iCs/>
          <w:szCs w:val="22"/>
        </w:rPr>
        <w:t>Demonstrate</w:t>
      </w:r>
      <w:r w:rsidRPr="005532D6">
        <w:rPr>
          <w:szCs w:val="22"/>
        </w:rPr>
        <w:t xml:space="preserve"> a commitment to personal and professional development by: </w:t>
      </w:r>
    </w:p>
    <w:p w14:paraId="02CF345D"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Attending educational programs to maintain and enhance knowledge. </w:t>
      </w:r>
    </w:p>
    <w:p w14:paraId="621897D1"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Meeting the training standards and requirements of the Australian and New Zealand College of Anaesthetists. </w:t>
      </w:r>
    </w:p>
    <w:p w14:paraId="64852A6E"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Participating in programs designed to provide personal growth and development. </w:t>
      </w:r>
    </w:p>
    <w:p w14:paraId="63B9B851" w14:textId="77777777" w:rsidR="00532BD1" w:rsidRPr="005532D6" w:rsidRDefault="00532BD1" w:rsidP="005532D6">
      <w:pPr>
        <w:pStyle w:val="ListParagraph"/>
        <w:spacing w:before="120" w:after="120"/>
        <w:rPr>
          <w:szCs w:val="22"/>
        </w:rPr>
      </w:pPr>
      <w:r w:rsidRPr="005532D6">
        <w:rPr>
          <w:szCs w:val="22"/>
        </w:rPr>
        <w:t xml:space="preserve">Demonstrate a </w:t>
      </w:r>
      <w:r w:rsidRPr="005532D6">
        <w:rPr>
          <w:iCs/>
          <w:szCs w:val="22"/>
        </w:rPr>
        <w:t>commitment</w:t>
      </w:r>
      <w:r w:rsidRPr="005532D6">
        <w:rPr>
          <w:szCs w:val="22"/>
        </w:rPr>
        <w:t xml:space="preserve"> to the provision of a multidisciplinary approach to clinical care by: </w:t>
      </w:r>
    </w:p>
    <w:p w14:paraId="66E0ED04"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Working harmoniously with all members of the clinical team. </w:t>
      </w:r>
    </w:p>
    <w:p w14:paraId="5DF19A61"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Being responsive to the expectations and needs of both clinical and non-clinical colleagues. </w:t>
      </w:r>
    </w:p>
    <w:p w14:paraId="0BB9D635" w14:textId="77777777" w:rsidR="00532BD1" w:rsidRPr="005532D6" w:rsidRDefault="00532BD1" w:rsidP="005532D6">
      <w:pPr>
        <w:pStyle w:val="ListParagraph"/>
        <w:spacing w:before="120" w:after="120"/>
        <w:rPr>
          <w:szCs w:val="22"/>
        </w:rPr>
      </w:pPr>
      <w:r w:rsidRPr="005532D6">
        <w:rPr>
          <w:szCs w:val="22"/>
        </w:rPr>
        <w:t xml:space="preserve">Engender a consumer focus in service delivery by: </w:t>
      </w:r>
    </w:p>
    <w:p w14:paraId="735B772F"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Ensuring consumers </w:t>
      </w:r>
      <w:proofErr w:type="gramStart"/>
      <w:r w:rsidRPr="005532D6">
        <w:rPr>
          <w:rFonts w:ascii="Gill Sans MT" w:eastAsia="Times New Roman" w:hAnsi="Gill Sans MT" w:cs="Times New Roman"/>
          <w:szCs w:val="22"/>
        </w:rPr>
        <w:t>are able to</w:t>
      </w:r>
      <w:proofErr w:type="gramEnd"/>
      <w:r w:rsidRPr="005532D6">
        <w:rPr>
          <w:rFonts w:ascii="Gill Sans MT" w:eastAsia="Times New Roman" w:hAnsi="Gill Sans MT" w:cs="Times New Roman"/>
          <w:szCs w:val="22"/>
        </w:rPr>
        <w:t xml:space="preserve"> exercise their rights and responsibilities. </w:t>
      </w:r>
    </w:p>
    <w:p w14:paraId="16F82E4D"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Ensuring that patients and families are given adequate information upon which to base treatment decisions and follow up. </w:t>
      </w:r>
    </w:p>
    <w:p w14:paraId="4A150CEC"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Ensuring respect for patients’ dignity and maintenance of confidentiality of medical information. </w:t>
      </w:r>
    </w:p>
    <w:p w14:paraId="249DA87B"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Demonstrating empathy for patients and their families. </w:t>
      </w:r>
    </w:p>
    <w:p w14:paraId="4F553BFE" w14:textId="77777777" w:rsidR="00532BD1" w:rsidRPr="005532D6" w:rsidRDefault="00532BD1" w:rsidP="005532D6">
      <w:pPr>
        <w:pStyle w:val="ListParagraph"/>
        <w:spacing w:before="120" w:after="120"/>
        <w:rPr>
          <w:szCs w:val="22"/>
        </w:rPr>
      </w:pPr>
      <w:r w:rsidRPr="005532D6">
        <w:rPr>
          <w:szCs w:val="22"/>
        </w:rPr>
        <w:t xml:space="preserve">Provide appropriate support, direction and training to trainee medical officers, nurses and medical students and paramedical personnel by: </w:t>
      </w:r>
    </w:p>
    <w:p w14:paraId="13EB59CA"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Participating in the education of trainee medical staff, nurses, medical </w:t>
      </w:r>
      <w:proofErr w:type="gramStart"/>
      <w:r w:rsidRPr="005532D6">
        <w:rPr>
          <w:rFonts w:ascii="Gill Sans MT" w:eastAsia="Times New Roman" w:hAnsi="Gill Sans MT" w:cs="Times New Roman"/>
          <w:szCs w:val="22"/>
        </w:rPr>
        <w:t>students</w:t>
      </w:r>
      <w:proofErr w:type="gramEnd"/>
      <w:r w:rsidRPr="005532D6">
        <w:rPr>
          <w:rFonts w:ascii="Gill Sans MT" w:eastAsia="Times New Roman" w:hAnsi="Gill Sans MT" w:cs="Times New Roman"/>
          <w:szCs w:val="22"/>
        </w:rPr>
        <w:t xml:space="preserve"> and paramedical personnel. </w:t>
      </w:r>
    </w:p>
    <w:p w14:paraId="46E05E0B" w14:textId="77777777" w:rsidR="00532BD1" w:rsidRPr="005532D6" w:rsidRDefault="00532BD1" w:rsidP="005532D6">
      <w:pPr>
        <w:pStyle w:val="ListParagraph"/>
        <w:spacing w:before="120" w:after="120"/>
        <w:rPr>
          <w:szCs w:val="22"/>
        </w:rPr>
      </w:pPr>
      <w:r w:rsidRPr="005532D6">
        <w:rPr>
          <w:szCs w:val="22"/>
        </w:rPr>
        <w:t xml:space="preserve">Participate in and contribute to the academic life of the Department by: </w:t>
      </w:r>
    </w:p>
    <w:p w14:paraId="2884A6A9"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Conducting research. </w:t>
      </w:r>
    </w:p>
    <w:p w14:paraId="03FA72FF" w14:textId="58AE0B56" w:rsidR="00532BD1"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Participating actively in educational activities </w:t>
      </w:r>
      <w:proofErr w:type="spellStart"/>
      <w:r w:rsidRPr="005532D6">
        <w:rPr>
          <w:rFonts w:ascii="Gill Sans MT" w:eastAsia="Times New Roman" w:hAnsi="Gill Sans MT" w:cs="Times New Roman"/>
          <w:szCs w:val="22"/>
        </w:rPr>
        <w:t>eg</w:t>
      </w:r>
      <w:proofErr w:type="spellEnd"/>
      <w:r w:rsidRPr="005532D6">
        <w:rPr>
          <w:rFonts w:ascii="Gill Sans MT" w:eastAsia="Times New Roman" w:hAnsi="Gill Sans MT" w:cs="Times New Roman"/>
          <w:szCs w:val="22"/>
        </w:rPr>
        <w:t xml:space="preserve">: Grand Rounds, Department Meetings, and Journal Club. </w:t>
      </w:r>
    </w:p>
    <w:p w14:paraId="27F5D6E3" w14:textId="074B97D1" w:rsidR="005532D6" w:rsidRDefault="005532D6" w:rsidP="005532D6"/>
    <w:p w14:paraId="7A0BE797" w14:textId="77777777" w:rsidR="005532D6" w:rsidRPr="005532D6" w:rsidRDefault="005532D6" w:rsidP="005532D6"/>
    <w:p w14:paraId="3A1A4CB2" w14:textId="77777777" w:rsidR="00532BD1" w:rsidRPr="005532D6" w:rsidRDefault="00532BD1" w:rsidP="005532D6">
      <w:pPr>
        <w:pStyle w:val="ListParagraph"/>
        <w:spacing w:before="120" w:after="120"/>
        <w:rPr>
          <w:szCs w:val="22"/>
        </w:rPr>
      </w:pPr>
      <w:r w:rsidRPr="005532D6">
        <w:rPr>
          <w:szCs w:val="22"/>
        </w:rPr>
        <w:lastRenderedPageBreak/>
        <w:t xml:space="preserve">Promote and contribute to the maintenance of a safe working environment by: </w:t>
      </w:r>
    </w:p>
    <w:p w14:paraId="1DFD1B03"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Complying with work health and safety and welfare policies and other written arrangements for work health and safety and welfare at work. </w:t>
      </w:r>
    </w:p>
    <w:p w14:paraId="12020D79"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Participating in relevant occupational health, </w:t>
      </w:r>
      <w:proofErr w:type="gramStart"/>
      <w:r w:rsidRPr="005532D6">
        <w:rPr>
          <w:rFonts w:ascii="Gill Sans MT" w:eastAsia="Times New Roman" w:hAnsi="Gill Sans MT" w:cs="Times New Roman"/>
          <w:szCs w:val="22"/>
        </w:rPr>
        <w:t>safety</w:t>
      </w:r>
      <w:proofErr w:type="gramEnd"/>
      <w:r w:rsidRPr="005532D6">
        <w:rPr>
          <w:rFonts w:ascii="Gill Sans MT" w:eastAsia="Times New Roman" w:hAnsi="Gill Sans MT" w:cs="Times New Roman"/>
          <w:szCs w:val="22"/>
        </w:rPr>
        <w:t xml:space="preserve"> and welfare programs. </w:t>
      </w:r>
    </w:p>
    <w:p w14:paraId="73CB8417"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Complying with any reasonable instruction and following safe-work practices in relation to work health, </w:t>
      </w:r>
      <w:proofErr w:type="gramStart"/>
      <w:r w:rsidRPr="005532D6">
        <w:rPr>
          <w:rFonts w:ascii="Gill Sans MT" w:eastAsia="Times New Roman" w:hAnsi="Gill Sans MT" w:cs="Times New Roman"/>
          <w:szCs w:val="22"/>
        </w:rPr>
        <w:t>safety</w:t>
      </w:r>
      <w:proofErr w:type="gramEnd"/>
      <w:r w:rsidRPr="005532D6">
        <w:rPr>
          <w:rFonts w:ascii="Gill Sans MT" w:eastAsia="Times New Roman" w:hAnsi="Gill Sans MT" w:cs="Times New Roman"/>
          <w:szCs w:val="22"/>
        </w:rPr>
        <w:t xml:space="preserve"> and welfare at work. </w:t>
      </w:r>
    </w:p>
    <w:p w14:paraId="61975BD7"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Participating in training programs and on-the-job training programs for occupational health, </w:t>
      </w:r>
      <w:proofErr w:type="gramStart"/>
      <w:r w:rsidRPr="005532D6">
        <w:rPr>
          <w:rFonts w:ascii="Gill Sans MT" w:eastAsia="Times New Roman" w:hAnsi="Gill Sans MT" w:cs="Times New Roman"/>
          <w:szCs w:val="22"/>
        </w:rPr>
        <w:t>safety</w:t>
      </w:r>
      <w:proofErr w:type="gramEnd"/>
      <w:r w:rsidRPr="005532D6">
        <w:rPr>
          <w:rFonts w:ascii="Gill Sans MT" w:eastAsia="Times New Roman" w:hAnsi="Gill Sans MT" w:cs="Times New Roman"/>
          <w:szCs w:val="22"/>
        </w:rPr>
        <w:t xml:space="preserve"> and welfare. </w:t>
      </w:r>
    </w:p>
    <w:p w14:paraId="06AB401E"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Reporting all incidents, accidents and observed hazards to their supervisor or manager as soon as possible and assisting in the investigation process. </w:t>
      </w:r>
    </w:p>
    <w:p w14:paraId="72C77FC9"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Supporting the role of the health and safety representatives by keeping them informed of any issues relating to health, </w:t>
      </w:r>
      <w:proofErr w:type="gramStart"/>
      <w:r w:rsidRPr="005532D6">
        <w:rPr>
          <w:rFonts w:ascii="Gill Sans MT" w:eastAsia="Times New Roman" w:hAnsi="Gill Sans MT" w:cs="Times New Roman"/>
          <w:szCs w:val="22"/>
        </w:rPr>
        <w:t>safety</w:t>
      </w:r>
      <w:proofErr w:type="gramEnd"/>
      <w:r w:rsidRPr="005532D6">
        <w:rPr>
          <w:rFonts w:ascii="Gill Sans MT" w:eastAsia="Times New Roman" w:hAnsi="Gill Sans MT" w:cs="Times New Roman"/>
          <w:szCs w:val="22"/>
        </w:rPr>
        <w:t xml:space="preserve"> and welfare in the workplaces. </w:t>
      </w:r>
    </w:p>
    <w:p w14:paraId="6A7E2765"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Ensuring that you are not, by the consumption of alcohol or a drug, in such a state as to endanger your own health, safety at work or the health and safety or any other person. </w:t>
      </w:r>
    </w:p>
    <w:p w14:paraId="04BA44C2" w14:textId="77777777" w:rsidR="00532BD1" w:rsidRPr="005532D6" w:rsidRDefault="00532BD1" w:rsidP="005532D6">
      <w:pPr>
        <w:keepLines/>
        <w:numPr>
          <w:ilvl w:val="1"/>
          <w:numId w:val="11"/>
        </w:numPr>
        <w:tabs>
          <w:tab w:val="left" w:pos="567"/>
          <w:tab w:val="left" w:pos="1134"/>
        </w:tabs>
        <w:spacing w:before="120" w:after="120"/>
        <w:rPr>
          <w:rFonts w:ascii="Gill Sans MT" w:eastAsia="Times New Roman" w:hAnsi="Gill Sans MT" w:cs="Times New Roman"/>
          <w:szCs w:val="22"/>
        </w:rPr>
      </w:pPr>
      <w:r w:rsidRPr="005532D6">
        <w:rPr>
          <w:rFonts w:ascii="Gill Sans MT" w:eastAsia="Times New Roman" w:hAnsi="Gill Sans MT" w:cs="Times New Roman"/>
          <w:szCs w:val="22"/>
        </w:rPr>
        <w:t xml:space="preserve">Participating in appraisals to evaluate Work Health and Safety performance. </w:t>
      </w:r>
    </w:p>
    <w:p w14:paraId="39EB6798" w14:textId="77777777" w:rsidR="006A0866" w:rsidRDefault="006A0866" w:rsidP="006A0866">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6F20265" w14:textId="77777777" w:rsidR="006A0866" w:rsidRDefault="006A0866" w:rsidP="006A0866">
      <w:pPr>
        <w:pStyle w:val="ListParagraph"/>
        <w:spacing w:after="240"/>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5532D6">
      <w:pPr>
        <w:pStyle w:val="Heading3"/>
        <w:spacing w:before="120" w:line="300" w:lineRule="atLeast"/>
      </w:pPr>
      <w:r>
        <w:t>Pre-employment Conditions</w:t>
      </w:r>
      <w:r w:rsidR="00E91AB6">
        <w:t>:</w:t>
      </w:r>
    </w:p>
    <w:p w14:paraId="546871E2" w14:textId="76ACAA24" w:rsidR="00996960" w:rsidRPr="00996960" w:rsidRDefault="00B97D5F" w:rsidP="005532D6">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5532D6">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532D6">
      <w:pPr>
        <w:pStyle w:val="ListNumbered"/>
        <w:numPr>
          <w:ilvl w:val="0"/>
          <w:numId w:val="16"/>
        </w:numPr>
        <w:spacing w:before="120" w:after="120"/>
      </w:pPr>
      <w:r>
        <w:t>Conviction checks in the following areas:</w:t>
      </w:r>
    </w:p>
    <w:p w14:paraId="147CDE9F" w14:textId="77777777" w:rsidR="00E91AB6" w:rsidRDefault="00E91AB6" w:rsidP="005532D6">
      <w:pPr>
        <w:pStyle w:val="ListNumbered"/>
        <w:numPr>
          <w:ilvl w:val="1"/>
          <w:numId w:val="13"/>
        </w:numPr>
        <w:spacing w:before="120" w:after="120"/>
      </w:pPr>
      <w:r>
        <w:t>crimes of violence</w:t>
      </w:r>
    </w:p>
    <w:p w14:paraId="15754481" w14:textId="77777777" w:rsidR="00E91AB6" w:rsidRDefault="00E91AB6" w:rsidP="005532D6">
      <w:pPr>
        <w:pStyle w:val="ListNumbered"/>
        <w:numPr>
          <w:ilvl w:val="1"/>
          <w:numId w:val="13"/>
        </w:numPr>
        <w:spacing w:before="120" w:after="120"/>
      </w:pPr>
      <w:r>
        <w:t>sex related offences</w:t>
      </w:r>
    </w:p>
    <w:p w14:paraId="4ED1D6AD" w14:textId="77777777" w:rsidR="00E91AB6" w:rsidRDefault="00E91AB6" w:rsidP="005532D6">
      <w:pPr>
        <w:pStyle w:val="ListNumbered"/>
        <w:numPr>
          <w:ilvl w:val="1"/>
          <w:numId w:val="13"/>
        </w:numPr>
        <w:spacing w:before="120" w:after="120"/>
      </w:pPr>
      <w:r>
        <w:t>serious drug offences</w:t>
      </w:r>
    </w:p>
    <w:p w14:paraId="2F95386B" w14:textId="77777777" w:rsidR="00405739" w:rsidRDefault="00E91AB6" w:rsidP="005532D6">
      <w:pPr>
        <w:pStyle w:val="ListNumbered"/>
        <w:numPr>
          <w:ilvl w:val="1"/>
          <w:numId w:val="13"/>
        </w:numPr>
        <w:spacing w:before="120" w:after="120"/>
      </w:pPr>
      <w:r>
        <w:t>crimes involving dishonesty</w:t>
      </w:r>
    </w:p>
    <w:p w14:paraId="526590A3" w14:textId="77777777" w:rsidR="00E91AB6" w:rsidRDefault="00E91AB6" w:rsidP="005532D6">
      <w:pPr>
        <w:pStyle w:val="ListNumbered"/>
        <w:spacing w:before="120" w:after="120"/>
      </w:pPr>
      <w:r>
        <w:t>Identification check</w:t>
      </w:r>
    </w:p>
    <w:p w14:paraId="301DC513" w14:textId="35C094AD" w:rsidR="00E91AB6" w:rsidRDefault="00E91AB6" w:rsidP="005532D6">
      <w:pPr>
        <w:pStyle w:val="ListNumbered"/>
        <w:spacing w:before="120" w:after="240"/>
      </w:pPr>
      <w:r>
        <w:t>Disciplinary action in previous employment check.</w:t>
      </w:r>
    </w:p>
    <w:p w14:paraId="38147E66" w14:textId="0541E8D3" w:rsidR="005532D6" w:rsidRDefault="005532D6" w:rsidP="005532D6">
      <w:pPr>
        <w:pStyle w:val="ListNumbered"/>
        <w:numPr>
          <w:ilvl w:val="0"/>
          <w:numId w:val="0"/>
        </w:numPr>
        <w:spacing w:before="120" w:after="240"/>
        <w:ind w:left="567" w:hanging="567"/>
      </w:pPr>
    </w:p>
    <w:p w14:paraId="4C8D8AFE" w14:textId="77777777" w:rsidR="005532D6" w:rsidRPr="008803FC" w:rsidRDefault="005532D6" w:rsidP="005532D6">
      <w:pPr>
        <w:pStyle w:val="ListNumbered"/>
        <w:numPr>
          <w:ilvl w:val="0"/>
          <w:numId w:val="0"/>
        </w:numPr>
        <w:spacing w:before="120" w:after="240"/>
        <w:ind w:left="567" w:hanging="567"/>
      </w:pPr>
    </w:p>
    <w:p w14:paraId="011E3DAD" w14:textId="77777777" w:rsidR="00E91AB6" w:rsidRDefault="00E91AB6" w:rsidP="005532D6">
      <w:pPr>
        <w:pStyle w:val="Heading3"/>
        <w:spacing w:before="120" w:line="300" w:lineRule="atLeast"/>
      </w:pPr>
      <w:r>
        <w:lastRenderedPageBreak/>
        <w:t>Selection Criteria:</w:t>
      </w:r>
    </w:p>
    <w:p w14:paraId="6989C1AE" w14:textId="416451E2" w:rsidR="00532BD1" w:rsidRPr="00532BD1" w:rsidRDefault="00532BD1" w:rsidP="005532D6">
      <w:pPr>
        <w:pStyle w:val="ListParagraph"/>
        <w:numPr>
          <w:ilvl w:val="0"/>
          <w:numId w:val="23"/>
        </w:numPr>
        <w:tabs>
          <w:tab w:val="clear" w:pos="567"/>
          <w:tab w:val="clear" w:pos="1134"/>
          <w:tab w:val="clear" w:pos="1701"/>
        </w:tabs>
        <w:spacing w:before="120" w:after="120"/>
        <w:ind w:left="567" w:hanging="567"/>
      </w:pPr>
      <w:bookmarkStart w:id="0" w:name="_Hlk97114543"/>
      <w:r w:rsidRPr="00532BD1">
        <w:t>Demonstrate commitment and aptitude for a career in anaesthesia including reference to appropriate work experience, professional practice, and career goals</w:t>
      </w:r>
    </w:p>
    <w:p w14:paraId="5195C8E8" w14:textId="54B0896A" w:rsidR="00532BD1" w:rsidRPr="00532BD1" w:rsidRDefault="00532BD1" w:rsidP="005532D6">
      <w:pPr>
        <w:pStyle w:val="ListParagraph"/>
        <w:numPr>
          <w:ilvl w:val="0"/>
          <w:numId w:val="23"/>
        </w:numPr>
        <w:tabs>
          <w:tab w:val="clear" w:pos="567"/>
          <w:tab w:val="clear" w:pos="1134"/>
          <w:tab w:val="clear" w:pos="1701"/>
        </w:tabs>
        <w:spacing w:before="120" w:after="120"/>
        <w:ind w:left="567" w:hanging="567"/>
      </w:pPr>
      <w:r w:rsidRPr="00532BD1">
        <w:t>Demonstrate an appropriate academic history, an aptitude for advanced study and learning, and knowledge of and the capacity to complete the ANZCA training program</w:t>
      </w:r>
    </w:p>
    <w:p w14:paraId="6AEE0415" w14:textId="1D0537CB" w:rsidR="00532BD1" w:rsidRPr="00532BD1" w:rsidRDefault="00532BD1" w:rsidP="005532D6">
      <w:pPr>
        <w:pStyle w:val="ListParagraph"/>
        <w:numPr>
          <w:ilvl w:val="0"/>
          <w:numId w:val="23"/>
        </w:numPr>
        <w:tabs>
          <w:tab w:val="clear" w:pos="567"/>
          <w:tab w:val="clear" w:pos="1134"/>
          <w:tab w:val="clear" w:pos="1701"/>
        </w:tabs>
        <w:spacing w:before="120" w:after="120"/>
        <w:ind w:left="567" w:hanging="567"/>
      </w:pPr>
      <w:r w:rsidRPr="00532BD1">
        <w:t xml:space="preserve">Demonstrate good clinical, technical and management skills and the ability to manage patients within clinical practice with specific reference to the discipline of anaesthesia as appropriate </w:t>
      </w:r>
    </w:p>
    <w:p w14:paraId="481F8E71" w14:textId="77777777" w:rsidR="00532BD1" w:rsidRPr="00532BD1" w:rsidRDefault="00532BD1" w:rsidP="005532D6">
      <w:pPr>
        <w:pStyle w:val="ListParagraph"/>
        <w:numPr>
          <w:ilvl w:val="0"/>
          <w:numId w:val="23"/>
        </w:numPr>
        <w:tabs>
          <w:tab w:val="clear" w:pos="567"/>
          <w:tab w:val="clear" w:pos="1134"/>
          <w:tab w:val="clear" w:pos="1701"/>
        </w:tabs>
        <w:spacing w:before="120" w:after="120"/>
        <w:ind w:left="567" w:hanging="567"/>
      </w:pPr>
      <w:r w:rsidRPr="00532BD1">
        <w:t>Demonstrate appropriate professional attributes for a career in anaesthesia. Consider:</w:t>
      </w:r>
    </w:p>
    <w:p w14:paraId="4055969A" w14:textId="0CA82A42" w:rsidR="00532BD1" w:rsidRPr="00532BD1" w:rsidRDefault="00532BD1" w:rsidP="005532D6">
      <w:pPr>
        <w:pStyle w:val="ListParagraph"/>
        <w:numPr>
          <w:ilvl w:val="1"/>
          <w:numId w:val="24"/>
        </w:numPr>
        <w:tabs>
          <w:tab w:val="clear" w:pos="567"/>
          <w:tab w:val="clear" w:pos="1134"/>
        </w:tabs>
        <w:spacing w:before="120" w:after="120"/>
        <w:ind w:left="1134" w:hanging="567"/>
      </w:pPr>
      <w:r w:rsidRPr="00532BD1">
        <w:t xml:space="preserve">the interpersonal, communication and professional skills required to work within complex health care environments, with multidisciplinary teams of medical, nursing and health professional staff, and to work well in stressful situations </w:t>
      </w:r>
    </w:p>
    <w:p w14:paraId="56B943BE" w14:textId="7BD700D9" w:rsidR="00532BD1" w:rsidRPr="00532BD1" w:rsidRDefault="00532BD1" w:rsidP="005532D6">
      <w:pPr>
        <w:pStyle w:val="ListParagraph"/>
        <w:numPr>
          <w:ilvl w:val="1"/>
          <w:numId w:val="24"/>
        </w:numPr>
        <w:tabs>
          <w:tab w:val="clear" w:pos="567"/>
          <w:tab w:val="clear" w:pos="1134"/>
        </w:tabs>
        <w:spacing w:before="120" w:after="120"/>
        <w:ind w:left="1134" w:hanging="567"/>
      </w:pPr>
      <w:r w:rsidRPr="00532BD1">
        <w:t xml:space="preserve">the ability to interact effectively and respectfully with all patients and staff in a caring, ethical, and professional manner </w:t>
      </w:r>
    </w:p>
    <w:p w14:paraId="463BE9E1" w14:textId="500F6451" w:rsidR="00532BD1" w:rsidRPr="00532BD1" w:rsidRDefault="00532BD1" w:rsidP="005532D6">
      <w:pPr>
        <w:pStyle w:val="ListParagraph"/>
        <w:numPr>
          <w:ilvl w:val="0"/>
          <w:numId w:val="23"/>
        </w:numPr>
        <w:tabs>
          <w:tab w:val="clear" w:pos="567"/>
          <w:tab w:val="clear" w:pos="1134"/>
          <w:tab w:val="clear" w:pos="1701"/>
        </w:tabs>
        <w:spacing w:before="120" w:after="120"/>
        <w:ind w:left="567" w:hanging="567"/>
      </w:pPr>
      <w:r w:rsidRPr="00532BD1">
        <w:t>Demonstrate understanding of quality improvement principles and the ability and aptitude to participate in research activities and quality assurance processes</w:t>
      </w:r>
      <w:r w:rsidR="005532D6">
        <w:t>.</w:t>
      </w:r>
    </w:p>
    <w:p w14:paraId="1E76FCDA" w14:textId="643DE54D" w:rsidR="00532BD1" w:rsidRPr="00532BD1" w:rsidRDefault="00532BD1" w:rsidP="005532D6">
      <w:pPr>
        <w:pStyle w:val="ListParagraph"/>
        <w:numPr>
          <w:ilvl w:val="0"/>
          <w:numId w:val="23"/>
        </w:numPr>
        <w:tabs>
          <w:tab w:val="clear" w:pos="567"/>
          <w:tab w:val="clear" w:pos="1134"/>
          <w:tab w:val="clear" w:pos="1701"/>
        </w:tabs>
        <w:spacing w:before="120" w:after="120"/>
        <w:ind w:left="567" w:hanging="567"/>
      </w:pPr>
      <w:r w:rsidRPr="00532BD1">
        <w:t>Demonstrate capacity for undergraduate</w:t>
      </w:r>
      <w:r w:rsidR="00A948B8">
        <w:t xml:space="preserve">, </w:t>
      </w:r>
      <w:proofErr w:type="gramStart"/>
      <w:r w:rsidRPr="00532BD1">
        <w:t>postgraduate</w:t>
      </w:r>
      <w:proofErr w:type="gramEnd"/>
      <w:r w:rsidR="00A948B8">
        <w:t xml:space="preserve"> and inter-professional</w:t>
      </w:r>
      <w:r w:rsidRPr="00532BD1">
        <w:t xml:space="preserve"> teaching</w:t>
      </w:r>
      <w:r w:rsidR="005532D6">
        <w:t>.</w:t>
      </w:r>
    </w:p>
    <w:p w14:paraId="1D1DB96D" w14:textId="106B22B5" w:rsidR="00E91AB6" w:rsidRPr="003A15EA" w:rsidRDefault="00532BD1" w:rsidP="005532D6">
      <w:pPr>
        <w:pStyle w:val="ListParagraph"/>
        <w:numPr>
          <w:ilvl w:val="0"/>
          <w:numId w:val="23"/>
        </w:numPr>
        <w:tabs>
          <w:tab w:val="clear" w:pos="567"/>
          <w:tab w:val="clear" w:pos="1134"/>
          <w:tab w:val="clear" w:pos="1701"/>
        </w:tabs>
        <w:spacing w:before="120" w:after="120"/>
        <w:ind w:left="567" w:hanging="567"/>
      </w:pPr>
      <w:r w:rsidRPr="00532BD1">
        <w:t>Demonstrate insight including self-reflection, the ability to accept feedback about oneself, to provide feedback to others and to seek help and advice when needed</w:t>
      </w:r>
      <w:r w:rsidR="005532D6">
        <w:t>.</w:t>
      </w:r>
      <w:bookmarkEnd w:id="0"/>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A052CA"/>
    <w:multiLevelType w:val="hybridMultilevel"/>
    <w:tmpl w:val="30E8B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8643A7"/>
    <w:multiLevelType w:val="hybridMultilevel"/>
    <w:tmpl w:val="2C3EB808"/>
    <w:lvl w:ilvl="0" w:tplc="B0FC3666">
      <w:start w:val="1"/>
      <w:numFmt w:val="bullet"/>
      <w:lvlText w:val=""/>
      <w:lvlJc w:val="left"/>
      <w:pPr>
        <w:ind w:hanging="428"/>
      </w:pPr>
      <w:rPr>
        <w:rFonts w:ascii="Symbol" w:eastAsia="Symbol" w:hAnsi="Symbol" w:hint="default"/>
        <w:sz w:val="24"/>
        <w:szCs w:val="24"/>
      </w:rPr>
    </w:lvl>
    <w:lvl w:ilvl="1" w:tplc="528296EA">
      <w:start w:val="1"/>
      <w:numFmt w:val="bullet"/>
      <w:lvlText w:val="•"/>
      <w:lvlJc w:val="left"/>
      <w:rPr>
        <w:rFonts w:hint="default"/>
      </w:rPr>
    </w:lvl>
    <w:lvl w:ilvl="2" w:tplc="3210EFE8">
      <w:start w:val="1"/>
      <w:numFmt w:val="bullet"/>
      <w:lvlText w:val="•"/>
      <w:lvlJc w:val="left"/>
      <w:rPr>
        <w:rFonts w:hint="default"/>
      </w:rPr>
    </w:lvl>
    <w:lvl w:ilvl="3" w:tplc="154EA5BE">
      <w:start w:val="1"/>
      <w:numFmt w:val="bullet"/>
      <w:lvlText w:val="•"/>
      <w:lvlJc w:val="left"/>
      <w:rPr>
        <w:rFonts w:hint="default"/>
      </w:rPr>
    </w:lvl>
    <w:lvl w:ilvl="4" w:tplc="F9C240CE">
      <w:start w:val="1"/>
      <w:numFmt w:val="bullet"/>
      <w:lvlText w:val="•"/>
      <w:lvlJc w:val="left"/>
      <w:rPr>
        <w:rFonts w:hint="default"/>
      </w:rPr>
    </w:lvl>
    <w:lvl w:ilvl="5" w:tplc="B058A3D2">
      <w:start w:val="1"/>
      <w:numFmt w:val="bullet"/>
      <w:lvlText w:val="•"/>
      <w:lvlJc w:val="left"/>
      <w:rPr>
        <w:rFonts w:hint="default"/>
      </w:rPr>
    </w:lvl>
    <w:lvl w:ilvl="6" w:tplc="42E0EA16">
      <w:start w:val="1"/>
      <w:numFmt w:val="bullet"/>
      <w:lvlText w:val="•"/>
      <w:lvlJc w:val="left"/>
      <w:rPr>
        <w:rFonts w:hint="default"/>
      </w:rPr>
    </w:lvl>
    <w:lvl w:ilvl="7" w:tplc="05B0A828">
      <w:start w:val="1"/>
      <w:numFmt w:val="bullet"/>
      <w:lvlText w:val="•"/>
      <w:lvlJc w:val="left"/>
      <w:rPr>
        <w:rFonts w:hint="default"/>
      </w:rPr>
    </w:lvl>
    <w:lvl w:ilvl="8" w:tplc="A3441B16">
      <w:start w:val="1"/>
      <w:numFmt w:val="bullet"/>
      <w:lvlText w:val="•"/>
      <w:lvlJc w:val="left"/>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BD67530"/>
    <w:multiLevelType w:val="hybridMultilevel"/>
    <w:tmpl w:val="1BEA4CF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955612"/>
    <w:multiLevelType w:val="hybridMultilevel"/>
    <w:tmpl w:val="63D6A09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9"/>
  </w:num>
  <w:num w:numId="5">
    <w:abstractNumId w:val="15"/>
  </w:num>
  <w:num w:numId="6">
    <w:abstractNumId w:val="12"/>
  </w:num>
  <w:num w:numId="7">
    <w:abstractNumId w:val="18"/>
  </w:num>
  <w:num w:numId="8">
    <w:abstractNumId w:val="0"/>
  </w:num>
  <w:num w:numId="9">
    <w:abstractNumId w:val="19"/>
  </w:num>
  <w:num w:numId="10">
    <w:abstractNumId w:val="16"/>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7"/>
  </w:num>
  <w:num w:numId="21">
    <w:abstractNumId w:val="5"/>
  </w:num>
  <w:num w:numId="22">
    <w:abstractNumId w:val="4"/>
  </w:num>
  <w:num w:numId="23">
    <w:abstractNumId w:val="10"/>
  </w:num>
  <w:num w:numId="24">
    <w:abstractNumId w:val="7"/>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A56AB"/>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BD1"/>
    <w:rsid w:val="00532EB8"/>
    <w:rsid w:val="00540344"/>
    <w:rsid w:val="00542AC3"/>
    <w:rsid w:val="0054434B"/>
    <w:rsid w:val="00550B9D"/>
    <w:rsid w:val="005532D6"/>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0866"/>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48B8"/>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701D7"/>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3516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Freeman, Barnaby MF</cp:lastModifiedBy>
  <cp:revision>6</cp:revision>
  <cp:lastPrinted>2020-12-15T01:42:00Z</cp:lastPrinted>
  <dcterms:created xsi:type="dcterms:W3CDTF">2022-03-08T00:19:00Z</dcterms:created>
  <dcterms:modified xsi:type="dcterms:W3CDTF">2022-11-01T21:29:00Z</dcterms:modified>
</cp:coreProperties>
</file>