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BEEEA" w14:textId="77777777" w:rsidR="008D108B" w:rsidRDefault="008D108B" w:rsidP="008D108B">
      <w:pPr>
        <w:pStyle w:val="Heading1"/>
        <w:jc w:val="center"/>
      </w:pPr>
      <w:bookmarkStart w:id="0" w:name="_Toc160358825"/>
      <w:r>
        <w:t>Supreme Court</w:t>
      </w:r>
    </w:p>
    <w:bookmarkEnd w:id="0"/>
    <w:p w14:paraId="4AD8E751" w14:textId="77777777" w:rsidR="008D108B" w:rsidRPr="008D108B" w:rsidRDefault="008D108B" w:rsidP="008D108B">
      <w:pPr>
        <w:pStyle w:val="Heading2centre"/>
        <w:rPr>
          <w:rFonts w:asciiTheme="majorHAnsi" w:hAnsiTheme="majorHAnsi" w:cstheme="majorHAnsi"/>
        </w:rPr>
      </w:pPr>
      <w:r w:rsidRPr="008D108B">
        <w:rPr>
          <w:rFonts w:asciiTheme="majorHAnsi" w:hAnsiTheme="majorHAnsi" w:cstheme="majorHAnsi"/>
        </w:rPr>
        <w:t xml:space="preserve">Judge’s Associate – Statement of Duties </w:t>
      </w:r>
    </w:p>
    <w:p w14:paraId="5DFD310C" w14:textId="77777777" w:rsidR="00FB2A98" w:rsidRPr="00D40F47" w:rsidRDefault="00D40F47" w:rsidP="00D40F47">
      <w:pPr>
        <w:pStyle w:val="Heading1"/>
      </w:pPr>
      <w:r w:rsidRPr="00D40F47">
        <w:t>Objective</w:t>
      </w:r>
    </w:p>
    <w:p w14:paraId="2E9524E6" w14:textId="77777777" w:rsidR="008D108B" w:rsidRDefault="008D108B" w:rsidP="008D108B">
      <w:pPr>
        <w:jc w:val="both"/>
      </w:pPr>
      <w:r w:rsidRPr="006746D3">
        <w:t>The objective of this position is to contribute to the Court by co-ordinating proceedings in court and in chambers.</w:t>
      </w:r>
    </w:p>
    <w:p w14:paraId="64AFB570" w14:textId="77777777" w:rsidR="00D40F47" w:rsidRPr="007E4689" w:rsidRDefault="00D40F47" w:rsidP="00D40F47">
      <w:pPr>
        <w:pStyle w:val="Heading1"/>
      </w:pPr>
      <w:r>
        <w:t>Duties</w:t>
      </w:r>
    </w:p>
    <w:p w14:paraId="491B4B7F" w14:textId="77777777" w:rsidR="008D108B" w:rsidRPr="008D108B" w:rsidRDefault="008D108B" w:rsidP="008D108B">
      <w:pPr>
        <w:pStyle w:val="ListBullet"/>
        <w:ind w:left="641" w:hanging="357"/>
        <w:jc w:val="both"/>
        <w:rPr>
          <w:rFonts w:asciiTheme="minorHAnsi" w:hAnsiTheme="minorHAnsi" w:cstheme="minorHAnsi"/>
        </w:rPr>
      </w:pPr>
      <w:r w:rsidRPr="008D108B">
        <w:rPr>
          <w:rFonts w:asciiTheme="minorHAnsi" w:hAnsiTheme="minorHAnsi" w:cstheme="minorHAnsi"/>
        </w:rPr>
        <w:t xml:space="preserve">Co-ordinate proceedings in court and in chambers including conducting pre-trial documentation checks, obtaining authorities, </w:t>
      </w:r>
      <w:proofErr w:type="gramStart"/>
      <w:r w:rsidRPr="008D108B">
        <w:rPr>
          <w:rFonts w:asciiTheme="minorHAnsi" w:hAnsiTheme="minorHAnsi" w:cstheme="minorHAnsi"/>
        </w:rPr>
        <w:t>monitoring</w:t>
      </w:r>
      <w:proofErr w:type="gramEnd"/>
      <w:r w:rsidRPr="008D108B">
        <w:rPr>
          <w:rFonts w:asciiTheme="minorHAnsi" w:hAnsiTheme="minorHAnsi" w:cstheme="minorHAnsi"/>
        </w:rPr>
        <w:t xml:space="preserve"> and recording proceedings, and performing formal procedural roles including empanelling juries, taking pleas, and swearing witnesses. </w:t>
      </w:r>
    </w:p>
    <w:p w14:paraId="372C24A6" w14:textId="3FF0942C" w:rsidR="008D108B" w:rsidRPr="008D108B" w:rsidRDefault="008D108B" w:rsidP="008D108B">
      <w:pPr>
        <w:pStyle w:val="ListBullet"/>
        <w:ind w:left="641" w:hanging="357"/>
        <w:jc w:val="both"/>
        <w:rPr>
          <w:rFonts w:asciiTheme="minorHAnsi" w:hAnsiTheme="minorHAnsi" w:cstheme="minorHAnsi"/>
        </w:rPr>
      </w:pPr>
      <w:r w:rsidRPr="008D108B">
        <w:rPr>
          <w:rFonts w:asciiTheme="minorHAnsi" w:hAnsiTheme="minorHAnsi" w:cstheme="minorHAnsi"/>
        </w:rPr>
        <w:t xml:space="preserve">Make proper and accurate records of court proceedings including keeping electronic minutes of </w:t>
      </w:r>
      <w:r w:rsidRPr="008D108B">
        <w:rPr>
          <w:rFonts w:asciiTheme="minorHAnsi" w:hAnsiTheme="minorHAnsi" w:cstheme="minorHAnsi"/>
        </w:rPr>
        <w:t>proceedings,</w:t>
      </w:r>
      <w:r w:rsidRPr="008D108B">
        <w:rPr>
          <w:rFonts w:asciiTheme="minorHAnsi" w:hAnsiTheme="minorHAnsi" w:cstheme="minorHAnsi"/>
        </w:rPr>
        <w:t xml:space="preserve"> recording orders, recognisances, bail orders and criminal calendars.</w:t>
      </w:r>
    </w:p>
    <w:p w14:paraId="3386C228" w14:textId="77777777" w:rsidR="008D108B" w:rsidRPr="008D108B" w:rsidRDefault="008D108B" w:rsidP="008D108B">
      <w:pPr>
        <w:pStyle w:val="ListBullet"/>
        <w:ind w:left="641" w:hanging="357"/>
        <w:jc w:val="both"/>
        <w:rPr>
          <w:rFonts w:asciiTheme="minorHAnsi" w:hAnsiTheme="minorHAnsi" w:cstheme="minorHAnsi"/>
        </w:rPr>
      </w:pPr>
      <w:r w:rsidRPr="008D108B">
        <w:rPr>
          <w:rFonts w:asciiTheme="minorHAnsi" w:hAnsiTheme="minorHAnsi" w:cstheme="minorHAnsi"/>
        </w:rPr>
        <w:t>Undertake legal research tasks as directed by the Judge.</w:t>
      </w:r>
    </w:p>
    <w:p w14:paraId="53D347CE" w14:textId="77777777" w:rsidR="008D108B" w:rsidRPr="008D108B" w:rsidRDefault="008D108B" w:rsidP="008D108B">
      <w:pPr>
        <w:pStyle w:val="ListBullet"/>
        <w:ind w:left="641" w:hanging="357"/>
        <w:jc w:val="both"/>
        <w:rPr>
          <w:rFonts w:asciiTheme="minorHAnsi" w:hAnsiTheme="minorHAnsi" w:cstheme="minorHAnsi"/>
        </w:rPr>
      </w:pPr>
      <w:r w:rsidRPr="008D108B">
        <w:rPr>
          <w:rFonts w:asciiTheme="minorHAnsi" w:hAnsiTheme="minorHAnsi" w:cstheme="minorHAnsi"/>
        </w:rPr>
        <w:t>Provide administrative assistance to the Judge including co-ordinating listings, diary management, visitor reception, liaison with practitioners on behalf of the Judge, proofing judgments and decisions and other tasks of an administrative nature as directed by the Judge.</w:t>
      </w:r>
    </w:p>
    <w:p w14:paraId="6B768A6B" w14:textId="77777777" w:rsidR="008D108B" w:rsidRPr="008D108B" w:rsidRDefault="008D108B" w:rsidP="008D108B">
      <w:pPr>
        <w:pStyle w:val="ListBullet"/>
        <w:ind w:left="641" w:hanging="357"/>
        <w:jc w:val="both"/>
        <w:rPr>
          <w:rFonts w:asciiTheme="minorHAnsi" w:hAnsiTheme="minorHAnsi" w:cstheme="minorHAnsi"/>
        </w:rPr>
      </w:pPr>
      <w:r w:rsidRPr="008D108B">
        <w:rPr>
          <w:rFonts w:asciiTheme="minorHAnsi" w:hAnsiTheme="minorHAnsi" w:cstheme="minorHAnsi"/>
        </w:rPr>
        <w:t>The incumbent can expect to be allocated duties, not specifically mentioned in this document, that are within the capacity, qualifications, and experience normally expected from persons occupying jobs at this classification level.</w:t>
      </w:r>
    </w:p>
    <w:p w14:paraId="3DA909E1" w14:textId="77777777" w:rsidR="008D108B" w:rsidRPr="00402FBA" w:rsidRDefault="008D108B" w:rsidP="008D108B">
      <w:pPr>
        <w:pStyle w:val="ListBullet"/>
        <w:numPr>
          <w:ilvl w:val="0"/>
          <w:numId w:val="0"/>
        </w:numPr>
        <w:ind w:left="720" w:hanging="360"/>
        <w:jc w:val="both"/>
      </w:pPr>
    </w:p>
    <w:p w14:paraId="2FA61FC3" w14:textId="77777777" w:rsidR="00EA6A91" w:rsidRDefault="00D40F47" w:rsidP="00D40F47">
      <w:pPr>
        <w:pStyle w:val="Heading1"/>
      </w:pPr>
      <w:r>
        <w:t>Level of responsibility</w:t>
      </w:r>
    </w:p>
    <w:p w14:paraId="731F4520" w14:textId="77777777" w:rsidR="008D108B" w:rsidRDefault="008D108B" w:rsidP="008D108B"/>
    <w:p w14:paraId="3E3B48C1" w14:textId="77777777" w:rsidR="008D108B" w:rsidRPr="008D108B" w:rsidRDefault="008D108B" w:rsidP="008D108B">
      <w:pPr>
        <w:pStyle w:val="ListBullet"/>
        <w:ind w:left="641" w:hanging="357"/>
        <w:jc w:val="both"/>
        <w:rPr>
          <w:rFonts w:ascii="Arial" w:hAnsi="Arial"/>
        </w:rPr>
      </w:pPr>
      <w:r w:rsidRPr="008D108B">
        <w:rPr>
          <w:rFonts w:ascii="Arial" w:hAnsi="Arial"/>
        </w:rPr>
        <w:t>Responsible for the effective and efficient delivery of the team’s services in accordance with departmental and Branch objectives within allocated resources and agreed timeframes.</w:t>
      </w:r>
    </w:p>
    <w:p w14:paraId="0362FC0B" w14:textId="77777777" w:rsidR="008D108B" w:rsidRPr="008D108B" w:rsidRDefault="008D108B" w:rsidP="008D108B">
      <w:pPr>
        <w:pStyle w:val="ListBullet"/>
        <w:ind w:left="641" w:hanging="357"/>
        <w:jc w:val="both"/>
        <w:rPr>
          <w:rFonts w:ascii="Arial" w:hAnsi="Arial"/>
        </w:rPr>
      </w:pPr>
      <w:r w:rsidRPr="008D108B">
        <w:rPr>
          <w:rFonts w:ascii="Arial" w:hAnsi="Arial"/>
        </w:rPr>
        <w:t xml:space="preserve"> Responsible for maintaining current knowledge of relevant legislative and departmental/Government policies and procedures.</w:t>
      </w:r>
    </w:p>
    <w:p w14:paraId="076BE301" w14:textId="77777777" w:rsidR="008D108B" w:rsidRPr="008D108B" w:rsidRDefault="008D108B" w:rsidP="008D108B">
      <w:pPr>
        <w:pStyle w:val="ListBullet"/>
        <w:ind w:left="641" w:hanging="357"/>
        <w:jc w:val="both"/>
        <w:rPr>
          <w:rFonts w:ascii="Arial" w:hAnsi="Arial"/>
        </w:rPr>
      </w:pPr>
      <w:r w:rsidRPr="008D108B">
        <w:rPr>
          <w:rFonts w:ascii="Arial" w:hAnsi="Arial"/>
        </w:rPr>
        <w:t>Conduct your work in a safe manner such that it does not put yourself or others at risk.</w:t>
      </w:r>
    </w:p>
    <w:p w14:paraId="50F048E5" w14:textId="77777777" w:rsidR="008D108B" w:rsidRPr="008D108B" w:rsidRDefault="008D108B" w:rsidP="008D108B">
      <w:pPr>
        <w:pStyle w:val="ListBullet"/>
        <w:ind w:left="641" w:hanging="357"/>
        <w:jc w:val="both"/>
        <w:rPr>
          <w:rFonts w:ascii="Arial" w:hAnsi="Arial"/>
        </w:rPr>
      </w:pPr>
      <w:r w:rsidRPr="008D108B">
        <w:rPr>
          <w:rFonts w:ascii="Arial" w:hAnsi="Arial"/>
        </w:rPr>
        <w:t>Comply with any reasonable instruction contained in WHS policies, procedures and instructions and report hazards, near misses and incidents to your supervisors.</w:t>
      </w:r>
    </w:p>
    <w:p w14:paraId="2D29677D" w14:textId="77777777" w:rsidR="008D108B" w:rsidRPr="008D108B" w:rsidRDefault="008D108B" w:rsidP="008D108B">
      <w:pPr>
        <w:pStyle w:val="ListBullet"/>
        <w:ind w:left="641" w:hanging="357"/>
        <w:jc w:val="both"/>
        <w:rPr>
          <w:rFonts w:ascii="Arial" w:hAnsi="Arial"/>
        </w:rPr>
      </w:pPr>
      <w:r w:rsidRPr="008D108B">
        <w:rPr>
          <w:rFonts w:ascii="Arial" w:hAnsi="Arial"/>
        </w:rPr>
        <w:t xml:space="preserve">You are responsible for upholding the values of Integrity, Respect, Accountability and actively contributing to make our workplaces Inclusive and Collaborative. </w:t>
      </w:r>
    </w:p>
    <w:p w14:paraId="0E526734" w14:textId="77777777" w:rsidR="008D108B" w:rsidRDefault="008D108B" w:rsidP="008D108B">
      <w:pPr>
        <w:pStyle w:val="Heading3"/>
      </w:pPr>
      <w:r w:rsidRPr="00B0084B">
        <w:lastRenderedPageBreak/>
        <w:t xml:space="preserve">Direction and supervision </w:t>
      </w:r>
      <w:proofErr w:type="gramStart"/>
      <w:r w:rsidRPr="00B0084B">
        <w:t>received</w:t>
      </w:r>
      <w:proofErr w:type="gramEnd"/>
    </w:p>
    <w:p w14:paraId="0A4DF3A3" w14:textId="77777777" w:rsidR="008D108B" w:rsidRPr="008D108B" w:rsidRDefault="008D108B" w:rsidP="008D108B">
      <w:pPr>
        <w:pStyle w:val="ListBullet"/>
        <w:ind w:left="641" w:hanging="357"/>
        <w:jc w:val="both"/>
        <w:rPr>
          <w:rFonts w:asciiTheme="minorHAnsi" w:hAnsiTheme="minorHAnsi" w:cstheme="minorHAnsi"/>
          <w:lang w:val="en-US"/>
        </w:rPr>
      </w:pPr>
      <w:r w:rsidRPr="008D108B">
        <w:rPr>
          <w:rFonts w:asciiTheme="minorHAnsi" w:hAnsiTheme="minorHAnsi" w:cstheme="minorHAnsi"/>
          <w:lang w:val="en-US"/>
        </w:rPr>
        <w:t>The occupant of this position is directly responsible to the Judge.</w:t>
      </w:r>
    </w:p>
    <w:p w14:paraId="6B885B1A" w14:textId="77777777" w:rsidR="008D108B" w:rsidRPr="008D108B" w:rsidRDefault="008D108B" w:rsidP="008D108B">
      <w:pPr>
        <w:pStyle w:val="ListBullet"/>
        <w:ind w:left="641" w:hanging="357"/>
        <w:jc w:val="both"/>
        <w:rPr>
          <w:rFonts w:asciiTheme="minorHAnsi" w:hAnsiTheme="minorHAnsi" w:cstheme="minorHAnsi"/>
        </w:rPr>
      </w:pPr>
      <w:r w:rsidRPr="008D108B">
        <w:rPr>
          <w:rFonts w:asciiTheme="minorHAnsi" w:hAnsiTheme="minorHAnsi" w:cstheme="minorHAnsi"/>
        </w:rPr>
        <w:t>Work is undertaken under routine supervision from the Judge and choices are made based on established guidelines; however, a degree of independent decision-making is required.</w:t>
      </w:r>
    </w:p>
    <w:p w14:paraId="691BD8B2" w14:textId="77777777" w:rsidR="008D108B" w:rsidRPr="008D108B" w:rsidRDefault="008D108B" w:rsidP="008D108B">
      <w:pPr>
        <w:pStyle w:val="ListBullet"/>
        <w:ind w:left="641" w:hanging="357"/>
        <w:jc w:val="both"/>
        <w:rPr>
          <w:rFonts w:asciiTheme="minorHAnsi" w:hAnsiTheme="minorHAnsi" w:cstheme="minorHAnsi"/>
        </w:rPr>
      </w:pPr>
      <w:r w:rsidRPr="008D108B">
        <w:rPr>
          <w:rFonts w:asciiTheme="minorHAnsi" w:hAnsiTheme="minorHAnsi" w:cstheme="minorHAnsi"/>
        </w:rPr>
        <w:t>The incumbent is directly responsible for the completion of tasks and for contributing to the achievement of team objectives.</w:t>
      </w:r>
    </w:p>
    <w:p w14:paraId="097A2062" w14:textId="77777777" w:rsidR="008D108B" w:rsidRPr="008D108B" w:rsidRDefault="008D108B" w:rsidP="008D108B"/>
    <w:p w14:paraId="70807796" w14:textId="77777777" w:rsidR="000221A3" w:rsidRPr="007E4689" w:rsidRDefault="000221A3" w:rsidP="000221A3">
      <w:pPr>
        <w:pStyle w:val="Heading1"/>
      </w:pPr>
      <w:r>
        <w:t>Selection criteria</w:t>
      </w:r>
    </w:p>
    <w:p w14:paraId="50512BC6" w14:textId="77777777" w:rsidR="008D108B" w:rsidRPr="006746D3" w:rsidRDefault="008D108B" w:rsidP="008D108B">
      <w:pPr>
        <w:pStyle w:val="ListNumber"/>
        <w:jc w:val="both"/>
      </w:pPr>
      <w:r w:rsidRPr="006746D3">
        <w:t>Ability to carry out legal research tasks in a timely, accurate and effective manner.</w:t>
      </w:r>
    </w:p>
    <w:p w14:paraId="550930AE" w14:textId="77777777" w:rsidR="008D108B" w:rsidRPr="006746D3" w:rsidRDefault="008D108B" w:rsidP="008D108B">
      <w:pPr>
        <w:pStyle w:val="ListNumber"/>
        <w:jc w:val="both"/>
      </w:pPr>
      <w:r w:rsidRPr="006746D3">
        <w:t>A broad understanding of, or experience in, court administration including a knowledge of legal terminology, and an awareness of established practices and procedures, or the capacity to quickly acquire such knowledge and skills.</w:t>
      </w:r>
    </w:p>
    <w:p w14:paraId="5C9D76AD" w14:textId="77777777" w:rsidR="008D108B" w:rsidRPr="006746D3" w:rsidRDefault="008D108B" w:rsidP="008D108B">
      <w:pPr>
        <w:pStyle w:val="ListNumber"/>
        <w:jc w:val="both"/>
      </w:pPr>
      <w:r w:rsidRPr="006746D3">
        <w:t xml:space="preserve">Well-developed communication and interpersonal skills with an emphasis on the ability to communicate clearly, </w:t>
      </w:r>
      <w:proofErr w:type="gramStart"/>
      <w:r w:rsidRPr="006746D3">
        <w:t>accurately</w:t>
      </w:r>
      <w:proofErr w:type="gramEnd"/>
      <w:r w:rsidRPr="006746D3">
        <w:t xml:space="preserve"> and diplomatically at all levels. </w:t>
      </w:r>
    </w:p>
    <w:p w14:paraId="1FDEA12B" w14:textId="77777777" w:rsidR="008D108B" w:rsidRPr="006746D3" w:rsidRDefault="008D108B" w:rsidP="008D108B">
      <w:pPr>
        <w:pStyle w:val="ListNumber"/>
        <w:jc w:val="both"/>
      </w:pPr>
      <w:r w:rsidRPr="006746D3">
        <w:rPr>
          <w:lang w:eastAsia="en-AU"/>
        </w:rPr>
        <w:t>Demonstrated clerical and organisational skills, together with effective skills in using current office technology to deliver services (particularly database and word processing skills), and the ability to operate new technology including the Court's digital recording and logging system</w:t>
      </w:r>
      <w:r>
        <w:rPr>
          <w:lang w:eastAsia="en-AU"/>
        </w:rPr>
        <w:t>.</w:t>
      </w:r>
    </w:p>
    <w:p w14:paraId="3AD9ABB0" w14:textId="77777777" w:rsidR="008D108B" w:rsidRPr="006746D3" w:rsidRDefault="008D108B" w:rsidP="008D108B">
      <w:pPr>
        <w:pStyle w:val="ListNumber"/>
        <w:jc w:val="both"/>
      </w:pPr>
      <w:r w:rsidRPr="006746D3">
        <w:t>Effective self-management and time-management skills, with the capacity to adapt and participate in organisational change and team-based problem solving, and to deal with multiple tasks simultaneously.</w:t>
      </w:r>
    </w:p>
    <w:p w14:paraId="4B9C5A33" w14:textId="77777777" w:rsidR="008D108B" w:rsidRPr="006746D3" w:rsidRDefault="008D108B" w:rsidP="008D108B">
      <w:pPr>
        <w:pStyle w:val="ListNumber"/>
        <w:jc w:val="both"/>
      </w:pPr>
      <w:r w:rsidRPr="006746D3">
        <w:t>Ability to work either individually or as part of a team in the efficient and timely delivery of professional client services.</w:t>
      </w:r>
    </w:p>
    <w:p w14:paraId="1E25629B" w14:textId="77777777" w:rsidR="000221A3" w:rsidRPr="007E4689" w:rsidRDefault="000221A3" w:rsidP="000221A3">
      <w:pPr>
        <w:pStyle w:val="Heading1"/>
      </w:pPr>
      <w:r>
        <w:t>Essential requirements</w:t>
      </w:r>
    </w:p>
    <w:p w14:paraId="1B448C0F" w14:textId="4B3ECC65" w:rsidR="000221A3" w:rsidRDefault="008D108B" w:rsidP="008D108B">
      <w:pPr>
        <w:pStyle w:val="BulletL1"/>
        <w:numPr>
          <w:ilvl w:val="0"/>
          <w:numId w:val="0"/>
        </w:numPr>
        <w:ind w:left="284" w:hanging="284"/>
      </w:pPr>
      <w:r>
        <w:t>Nil</w:t>
      </w:r>
    </w:p>
    <w:p w14:paraId="2FBDD452" w14:textId="77777777" w:rsidR="000221A3" w:rsidRPr="007E4689" w:rsidRDefault="000221A3" w:rsidP="000221A3">
      <w:pPr>
        <w:pStyle w:val="Heading1"/>
      </w:pPr>
      <w:r>
        <w:t>Desirable requirements</w:t>
      </w:r>
    </w:p>
    <w:p w14:paraId="03DD63F9" w14:textId="77777777" w:rsidR="008D108B" w:rsidRPr="008D108B" w:rsidRDefault="008D108B" w:rsidP="008D108B">
      <w:pPr>
        <w:pStyle w:val="ListBullet"/>
        <w:ind w:left="641" w:hanging="357"/>
        <w:jc w:val="both"/>
        <w:rPr>
          <w:rFonts w:asciiTheme="minorHAnsi" w:hAnsiTheme="minorHAnsi" w:cstheme="minorHAnsi"/>
        </w:rPr>
      </w:pPr>
      <w:r w:rsidRPr="008D108B">
        <w:rPr>
          <w:rFonts w:asciiTheme="minorHAnsi" w:hAnsiTheme="minorHAnsi" w:cstheme="minorHAnsi"/>
        </w:rPr>
        <w:t>A law degree or substantial progress towards a degree</w:t>
      </w:r>
    </w:p>
    <w:p w14:paraId="5F50EA72" w14:textId="77777777" w:rsidR="008D108B" w:rsidRPr="008D108B" w:rsidRDefault="008D108B" w:rsidP="008D108B">
      <w:pPr>
        <w:pStyle w:val="ListBullet"/>
        <w:ind w:left="641" w:hanging="357"/>
        <w:jc w:val="both"/>
        <w:rPr>
          <w:rFonts w:asciiTheme="minorHAnsi" w:hAnsiTheme="minorHAnsi" w:cstheme="minorHAnsi"/>
          <w:szCs w:val="20"/>
        </w:rPr>
      </w:pPr>
      <w:r w:rsidRPr="008D108B">
        <w:rPr>
          <w:rFonts w:asciiTheme="minorHAnsi" w:hAnsiTheme="minorHAnsi" w:cstheme="minorHAnsi"/>
        </w:rPr>
        <w:t xml:space="preserve">Completion of the Tasmanian Legal Practice Course at the Centre for Legal Studies, Hobart, </w:t>
      </w:r>
      <w:proofErr w:type="gramStart"/>
      <w:r w:rsidRPr="008D108B">
        <w:rPr>
          <w:rFonts w:asciiTheme="minorHAnsi" w:hAnsiTheme="minorHAnsi" w:cstheme="minorHAnsi"/>
        </w:rPr>
        <w:t>or,</w:t>
      </w:r>
      <w:proofErr w:type="gramEnd"/>
      <w:r w:rsidRPr="008D108B">
        <w:rPr>
          <w:rFonts w:asciiTheme="minorHAnsi" w:hAnsiTheme="minorHAnsi" w:cstheme="minorHAnsi"/>
        </w:rPr>
        <w:t xml:space="preserve"> other practical legal training course approved by the Board of Legal Education.</w:t>
      </w:r>
    </w:p>
    <w:p w14:paraId="3E3F10F3" w14:textId="77777777" w:rsidR="008D108B" w:rsidRPr="008D108B" w:rsidRDefault="008D108B" w:rsidP="008D108B">
      <w:pPr>
        <w:pStyle w:val="ListBullet"/>
        <w:ind w:left="641" w:hanging="357"/>
        <w:jc w:val="both"/>
        <w:rPr>
          <w:rFonts w:asciiTheme="minorHAnsi" w:hAnsiTheme="minorHAnsi" w:cstheme="minorHAnsi"/>
        </w:rPr>
      </w:pPr>
      <w:r w:rsidRPr="008D108B">
        <w:rPr>
          <w:rFonts w:asciiTheme="minorHAnsi" w:hAnsiTheme="minorHAnsi" w:cstheme="minorHAnsi"/>
        </w:rPr>
        <w:t xml:space="preserve">Admitted as legal practitioner, or expect to be admitted in </w:t>
      </w:r>
      <w:proofErr w:type="gramStart"/>
      <w:r w:rsidRPr="008D108B">
        <w:rPr>
          <w:rFonts w:asciiTheme="minorHAnsi" w:hAnsiTheme="minorHAnsi" w:cstheme="minorHAnsi"/>
        </w:rPr>
        <w:t>Tasmania</w:t>
      </w:r>
      <w:proofErr w:type="gramEnd"/>
    </w:p>
    <w:p w14:paraId="147A0595" w14:textId="77777777" w:rsidR="008D108B" w:rsidRPr="008D108B" w:rsidRDefault="008D108B" w:rsidP="008D108B">
      <w:pPr>
        <w:pStyle w:val="ListBullet"/>
        <w:ind w:left="641" w:hanging="357"/>
        <w:jc w:val="both"/>
        <w:rPr>
          <w:rFonts w:asciiTheme="minorHAnsi" w:hAnsiTheme="minorHAnsi" w:cstheme="minorHAnsi"/>
        </w:rPr>
      </w:pPr>
      <w:r w:rsidRPr="008D108B">
        <w:rPr>
          <w:rFonts w:asciiTheme="minorHAnsi" w:hAnsiTheme="minorHAnsi" w:cstheme="minorHAnsi"/>
        </w:rPr>
        <w:t xml:space="preserve">Applicants hold a full </w:t>
      </w:r>
      <w:proofErr w:type="gramStart"/>
      <w:r w:rsidRPr="008D108B">
        <w:rPr>
          <w:rFonts w:asciiTheme="minorHAnsi" w:hAnsiTheme="minorHAnsi" w:cstheme="minorHAnsi"/>
        </w:rPr>
        <w:t>drivers</w:t>
      </w:r>
      <w:proofErr w:type="gramEnd"/>
      <w:r w:rsidRPr="008D108B">
        <w:rPr>
          <w:rFonts w:asciiTheme="minorHAnsi" w:hAnsiTheme="minorHAnsi" w:cstheme="minorHAnsi"/>
        </w:rPr>
        <w:t xml:space="preserve"> licence.</w:t>
      </w:r>
    </w:p>
    <w:p w14:paraId="7B41C615" w14:textId="595CE391" w:rsidR="000221A3" w:rsidRPr="007E4689" w:rsidRDefault="000221A3" w:rsidP="000221A3">
      <w:pPr>
        <w:pStyle w:val="Heading1"/>
      </w:pPr>
      <w:r w:rsidRPr="000221A3">
        <w:lastRenderedPageBreak/>
        <w:t>Pre-employment Chec</w:t>
      </w:r>
      <w:r w:rsidR="008D108B">
        <w:t>ks</w:t>
      </w:r>
    </w:p>
    <w:p w14:paraId="2558FCD5" w14:textId="77777777" w:rsidR="00DF363A" w:rsidRDefault="00DF363A" w:rsidP="00DF363A">
      <w:r>
        <w:t xml:space="preserve">The Head of State Service has determined that the person nominated for this vacancy is to satisfy a pre-employment check before taking up the appointment, </w:t>
      </w:r>
      <w:proofErr w:type="gramStart"/>
      <w:r>
        <w:t>promotion</w:t>
      </w:r>
      <w:proofErr w:type="gramEnd"/>
      <w:r>
        <w:t xml:space="preserve"> or transfer. </w:t>
      </w:r>
    </w:p>
    <w:p w14:paraId="61E82BC1" w14:textId="77777777" w:rsidR="00DF363A" w:rsidRDefault="00DF363A" w:rsidP="00DF363A">
      <w:r>
        <w:t>The following checks are to be conducted:</w:t>
      </w:r>
    </w:p>
    <w:p w14:paraId="22E363AE" w14:textId="77777777" w:rsidR="00DF363A" w:rsidRPr="00DF363A" w:rsidRDefault="00DF363A" w:rsidP="00DF363A">
      <w:pPr>
        <w:pStyle w:val="ListNumber"/>
        <w:numPr>
          <w:ilvl w:val="0"/>
          <w:numId w:val="18"/>
        </w:numPr>
        <w:ind w:left="426" w:hanging="426"/>
      </w:pPr>
      <w:r w:rsidRPr="00DF363A">
        <w:t>Pre-employment checks</w:t>
      </w:r>
    </w:p>
    <w:p w14:paraId="0873D884" w14:textId="77777777" w:rsidR="00DF363A" w:rsidRPr="00DF363A" w:rsidRDefault="00DF363A" w:rsidP="0087234C">
      <w:pPr>
        <w:pStyle w:val="BulletL1"/>
        <w:spacing w:after="0" w:line="288" w:lineRule="auto"/>
        <w:ind w:left="709"/>
        <w:contextualSpacing w:val="0"/>
      </w:pPr>
      <w:r w:rsidRPr="00DF363A">
        <w:t>Arson and fire setting</w:t>
      </w:r>
    </w:p>
    <w:p w14:paraId="5F45EC4F" w14:textId="77777777" w:rsidR="00DF363A" w:rsidRPr="00DF363A" w:rsidRDefault="00DF363A" w:rsidP="0087234C">
      <w:pPr>
        <w:pStyle w:val="BulletL1"/>
        <w:spacing w:after="0" w:line="288" w:lineRule="auto"/>
        <w:ind w:left="709"/>
        <w:contextualSpacing w:val="0"/>
      </w:pPr>
      <w:r w:rsidRPr="00DF363A">
        <w:t>Violent crimes and crimes against the person</w:t>
      </w:r>
    </w:p>
    <w:p w14:paraId="188780EC" w14:textId="77777777" w:rsidR="00DF363A" w:rsidRPr="00DF363A" w:rsidRDefault="00DF363A" w:rsidP="0087234C">
      <w:pPr>
        <w:pStyle w:val="BulletL1"/>
        <w:spacing w:after="0" w:line="288" w:lineRule="auto"/>
        <w:ind w:left="709"/>
        <w:contextualSpacing w:val="0"/>
      </w:pPr>
      <w:r w:rsidRPr="00DF363A">
        <w:t>Sex-related offences</w:t>
      </w:r>
    </w:p>
    <w:p w14:paraId="216998A1" w14:textId="77777777" w:rsidR="00DF363A" w:rsidRPr="00DF363A" w:rsidRDefault="00DF363A" w:rsidP="0087234C">
      <w:pPr>
        <w:pStyle w:val="BulletL1"/>
        <w:spacing w:after="0" w:line="288" w:lineRule="auto"/>
        <w:ind w:left="709"/>
        <w:contextualSpacing w:val="0"/>
      </w:pPr>
      <w:r w:rsidRPr="00DF363A">
        <w:t>Drug and alcohol related offences</w:t>
      </w:r>
    </w:p>
    <w:p w14:paraId="6B11297C" w14:textId="77777777" w:rsidR="00DF363A" w:rsidRPr="00DF363A" w:rsidRDefault="00DF363A" w:rsidP="0087234C">
      <w:pPr>
        <w:pStyle w:val="BulletL1"/>
        <w:spacing w:after="0" w:line="288" w:lineRule="auto"/>
        <w:ind w:left="709"/>
        <w:contextualSpacing w:val="0"/>
      </w:pPr>
      <w:r w:rsidRPr="00DF363A">
        <w:t xml:space="preserve">Crimes involving </w:t>
      </w:r>
      <w:proofErr w:type="gramStart"/>
      <w:r w:rsidRPr="00DF363A">
        <w:t>dishonesty</w:t>
      </w:r>
      <w:proofErr w:type="gramEnd"/>
    </w:p>
    <w:p w14:paraId="0C716174" w14:textId="77777777" w:rsidR="00DF363A" w:rsidRPr="00DF363A" w:rsidRDefault="00DF363A" w:rsidP="0087234C">
      <w:pPr>
        <w:pStyle w:val="BulletL1"/>
        <w:spacing w:after="0" w:line="288" w:lineRule="auto"/>
        <w:ind w:left="709"/>
        <w:contextualSpacing w:val="0"/>
      </w:pPr>
      <w:r w:rsidRPr="00DF363A">
        <w:t xml:space="preserve">Crimes involving </w:t>
      </w:r>
      <w:proofErr w:type="gramStart"/>
      <w:r w:rsidRPr="00DF363A">
        <w:t>deception</w:t>
      </w:r>
      <w:proofErr w:type="gramEnd"/>
    </w:p>
    <w:p w14:paraId="74B445BA" w14:textId="77777777" w:rsidR="00DF363A" w:rsidRPr="00DF363A" w:rsidRDefault="00DF363A" w:rsidP="0087234C">
      <w:pPr>
        <w:pStyle w:val="BulletL1"/>
        <w:spacing w:after="0" w:line="288" w:lineRule="auto"/>
        <w:ind w:left="709"/>
        <w:contextualSpacing w:val="0"/>
      </w:pPr>
      <w:r w:rsidRPr="00DF363A">
        <w:t>Making false declarations</w:t>
      </w:r>
    </w:p>
    <w:p w14:paraId="42E3DF51" w14:textId="77777777" w:rsidR="00DF363A" w:rsidRPr="00DF363A" w:rsidRDefault="00DF363A" w:rsidP="0087234C">
      <w:pPr>
        <w:pStyle w:val="BulletL1"/>
        <w:spacing w:after="0" w:line="288" w:lineRule="auto"/>
        <w:ind w:left="709"/>
        <w:contextualSpacing w:val="0"/>
      </w:pPr>
      <w:r w:rsidRPr="00DF363A">
        <w:t>Malicious damage and destruction to property</w:t>
      </w:r>
    </w:p>
    <w:p w14:paraId="3AFAEBE3" w14:textId="77777777" w:rsidR="00DF363A" w:rsidRPr="00DF363A" w:rsidRDefault="00DF363A" w:rsidP="0087234C">
      <w:pPr>
        <w:pStyle w:val="BulletL1"/>
        <w:spacing w:after="0" w:line="288" w:lineRule="auto"/>
        <w:ind w:left="709"/>
        <w:contextualSpacing w:val="0"/>
      </w:pPr>
      <w:r w:rsidRPr="00DF363A">
        <w:t>Serious traffic offences</w:t>
      </w:r>
    </w:p>
    <w:p w14:paraId="4738258D" w14:textId="77777777" w:rsidR="00DF363A" w:rsidRPr="00DF363A" w:rsidRDefault="00DF363A" w:rsidP="0087234C">
      <w:pPr>
        <w:pStyle w:val="BulletL1"/>
        <w:spacing w:after="0" w:line="288" w:lineRule="auto"/>
        <w:ind w:left="709"/>
        <w:contextualSpacing w:val="0"/>
      </w:pPr>
      <w:r w:rsidRPr="00DF363A">
        <w:t>Crimes against public order or relating to the Administration of Law and Justice</w:t>
      </w:r>
    </w:p>
    <w:p w14:paraId="50057401" w14:textId="77777777" w:rsidR="00DF363A" w:rsidRPr="00DF363A" w:rsidRDefault="00DF363A" w:rsidP="0087234C">
      <w:pPr>
        <w:pStyle w:val="BulletL1"/>
        <w:spacing w:after="0" w:line="288" w:lineRule="auto"/>
        <w:ind w:left="709"/>
        <w:contextualSpacing w:val="0"/>
      </w:pPr>
      <w:r w:rsidRPr="00DF363A">
        <w:t>Crimes against Executive or the Legislative Power</w:t>
      </w:r>
    </w:p>
    <w:p w14:paraId="7C4025C6" w14:textId="77777777" w:rsidR="00DF363A" w:rsidRPr="00DF363A" w:rsidRDefault="00DF363A" w:rsidP="00DF363A">
      <w:pPr>
        <w:pStyle w:val="BulletL1"/>
        <w:ind w:left="709"/>
      </w:pPr>
      <w:r w:rsidRPr="00DF363A">
        <w:t xml:space="preserve">Crimes involving </w:t>
      </w:r>
      <w:proofErr w:type="gramStart"/>
      <w:r w:rsidRPr="00DF363A">
        <w:t>Conspiracy</w:t>
      </w:r>
      <w:proofErr w:type="gramEnd"/>
    </w:p>
    <w:p w14:paraId="43F60DD9" w14:textId="77777777" w:rsidR="00DF363A" w:rsidRDefault="00DF363A" w:rsidP="00DF363A">
      <w:pPr>
        <w:pStyle w:val="ListNumber"/>
      </w:pPr>
      <w:r>
        <w:t>Disciplinary action in previous employment.</w:t>
      </w:r>
    </w:p>
    <w:p w14:paraId="517E0D7B" w14:textId="77777777" w:rsidR="000221A3" w:rsidRDefault="00DF363A" w:rsidP="00DF363A">
      <w:pPr>
        <w:pStyle w:val="ListNumber"/>
      </w:pPr>
      <w:r>
        <w:t>Identification check.</w:t>
      </w:r>
    </w:p>
    <w:p w14:paraId="6BD804BE" w14:textId="77777777" w:rsidR="00F37264" w:rsidRDefault="00F37264" w:rsidP="00F37264">
      <w:pPr>
        <w:pStyle w:val="Heading1"/>
      </w:pPr>
      <w:r>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240"/>
        <w:gridCol w:w="5830"/>
      </w:tblGrid>
      <w:tr w:rsidR="008D108B" w:rsidRPr="00005DBB" w14:paraId="49DC4BCF" w14:textId="77777777" w:rsidTr="00D06F8C">
        <w:trPr>
          <w:trHeight w:val="340"/>
          <w:tblHeader/>
        </w:trPr>
        <w:tc>
          <w:tcPr>
            <w:tcW w:w="3240" w:type="dxa"/>
            <w:shd w:val="clear" w:color="auto" w:fill="F2F2F2" w:themeFill="background1" w:themeFillShade="F2"/>
            <w:vAlign w:val="center"/>
          </w:tcPr>
          <w:p w14:paraId="593ADDCA" w14:textId="77777777" w:rsidR="008D108B" w:rsidRPr="00B9618A" w:rsidRDefault="008D108B" w:rsidP="008D108B">
            <w:pPr>
              <w:pStyle w:val="Tableheadingblack"/>
            </w:pPr>
            <w:r w:rsidRPr="00B9618A">
              <w:t>Title</w:t>
            </w:r>
          </w:p>
        </w:tc>
        <w:tc>
          <w:tcPr>
            <w:tcW w:w="5830" w:type="dxa"/>
            <w:shd w:val="clear" w:color="auto" w:fill="F2F2F2" w:themeFill="background1" w:themeFillShade="F2"/>
            <w:vAlign w:val="center"/>
          </w:tcPr>
          <w:p w14:paraId="425B7675" w14:textId="29D723DA" w:rsidR="008D108B" w:rsidRPr="00005DBB" w:rsidRDefault="008D108B" w:rsidP="008D108B">
            <w:pPr>
              <w:pStyle w:val="Tablecopy"/>
            </w:pPr>
            <w:r>
              <w:t>Judge’s Associate</w:t>
            </w:r>
          </w:p>
        </w:tc>
      </w:tr>
      <w:tr w:rsidR="008D108B" w:rsidRPr="00005DBB" w14:paraId="7AE32C57" w14:textId="77777777" w:rsidTr="00D06F8C">
        <w:trPr>
          <w:trHeight w:val="340"/>
          <w:tblHeader/>
        </w:trPr>
        <w:tc>
          <w:tcPr>
            <w:tcW w:w="3240" w:type="dxa"/>
            <w:shd w:val="clear" w:color="auto" w:fill="F2F2F2" w:themeFill="background1" w:themeFillShade="F2"/>
            <w:vAlign w:val="center"/>
          </w:tcPr>
          <w:p w14:paraId="23550DDB" w14:textId="77777777" w:rsidR="008D108B" w:rsidRPr="00B9618A" w:rsidRDefault="008D108B" w:rsidP="008D108B">
            <w:pPr>
              <w:pStyle w:val="Tableheadingblack"/>
            </w:pPr>
            <w:r w:rsidRPr="00B9618A">
              <w:t>Number</w:t>
            </w:r>
          </w:p>
        </w:tc>
        <w:tc>
          <w:tcPr>
            <w:tcW w:w="5830" w:type="dxa"/>
            <w:shd w:val="clear" w:color="auto" w:fill="F2F2F2" w:themeFill="background1" w:themeFillShade="F2"/>
            <w:vAlign w:val="center"/>
          </w:tcPr>
          <w:p w14:paraId="1101533E" w14:textId="12A967B6" w:rsidR="008D108B" w:rsidRPr="00005DBB" w:rsidRDefault="008D108B" w:rsidP="008D108B">
            <w:pPr>
              <w:pStyle w:val="Tablecopy"/>
            </w:pPr>
            <w:r>
              <w:t>350404</w:t>
            </w:r>
          </w:p>
        </w:tc>
      </w:tr>
      <w:tr w:rsidR="008D108B" w:rsidRPr="00005DBB" w14:paraId="73BBA88B" w14:textId="77777777" w:rsidTr="00D06F8C">
        <w:trPr>
          <w:trHeight w:val="340"/>
          <w:tblHeader/>
        </w:trPr>
        <w:tc>
          <w:tcPr>
            <w:tcW w:w="3240" w:type="dxa"/>
            <w:shd w:val="clear" w:color="auto" w:fill="F2F2F2" w:themeFill="background1" w:themeFillShade="F2"/>
            <w:vAlign w:val="center"/>
          </w:tcPr>
          <w:p w14:paraId="7828F5FF" w14:textId="77777777" w:rsidR="008D108B" w:rsidRPr="00B9618A" w:rsidRDefault="008D108B" w:rsidP="008D108B">
            <w:pPr>
              <w:pStyle w:val="Tableheadingblack"/>
            </w:pPr>
            <w:r w:rsidRPr="00B9618A">
              <w:t>Award</w:t>
            </w:r>
          </w:p>
        </w:tc>
        <w:tc>
          <w:tcPr>
            <w:tcW w:w="5830" w:type="dxa"/>
            <w:shd w:val="clear" w:color="auto" w:fill="F2F2F2" w:themeFill="background1" w:themeFillShade="F2"/>
            <w:vAlign w:val="center"/>
          </w:tcPr>
          <w:p w14:paraId="56722328" w14:textId="07FC7921" w:rsidR="008D108B" w:rsidRPr="00005DBB" w:rsidRDefault="008D108B" w:rsidP="008D108B">
            <w:pPr>
              <w:pStyle w:val="Tablecopy"/>
            </w:pPr>
            <w:r>
              <w:t>Tasmanian State Service Award</w:t>
            </w:r>
          </w:p>
        </w:tc>
      </w:tr>
      <w:tr w:rsidR="008D108B" w:rsidRPr="00005DBB" w14:paraId="14554455" w14:textId="77777777" w:rsidTr="00D06F8C">
        <w:trPr>
          <w:trHeight w:val="340"/>
          <w:tblHeader/>
        </w:trPr>
        <w:tc>
          <w:tcPr>
            <w:tcW w:w="3240" w:type="dxa"/>
            <w:shd w:val="clear" w:color="auto" w:fill="F2F2F2" w:themeFill="background1" w:themeFillShade="F2"/>
            <w:vAlign w:val="center"/>
          </w:tcPr>
          <w:p w14:paraId="013DD5BC" w14:textId="77777777" w:rsidR="008D108B" w:rsidRPr="00B9618A" w:rsidRDefault="008D108B" w:rsidP="008D108B">
            <w:pPr>
              <w:pStyle w:val="Tableheadingblack"/>
            </w:pPr>
            <w:r w:rsidRPr="00B9618A">
              <w:t>Classification</w:t>
            </w:r>
          </w:p>
        </w:tc>
        <w:tc>
          <w:tcPr>
            <w:tcW w:w="5830" w:type="dxa"/>
            <w:shd w:val="clear" w:color="auto" w:fill="F2F2F2" w:themeFill="background1" w:themeFillShade="F2"/>
            <w:vAlign w:val="center"/>
          </w:tcPr>
          <w:p w14:paraId="3C3D3CE0" w14:textId="7BBF8974" w:rsidR="008D108B" w:rsidRPr="00005DBB" w:rsidRDefault="008D108B" w:rsidP="008D108B">
            <w:pPr>
              <w:pStyle w:val="Tablecopy"/>
            </w:pPr>
            <w:r>
              <w:t>General Stream Band 3</w:t>
            </w:r>
          </w:p>
        </w:tc>
      </w:tr>
      <w:tr w:rsidR="008D108B" w:rsidRPr="00005DBB" w14:paraId="0E8F646F" w14:textId="77777777" w:rsidTr="00D06F8C">
        <w:trPr>
          <w:trHeight w:val="340"/>
          <w:tblHeader/>
        </w:trPr>
        <w:tc>
          <w:tcPr>
            <w:tcW w:w="3240" w:type="dxa"/>
            <w:shd w:val="clear" w:color="auto" w:fill="F2F2F2" w:themeFill="background1" w:themeFillShade="F2"/>
            <w:vAlign w:val="center"/>
          </w:tcPr>
          <w:p w14:paraId="262B1F7C" w14:textId="77777777" w:rsidR="008D108B" w:rsidRPr="00B9618A" w:rsidRDefault="008D108B" w:rsidP="008D108B">
            <w:pPr>
              <w:pStyle w:val="Tableheadingblack"/>
            </w:pPr>
            <w:r>
              <w:t>Division</w:t>
            </w:r>
          </w:p>
        </w:tc>
        <w:tc>
          <w:tcPr>
            <w:tcW w:w="5830" w:type="dxa"/>
            <w:shd w:val="clear" w:color="auto" w:fill="F2F2F2" w:themeFill="background1" w:themeFillShade="F2"/>
            <w:vAlign w:val="center"/>
          </w:tcPr>
          <w:p w14:paraId="5F63B123" w14:textId="37B98D03" w:rsidR="008D108B" w:rsidRPr="00005DBB" w:rsidRDefault="008D108B" w:rsidP="008D108B">
            <w:pPr>
              <w:pStyle w:val="Tablecopy"/>
            </w:pPr>
            <w:r>
              <w:t>Justice and Reform</w:t>
            </w:r>
          </w:p>
        </w:tc>
      </w:tr>
      <w:tr w:rsidR="008D108B" w:rsidRPr="00005DBB" w14:paraId="50E27455" w14:textId="77777777" w:rsidTr="00D06F8C">
        <w:trPr>
          <w:trHeight w:val="340"/>
          <w:tblHeader/>
        </w:trPr>
        <w:tc>
          <w:tcPr>
            <w:tcW w:w="3240" w:type="dxa"/>
            <w:shd w:val="clear" w:color="auto" w:fill="F2F2F2" w:themeFill="background1" w:themeFillShade="F2"/>
            <w:vAlign w:val="center"/>
          </w:tcPr>
          <w:p w14:paraId="2E0CAC33" w14:textId="77777777" w:rsidR="008D108B" w:rsidRPr="00B9618A" w:rsidRDefault="008D108B" w:rsidP="008D108B">
            <w:pPr>
              <w:pStyle w:val="Tableheadingblack"/>
            </w:pPr>
            <w:r w:rsidRPr="00B9618A">
              <w:t>Full Time Equivalent</w:t>
            </w:r>
          </w:p>
        </w:tc>
        <w:tc>
          <w:tcPr>
            <w:tcW w:w="5830" w:type="dxa"/>
            <w:shd w:val="clear" w:color="auto" w:fill="F2F2F2" w:themeFill="background1" w:themeFillShade="F2"/>
            <w:vAlign w:val="center"/>
          </w:tcPr>
          <w:p w14:paraId="3736EB02" w14:textId="64638D6B" w:rsidR="008D108B" w:rsidRPr="00005DBB" w:rsidRDefault="008D108B" w:rsidP="008D108B">
            <w:pPr>
              <w:pStyle w:val="Tablecopy"/>
            </w:pPr>
            <w:r>
              <w:t>1.0 FTE</w:t>
            </w:r>
          </w:p>
        </w:tc>
      </w:tr>
      <w:tr w:rsidR="008D108B" w:rsidRPr="00005DBB" w14:paraId="4EE610CC" w14:textId="77777777" w:rsidTr="00D06F8C">
        <w:trPr>
          <w:trHeight w:val="340"/>
          <w:tblHeader/>
        </w:trPr>
        <w:tc>
          <w:tcPr>
            <w:tcW w:w="3240" w:type="dxa"/>
            <w:shd w:val="clear" w:color="auto" w:fill="F2F2F2" w:themeFill="background1" w:themeFillShade="F2"/>
            <w:vAlign w:val="center"/>
          </w:tcPr>
          <w:p w14:paraId="1A95BB18" w14:textId="77777777" w:rsidR="008D108B" w:rsidRPr="00B9618A" w:rsidRDefault="008D108B" w:rsidP="008D108B">
            <w:pPr>
              <w:pStyle w:val="Tableheadingblack"/>
            </w:pPr>
            <w:r>
              <w:t>Output Group</w:t>
            </w:r>
          </w:p>
        </w:tc>
        <w:tc>
          <w:tcPr>
            <w:tcW w:w="5830" w:type="dxa"/>
            <w:shd w:val="clear" w:color="auto" w:fill="F2F2F2" w:themeFill="background1" w:themeFillShade="F2"/>
            <w:vAlign w:val="center"/>
          </w:tcPr>
          <w:p w14:paraId="7D3755DE" w14:textId="5A354033" w:rsidR="008D108B" w:rsidRPr="00005DBB" w:rsidRDefault="008D108B" w:rsidP="008D108B">
            <w:pPr>
              <w:pStyle w:val="Tablecopy"/>
            </w:pPr>
            <w:r>
              <w:t>Supreme Court</w:t>
            </w:r>
          </w:p>
        </w:tc>
      </w:tr>
      <w:tr w:rsidR="008D108B" w:rsidRPr="00005DBB" w14:paraId="56B513D0" w14:textId="77777777" w:rsidTr="00D06F8C">
        <w:trPr>
          <w:trHeight w:val="340"/>
          <w:tblHeader/>
        </w:trPr>
        <w:tc>
          <w:tcPr>
            <w:tcW w:w="3240" w:type="dxa"/>
            <w:shd w:val="clear" w:color="auto" w:fill="F2F2F2" w:themeFill="background1" w:themeFillShade="F2"/>
            <w:vAlign w:val="center"/>
          </w:tcPr>
          <w:p w14:paraId="6B1F325B" w14:textId="77777777" w:rsidR="008D108B" w:rsidRPr="00B9618A" w:rsidRDefault="008D108B" w:rsidP="008D108B">
            <w:pPr>
              <w:pStyle w:val="Tableheadingblack"/>
            </w:pPr>
            <w:r w:rsidRPr="00B9618A">
              <w:t>Branch</w:t>
            </w:r>
          </w:p>
        </w:tc>
        <w:tc>
          <w:tcPr>
            <w:tcW w:w="5830" w:type="dxa"/>
            <w:shd w:val="clear" w:color="auto" w:fill="F2F2F2" w:themeFill="background1" w:themeFillShade="F2"/>
            <w:vAlign w:val="center"/>
          </w:tcPr>
          <w:p w14:paraId="26DBBB81" w14:textId="47ECC7CF" w:rsidR="008D108B" w:rsidRPr="00005DBB" w:rsidRDefault="008D108B" w:rsidP="008D108B">
            <w:pPr>
              <w:pStyle w:val="Tablecopy"/>
            </w:pPr>
            <w:r>
              <w:t>Hobart</w:t>
            </w:r>
          </w:p>
        </w:tc>
      </w:tr>
      <w:tr w:rsidR="008D108B" w:rsidRPr="00005DBB" w14:paraId="3EEE156D" w14:textId="77777777" w:rsidTr="00D06F8C">
        <w:trPr>
          <w:trHeight w:val="340"/>
          <w:tblHeader/>
        </w:trPr>
        <w:tc>
          <w:tcPr>
            <w:tcW w:w="3240" w:type="dxa"/>
            <w:shd w:val="clear" w:color="auto" w:fill="F2F2F2" w:themeFill="background1" w:themeFillShade="F2"/>
            <w:vAlign w:val="center"/>
          </w:tcPr>
          <w:p w14:paraId="7BC5E521" w14:textId="77777777" w:rsidR="008D108B" w:rsidRPr="00B9618A" w:rsidRDefault="008D108B" w:rsidP="008D108B">
            <w:pPr>
              <w:pStyle w:val="Tableheadingblack"/>
            </w:pPr>
            <w:r w:rsidRPr="00B9618A">
              <w:t>Supervisor</w:t>
            </w:r>
          </w:p>
        </w:tc>
        <w:tc>
          <w:tcPr>
            <w:tcW w:w="5830" w:type="dxa"/>
            <w:shd w:val="clear" w:color="auto" w:fill="F2F2F2" w:themeFill="background1" w:themeFillShade="F2"/>
            <w:vAlign w:val="center"/>
          </w:tcPr>
          <w:p w14:paraId="71F429A2" w14:textId="61BA1D86" w:rsidR="008D108B" w:rsidRPr="00EE50F8" w:rsidRDefault="008D108B" w:rsidP="008D108B">
            <w:pPr>
              <w:pStyle w:val="Tablecopy"/>
              <w:rPr>
                <w:rFonts w:cs="Arial"/>
              </w:rPr>
            </w:pPr>
            <w:r>
              <w:rPr>
                <w:rFonts w:cs="Arial"/>
              </w:rPr>
              <w:t>Judge</w:t>
            </w:r>
          </w:p>
        </w:tc>
      </w:tr>
      <w:tr w:rsidR="008D108B" w:rsidRPr="00005DBB" w14:paraId="2508D488" w14:textId="77777777" w:rsidTr="00D06F8C">
        <w:trPr>
          <w:trHeight w:val="340"/>
          <w:tblHeader/>
        </w:trPr>
        <w:tc>
          <w:tcPr>
            <w:tcW w:w="3240" w:type="dxa"/>
            <w:shd w:val="clear" w:color="auto" w:fill="F2F2F2" w:themeFill="background1" w:themeFillShade="F2"/>
            <w:vAlign w:val="center"/>
          </w:tcPr>
          <w:p w14:paraId="4EB8CDE3" w14:textId="77777777" w:rsidR="008D108B" w:rsidRPr="00B9618A" w:rsidRDefault="008D108B" w:rsidP="008D108B">
            <w:pPr>
              <w:pStyle w:val="Tableheadingblack"/>
            </w:pPr>
            <w:r w:rsidRPr="00B9618A">
              <w:t>Direct Reports</w:t>
            </w:r>
          </w:p>
        </w:tc>
        <w:tc>
          <w:tcPr>
            <w:tcW w:w="5830" w:type="dxa"/>
            <w:shd w:val="clear" w:color="auto" w:fill="F2F2F2" w:themeFill="background1" w:themeFillShade="F2"/>
            <w:vAlign w:val="center"/>
          </w:tcPr>
          <w:p w14:paraId="22BF6EC2" w14:textId="3C0B88E7" w:rsidR="008D108B" w:rsidRPr="00EE50F8" w:rsidRDefault="008D108B" w:rsidP="008D108B">
            <w:pPr>
              <w:pStyle w:val="Tablecopy"/>
              <w:rPr>
                <w:rFonts w:cs="Arial"/>
              </w:rPr>
            </w:pPr>
            <w:r>
              <w:rPr>
                <w:rFonts w:cs="Arial"/>
              </w:rPr>
              <w:t>Nil</w:t>
            </w:r>
          </w:p>
        </w:tc>
      </w:tr>
      <w:tr w:rsidR="008D108B" w:rsidRPr="00005DBB" w14:paraId="761249DF" w14:textId="77777777" w:rsidTr="00D06F8C">
        <w:trPr>
          <w:trHeight w:val="340"/>
          <w:tblHeader/>
        </w:trPr>
        <w:tc>
          <w:tcPr>
            <w:tcW w:w="3240" w:type="dxa"/>
            <w:shd w:val="clear" w:color="auto" w:fill="F2F2F2" w:themeFill="background1" w:themeFillShade="F2"/>
            <w:vAlign w:val="center"/>
          </w:tcPr>
          <w:p w14:paraId="5ECE26E4" w14:textId="77777777" w:rsidR="008D108B" w:rsidRPr="00B9618A" w:rsidRDefault="008D108B" w:rsidP="008D108B">
            <w:pPr>
              <w:pStyle w:val="Tableheadingblack"/>
            </w:pPr>
            <w:r w:rsidRPr="00B9618A">
              <w:t>Location</w:t>
            </w:r>
          </w:p>
        </w:tc>
        <w:tc>
          <w:tcPr>
            <w:tcW w:w="5830" w:type="dxa"/>
            <w:shd w:val="clear" w:color="auto" w:fill="F2F2F2" w:themeFill="background1" w:themeFillShade="F2"/>
            <w:vAlign w:val="center"/>
          </w:tcPr>
          <w:p w14:paraId="25B6EF97" w14:textId="218FDCFD" w:rsidR="008D108B" w:rsidRPr="00EE50F8" w:rsidRDefault="008D108B" w:rsidP="008D108B">
            <w:pPr>
              <w:pStyle w:val="Tablecopy"/>
              <w:rPr>
                <w:rFonts w:cs="Arial"/>
              </w:rPr>
            </w:pPr>
            <w:r>
              <w:rPr>
                <w:rFonts w:cs="Arial"/>
              </w:rPr>
              <w:t>Hobart</w:t>
            </w:r>
          </w:p>
        </w:tc>
      </w:tr>
      <w:tr w:rsidR="008D108B" w:rsidRPr="00005DBB" w14:paraId="2AC0B59C" w14:textId="77777777" w:rsidTr="00D06F8C">
        <w:trPr>
          <w:trHeight w:val="340"/>
          <w:tblHeader/>
        </w:trPr>
        <w:tc>
          <w:tcPr>
            <w:tcW w:w="3240" w:type="dxa"/>
            <w:shd w:val="clear" w:color="auto" w:fill="F2F2F2" w:themeFill="background1" w:themeFillShade="F2"/>
            <w:vAlign w:val="center"/>
          </w:tcPr>
          <w:p w14:paraId="36A8DDEF" w14:textId="77777777" w:rsidR="008D108B" w:rsidRPr="00B9618A" w:rsidRDefault="008D108B" w:rsidP="008D108B">
            <w:pPr>
              <w:pStyle w:val="Tableheadingblack"/>
            </w:pPr>
            <w:r w:rsidRPr="00B9618A">
              <w:t>Position category and funding</w:t>
            </w:r>
          </w:p>
        </w:tc>
        <w:tc>
          <w:tcPr>
            <w:tcW w:w="5830" w:type="dxa"/>
            <w:shd w:val="clear" w:color="auto" w:fill="F2F2F2" w:themeFill="background1" w:themeFillShade="F2"/>
            <w:vAlign w:val="center"/>
          </w:tcPr>
          <w:p w14:paraId="0756DF49" w14:textId="271D8BEF" w:rsidR="008D108B" w:rsidRPr="00995F4A" w:rsidRDefault="008D108B" w:rsidP="008D108B">
            <w:pPr>
              <w:pStyle w:val="Tablecopy"/>
            </w:pPr>
            <w:r>
              <w:t>A019, A024</w:t>
            </w:r>
          </w:p>
        </w:tc>
      </w:tr>
    </w:tbl>
    <w:p w14:paraId="354596C5" w14:textId="77777777" w:rsidR="00F37264" w:rsidRPr="00F37264" w:rsidRDefault="00F37264" w:rsidP="00F37264">
      <w:pPr>
        <w:pStyle w:val="ListContinue"/>
        <w:ind w:left="0"/>
      </w:pPr>
    </w:p>
    <w:sectPr w:rsidR="00F37264" w:rsidRPr="00F37264" w:rsidSect="0087234C">
      <w:footerReference w:type="default" r:id="rId8"/>
      <w:headerReference w:type="first" r:id="rId9"/>
      <w:footerReference w:type="first" r:id="rId10"/>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907E4" w14:textId="77777777" w:rsidR="001242AB" w:rsidRDefault="001242AB" w:rsidP="004438C9">
      <w:r>
        <w:separator/>
      </w:r>
    </w:p>
    <w:p w14:paraId="10B0A2A1" w14:textId="77777777" w:rsidR="001242AB" w:rsidRDefault="001242AB"/>
  </w:endnote>
  <w:endnote w:type="continuationSeparator" w:id="0">
    <w:p w14:paraId="4DB23F79" w14:textId="77777777" w:rsidR="001242AB" w:rsidRDefault="001242AB" w:rsidP="004438C9">
      <w:r>
        <w:continuationSeparator/>
      </w:r>
    </w:p>
    <w:p w14:paraId="4A39E53D" w14:textId="77777777" w:rsidR="001242AB" w:rsidRDefault="00124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189CA9A5" w14:textId="77777777" w:rsidR="00A02FA7" w:rsidRDefault="00A02FA7" w:rsidP="00A02FA7">
        <w:pPr>
          <w:pStyle w:val="Caption"/>
          <w:tabs>
            <w:tab w:val="right" w:pos="9070"/>
          </w:tabs>
        </w:pPr>
      </w:p>
      <w:p w14:paraId="4D24E706" w14:textId="014CEC4C" w:rsidR="00BD0AF7" w:rsidRPr="00F16B4E" w:rsidRDefault="00A02FA7" w:rsidP="00A02FA7">
        <w:pPr>
          <w:pStyle w:val="Caption"/>
          <w:tabs>
            <w:tab w:val="right" w:pos="9070"/>
          </w:tabs>
        </w:pPr>
        <w:r>
          <w:t xml:space="preserve">Last </w:t>
        </w:r>
        <w:r w:rsidRPr="00456BC0">
          <w:t xml:space="preserve">review date: </w:t>
        </w:r>
        <w:r w:rsidR="008D108B">
          <w:t>September 2021</w:t>
        </w:r>
        <w:r>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1BBFA0FB" w14:textId="77777777" w:rsidR="00CF3CBC" w:rsidRDefault="00CF3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3556" w14:textId="58AEC0CF" w:rsidR="00A02FA7" w:rsidRPr="00F16B4E" w:rsidRDefault="00A02FA7" w:rsidP="00A02FA7">
    <w:pPr>
      <w:pStyle w:val="Caption"/>
      <w:tabs>
        <w:tab w:val="right" w:pos="9070"/>
      </w:tabs>
    </w:pPr>
    <w:r>
      <w:t xml:space="preserve">Last </w:t>
    </w:r>
    <w:r w:rsidRPr="00456BC0">
      <w:t xml:space="preserve">review date: </w:t>
    </w:r>
    <w:r w:rsidR="008D108B">
      <w:t>September 2021</w:t>
    </w:r>
    <w:r>
      <w:tab/>
    </w:r>
    <w:r>
      <w:fldChar w:fldCharType="begin"/>
    </w:r>
    <w:r>
      <w:instrText xml:space="preserve"> PAGE   \* MERGEFORMAT </w:instrText>
    </w:r>
    <w:r>
      <w:fldChar w:fldCharType="separate"/>
    </w:r>
    <w:r>
      <w:t>2</w:t>
    </w:r>
    <w:r>
      <w:rPr>
        <w:noProof/>
      </w:rPr>
      <w:fldChar w:fldCharType="end"/>
    </w:r>
  </w:p>
  <w:p w14:paraId="6C43EF2B"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5CE1F" w14:textId="77777777" w:rsidR="001242AB" w:rsidRDefault="001242AB" w:rsidP="004438C9">
      <w:r>
        <w:separator/>
      </w:r>
    </w:p>
    <w:p w14:paraId="5EB14AD6" w14:textId="77777777" w:rsidR="001242AB" w:rsidRDefault="001242AB"/>
  </w:footnote>
  <w:footnote w:type="continuationSeparator" w:id="0">
    <w:p w14:paraId="179BE545" w14:textId="77777777" w:rsidR="001242AB" w:rsidRDefault="001242AB" w:rsidP="004438C9">
      <w:r>
        <w:continuationSeparator/>
      </w:r>
    </w:p>
    <w:p w14:paraId="52B74954" w14:textId="77777777" w:rsidR="001242AB" w:rsidRDefault="001242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1774"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69012187" wp14:editId="6B70304D">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2F2809"/>
    <w:multiLevelType w:val="hybridMultilevel"/>
    <w:tmpl w:val="46360C6E"/>
    <w:lvl w:ilvl="0" w:tplc="1BD05A8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43989">
    <w:abstractNumId w:val="4"/>
  </w:num>
  <w:num w:numId="2" w16cid:durableId="840971471">
    <w:abstractNumId w:val="6"/>
  </w:num>
  <w:num w:numId="3" w16cid:durableId="1738630552">
    <w:abstractNumId w:val="13"/>
  </w:num>
  <w:num w:numId="4" w16cid:durableId="1956597500">
    <w:abstractNumId w:val="5"/>
  </w:num>
  <w:num w:numId="5" w16cid:durableId="303001286">
    <w:abstractNumId w:val="11"/>
  </w:num>
  <w:num w:numId="6" w16cid:durableId="553349720">
    <w:abstractNumId w:val="7"/>
  </w:num>
  <w:num w:numId="7" w16cid:durableId="1048643758">
    <w:abstractNumId w:val="1"/>
  </w:num>
  <w:num w:numId="8" w16cid:durableId="201139373">
    <w:abstractNumId w:val="12"/>
  </w:num>
  <w:num w:numId="9" w16cid:durableId="286158930">
    <w:abstractNumId w:val="0"/>
  </w:num>
  <w:num w:numId="10" w16cid:durableId="43913803">
    <w:abstractNumId w:val="12"/>
  </w:num>
  <w:num w:numId="11" w16cid:durableId="2125879712">
    <w:abstractNumId w:val="2"/>
  </w:num>
  <w:num w:numId="12" w16cid:durableId="1948462496">
    <w:abstractNumId w:val="12"/>
  </w:num>
  <w:num w:numId="13" w16cid:durableId="6912274">
    <w:abstractNumId w:val="14"/>
  </w:num>
  <w:num w:numId="14" w16cid:durableId="1623803603">
    <w:abstractNumId w:val="8"/>
  </w:num>
  <w:num w:numId="15" w16cid:durableId="1591229665">
    <w:abstractNumId w:val="8"/>
  </w:num>
  <w:num w:numId="16" w16cid:durableId="1754278598">
    <w:abstractNumId w:val="3"/>
  </w:num>
  <w:num w:numId="17" w16cid:durableId="212665966">
    <w:abstractNumId w:val="10"/>
  </w:num>
  <w:num w:numId="18" w16cid:durableId="287712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42228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2AB"/>
    <w:rsid w:val="000221A3"/>
    <w:rsid w:val="00043209"/>
    <w:rsid w:val="001242AB"/>
    <w:rsid w:val="001314BC"/>
    <w:rsid w:val="001507F3"/>
    <w:rsid w:val="002623EA"/>
    <w:rsid w:val="00297F6C"/>
    <w:rsid w:val="002B3394"/>
    <w:rsid w:val="002C2E68"/>
    <w:rsid w:val="002D12FB"/>
    <w:rsid w:val="002D7078"/>
    <w:rsid w:val="00321351"/>
    <w:rsid w:val="003813E5"/>
    <w:rsid w:val="00386DE1"/>
    <w:rsid w:val="003A54FA"/>
    <w:rsid w:val="003C79F5"/>
    <w:rsid w:val="00421B3F"/>
    <w:rsid w:val="0043635E"/>
    <w:rsid w:val="004438C9"/>
    <w:rsid w:val="00447BD4"/>
    <w:rsid w:val="00456BC0"/>
    <w:rsid w:val="00461775"/>
    <w:rsid w:val="004D1E00"/>
    <w:rsid w:val="004D3811"/>
    <w:rsid w:val="00512870"/>
    <w:rsid w:val="00517409"/>
    <w:rsid w:val="0059331B"/>
    <w:rsid w:val="005B3569"/>
    <w:rsid w:val="005C0BEF"/>
    <w:rsid w:val="005E082F"/>
    <w:rsid w:val="005F2CFF"/>
    <w:rsid w:val="00635C51"/>
    <w:rsid w:val="0064198D"/>
    <w:rsid w:val="00653335"/>
    <w:rsid w:val="006606A4"/>
    <w:rsid w:val="00663B53"/>
    <w:rsid w:val="006653CD"/>
    <w:rsid w:val="006E6FA2"/>
    <w:rsid w:val="00740C39"/>
    <w:rsid w:val="00774FCA"/>
    <w:rsid w:val="00781449"/>
    <w:rsid w:val="007C2716"/>
    <w:rsid w:val="007E4689"/>
    <w:rsid w:val="0083141A"/>
    <w:rsid w:val="00863B9D"/>
    <w:rsid w:val="0086711A"/>
    <w:rsid w:val="0087234C"/>
    <w:rsid w:val="008C0033"/>
    <w:rsid w:val="008C5385"/>
    <w:rsid w:val="008C53F1"/>
    <w:rsid w:val="008D108B"/>
    <w:rsid w:val="008E090E"/>
    <w:rsid w:val="008E40F0"/>
    <w:rsid w:val="008F2D2F"/>
    <w:rsid w:val="009339A0"/>
    <w:rsid w:val="009423EC"/>
    <w:rsid w:val="00945CE8"/>
    <w:rsid w:val="00950DB8"/>
    <w:rsid w:val="009527E4"/>
    <w:rsid w:val="00952DC6"/>
    <w:rsid w:val="00952E97"/>
    <w:rsid w:val="009720CE"/>
    <w:rsid w:val="00990420"/>
    <w:rsid w:val="00996D62"/>
    <w:rsid w:val="009C09A9"/>
    <w:rsid w:val="009E0F6C"/>
    <w:rsid w:val="009E3508"/>
    <w:rsid w:val="009F0C39"/>
    <w:rsid w:val="00A02FA7"/>
    <w:rsid w:val="00A2725B"/>
    <w:rsid w:val="00A31B9D"/>
    <w:rsid w:val="00A36BFD"/>
    <w:rsid w:val="00AB08AB"/>
    <w:rsid w:val="00AB3404"/>
    <w:rsid w:val="00AD1270"/>
    <w:rsid w:val="00AE18EF"/>
    <w:rsid w:val="00AF294A"/>
    <w:rsid w:val="00B2209C"/>
    <w:rsid w:val="00B33B13"/>
    <w:rsid w:val="00B67B16"/>
    <w:rsid w:val="00B90D66"/>
    <w:rsid w:val="00B95C38"/>
    <w:rsid w:val="00BD0AF7"/>
    <w:rsid w:val="00C03F27"/>
    <w:rsid w:val="00C21818"/>
    <w:rsid w:val="00CB2738"/>
    <w:rsid w:val="00CC4A79"/>
    <w:rsid w:val="00CF3CBC"/>
    <w:rsid w:val="00D00E2A"/>
    <w:rsid w:val="00D06F8C"/>
    <w:rsid w:val="00D40F47"/>
    <w:rsid w:val="00DA6B55"/>
    <w:rsid w:val="00DD0D3B"/>
    <w:rsid w:val="00DF363A"/>
    <w:rsid w:val="00E051F2"/>
    <w:rsid w:val="00E169C2"/>
    <w:rsid w:val="00E4377B"/>
    <w:rsid w:val="00E563CC"/>
    <w:rsid w:val="00E65FE5"/>
    <w:rsid w:val="00E7785D"/>
    <w:rsid w:val="00EA6623"/>
    <w:rsid w:val="00EA6A91"/>
    <w:rsid w:val="00EE3F8B"/>
    <w:rsid w:val="00F16B4E"/>
    <w:rsid w:val="00F37264"/>
    <w:rsid w:val="00F513FA"/>
    <w:rsid w:val="00F821C8"/>
    <w:rsid w:val="00F83F2F"/>
    <w:rsid w:val="00F91DD7"/>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060EE"/>
  <w15:chartTrackingRefBased/>
  <w15:docId w15:val="{F2D60359-EF37-4286-BBC1-0BBA68D9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ind w:left="284" w:hanging="284"/>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 w:type="paragraph" w:customStyle="1" w:styleId="Heading2centre">
    <w:name w:val="Heading 2+centre"/>
    <w:basedOn w:val="Heading2"/>
    <w:qFormat/>
    <w:rsid w:val="008D108B"/>
    <w:pPr>
      <w:keepLines w:val="0"/>
      <w:spacing w:before="240"/>
      <w:jc w:val="center"/>
    </w:pPr>
    <w:rPr>
      <w:rFonts w:ascii="Gill Sans MT" w:eastAsia="Times New Roman" w:hAnsi="Gill Sans MT" w:cs="Arial"/>
      <w:b w:val="0"/>
      <w:bCs/>
      <w:color w:val="auto"/>
      <w:kern w:val="0"/>
      <w:sz w:val="32"/>
      <w:szCs w:val="24"/>
      <w14:ligatures w14:val="none"/>
    </w:rPr>
  </w:style>
  <w:style w:type="paragraph" w:styleId="ListBullet">
    <w:name w:val="List Bullet"/>
    <w:basedOn w:val="Normal"/>
    <w:autoRedefine/>
    <w:qFormat/>
    <w:rsid w:val="008D108B"/>
    <w:pPr>
      <w:numPr>
        <w:numId w:val="19"/>
      </w:numPr>
      <w:spacing w:after="60" w:line="240" w:lineRule="auto"/>
    </w:pPr>
    <w:rPr>
      <w:rFonts w:ascii="Gill Sans MT" w:eastAsia="Times New Roman" w:hAnsi="Gill Sans MT" w:cs="Arial"/>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ecruitment%20and%20Establishment\Statement%20of%20Duties\SOD%20template%202024.dotx" TargetMode="External"/></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648-5B5B-48A5-926F-2AD318F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template 2024.dotx</Template>
  <TotalTime>8</TotalTime>
  <Pages>3</Pages>
  <Words>736</Words>
  <Characters>4199</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Objective</vt:lpstr>
      <vt:lpstr>Duties</vt:lpstr>
      <vt:lpstr>Level of responsibility</vt:lpstr>
      <vt:lpstr>Direction and supervision received</vt:lpstr>
      <vt:lpstr>Selection criteria</vt:lpstr>
      <vt:lpstr>Essential requirements</vt:lpstr>
      <vt:lpstr>Desirable requirements</vt:lpstr>
      <vt:lpstr>Pre-employment Checks (remove if not required)</vt:lpstr>
      <vt:lpstr>Position Summary</vt:lpstr>
    </vt:vector>
  </TitlesOfParts>
  <Company>Department of Premier and Cabinet</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Kasteel, Suzie</dc:creator>
  <cp:keywords/>
  <dc:description/>
  <cp:lastModifiedBy>Kasteel, Suzie</cp:lastModifiedBy>
  <cp:revision>2</cp:revision>
  <dcterms:created xsi:type="dcterms:W3CDTF">2024-09-15T21:45:00Z</dcterms:created>
  <dcterms:modified xsi:type="dcterms:W3CDTF">2024-09-15T21:54:00Z</dcterms:modified>
</cp:coreProperties>
</file>