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1E554A23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0A09357A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35444965"/>
          </w:p>
        </w:tc>
      </w:tr>
    </w:tbl>
    <w:bookmarkEnd w:id="0"/>
    <w:p w14:paraId="4909D8C3" w14:textId="77777777" w:rsidR="003606E4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7214" behindDoc="1" locked="1" layoutInCell="1" allowOverlap="1" wp14:anchorId="16AFBE16" wp14:editId="6F1C040B">
            <wp:simplePos x="0" y="0"/>
            <wp:positionH relativeFrom="page">
              <wp:posOffset>40640</wp:posOffset>
            </wp:positionH>
            <wp:positionV relativeFrom="page">
              <wp:align>top</wp:align>
            </wp:positionV>
            <wp:extent cx="7527290" cy="1064133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4420-BAB-Word Template5.pn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8596" w14:textId="77777777" w:rsidR="005C6160" w:rsidRDefault="005C6160" w:rsidP="003606E4">
      <w:pPr>
        <w:rPr>
          <w:rFonts w:ascii="Arial" w:hAnsi="Arial" w:cs="Arial"/>
          <w:b/>
          <w:bCs/>
        </w:rPr>
        <w:sectPr w:rsidR="005C6160" w:rsidSect="00B45AD9">
          <w:headerReference w:type="default" r:id="rId12"/>
          <w:footerReference w:type="default" r:id="rId13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:rsidRPr="00734230" w14:paraId="00AD934A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7C8A8FAC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6AB6C4EC" w14:textId="77777777" w:rsidR="003606E4" w:rsidRPr="00AB3139" w:rsidRDefault="00735D90" w:rsidP="003606E4">
            <w:pPr>
              <w:rPr>
                <w:rFonts w:ascii="Arial" w:hAnsi="Arial" w:cs="Arial"/>
                <w:b/>
                <w:bCs/>
              </w:rPr>
            </w:pPr>
            <w:r w:rsidRPr="00330425">
              <w:rPr>
                <w:rFonts w:ascii="Arial" w:hAnsi="Arial" w:cs="Arial"/>
                <w:b/>
                <w:bCs/>
              </w:rPr>
              <w:t xml:space="preserve">Home </w:t>
            </w:r>
            <w:r w:rsidR="003C5AC9" w:rsidRPr="00330425">
              <w:rPr>
                <w:rFonts w:ascii="Arial" w:hAnsi="Arial" w:cs="Arial"/>
                <w:b/>
                <w:bCs/>
              </w:rPr>
              <w:t>Lending</w:t>
            </w:r>
            <w:r w:rsidRPr="00330425">
              <w:rPr>
                <w:rFonts w:ascii="Arial" w:hAnsi="Arial" w:cs="Arial"/>
                <w:b/>
                <w:bCs/>
              </w:rPr>
              <w:t xml:space="preserve"> Specialist</w:t>
            </w:r>
          </w:p>
        </w:tc>
      </w:tr>
      <w:tr w:rsidR="003606E4" w:rsidRPr="00734230" w14:paraId="37C24471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1DF83389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55DDC458" w14:textId="77777777" w:rsidR="003606E4" w:rsidRPr="00734230" w:rsidRDefault="00735D90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Banking</w:t>
            </w:r>
          </w:p>
        </w:tc>
      </w:tr>
      <w:tr w:rsidR="003606E4" w:rsidRPr="00734230" w14:paraId="7F9DADA4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32C86464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4CC012CA" w14:textId="77777777" w:rsidR="003606E4" w:rsidRPr="00734230" w:rsidRDefault="00735D90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Banking</w:t>
            </w:r>
          </w:p>
        </w:tc>
      </w:tr>
      <w:tr w:rsidR="003606E4" w:rsidRPr="00734230" w14:paraId="690A6D8C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5F1B59BF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374EE741" w14:textId="77777777" w:rsidR="003606E4" w:rsidRPr="00734230" w:rsidRDefault="003606E4" w:rsidP="003606E4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No</w:t>
            </w:r>
          </w:p>
        </w:tc>
      </w:tr>
    </w:tbl>
    <w:p w14:paraId="501971E5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7B333674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4B9AC387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76BCFF4A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734230" w14:paraId="5F02DB43" w14:textId="77777777" w:rsidTr="00F728B1">
        <w:trPr>
          <w:trHeight w:val="905"/>
        </w:trPr>
        <w:tc>
          <w:tcPr>
            <w:tcW w:w="10456" w:type="dxa"/>
          </w:tcPr>
          <w:p w14:paraId="0B4BDF73" w14:textId="77777777" w:rsidR="005A4C88" w:rsidRPr="005A4C88" w:rsidRDefault="005A4C88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8C7E43D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We have a clear strategy and important work in place to become Australia's bank of choice.</w:t>
            </w:r>
          </w:p>
          <w:p w14:paraId="278BF179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EBB656E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Our values of </w:t>
            </w:r>
            <w:r w:rsidRPr="00734230">
              <w:rPr>
                <w:rFonts w:ascii="Arial" w:hAnsi="Arial" w:cs="Arial"/>
                <w:b/>
                <w:bCs/>
              </w:rPr>
              <w:t>teamwork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integrity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performance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engagement</w:t>
            </w:r>
            <w:r w:rsidRPr="00734230">
              <w:rPr>
                <w:rFonts w:ascii="Arial" w:hAnsi="Arial" w:cs="Arial"/>
              </w:rPr>
              <w:t xml:space="preserve">, </w:t>
            </w:r>
            <w:proofErr w:type="gramStart"/>
            <w:r w:rsidRPr="00734230">
              <w:rPr>
                <w:rFonts w:ascii="Arial" w:hAnsi="Arial" w:cs="Arial"/>
                <w:b/>
                <w:bCs/>
              </w:rPr>
              <w:t>leadership</w:t>
            </w:r>
            <w:proofErr w:type="gramEnd"/>
            <w:r w:rsidRPr="00734230">
              <w:rPr>
                <w:rFonts w:ascii="Arial" w:hAnsi="Arial" w:cs="Arial"/>
              </w:rPr>
              <w:t xml:space="preserve"> and </w:t>
            </w:r>
            <w:r w:rsidRPr="00734230">
              <w:rPr>
                <w:rFonts w:ascii="Arial" w:hAnsi="Arial" w:cs="Arial"/>
                <w:b/>
                <w:bCs/>
              </w:rPr>
              <w:t>passion</w:t>
            </w:r>
            <w:r w:rsidRPr="00734230">
              <w:rPr>
                <w:rFonts w:ascii="Arial" w:hAnsi="Arial" w:cs="Arial"/>
              </w:rPr>
              <w:t xml:space="preserve"> are at the core of who we are and form the expectation of the behaviours we adopt every day.</w:t>
            </w:r>
          </w:p>
          <w:p w14:paraId="362F08D3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57254A7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734230">
              <w:rPr>
                <w:rFonts w:ascii="Arial" w:hAnsi="Arial" w:cs="Arial"/>
                <w:b/>
                <w:bCs/>
              </w:rPr>
              <w:t>act commercially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move fast to help customers achieve their goals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recognise people for their impact</w:t>
            </w:r>
            <w:r w:rsidRPr="00734230">
              <w:rPr>
                <w:rFonts w:ascii="Arial" w:hAnsi="Arial" w:cs="Arial"/>
              </w:rPr>
              <w:t xml:space="preserve">; and </w:t>
            </w:r>
            <w:r w:rsidRPr="00734230">
              <w:rPr>
                <w:rFonts w:ascii="Arial" w:hAnsi="Arial" w:cs="Arial"/>
                <w:b/>
                <w:bCs/>
              </w:rPr>
              <w:t>actively challenge the status quo</w:t>
            </w:r>
            <w:r w:rsidRPr="00734230">
              <w:rPr>
                <w:rFonts w:ascii="Arial" w:hAnsi="Arial" w:cs="Arial"/>
              </w:rPr>
              <w:t>.</w:t>
            </w:r>
          </w:p>
          <w:p w14:paraId="4E2667E1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26BFB14" w14:textId="77777777" w:rsidR="00992E1C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Together, we’re creating a culture we can continue to be proud of; one that will help us reach new heights.</w:t>
            </w:r>
          </w:p>
          <w:p w14:paraId="738C0E05" w14:textId="77777777" w:rsidR="005A4C88" w:rsidRPr="005A4C88" w:rsidRDefault="005A4C88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BA28684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750F1C04" w14:textId="77777777" w:rsidR="005C6160" w:rsidRDefault="005C6160" w:rsidP="005705F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  <w:bookmarkStart w:id="1" w:name="_Hlk35444989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64283FE3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5FB2A9C8" w14:textId="77777777" w:rsidR="003606E4" w:rsidRPr="00734230" w:rsidRDefault="00A32B31" w:rsidP="005705FF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PROFILE</w:t>
            </w:r>
          </w:p>
        </w:tc>
      </w:tr>
      <w:bookmarkEnd w:id="1"/>
    </w:tbl>
    <w:p w14:paraId="7727C652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4BF03658" w14:textId="77777777" w:rsidR="005C6160" w:rsidRDefault="005C6160" w:rsidP="00E5307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113ECF95" w14:textId="77777777" w:rsidTr="00734230">
        <w:trPr>
          <w:trHeight w:val="237"/>
        </w:trPr>
        <w:tc>
          <w:tcPr>
            <w:tcW w:w="10456" w:type="dxa"/>
            <w:shd w:val="clear" w:color="auto" w:fill="50003A"/>
          </w:tcPr>
          <w:p w14:paraId="59619FDD" w14:textId="77777777" w:rsidR="00CC02CB" w:rsidRPr="00734230" w:rsidRDefault="0096421D" w:rsidP="00E5307F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:rsidRPr="00734230" w14:paraId="5B8EAEE8" w14:textId="77777777" w:rsidTr="003606E4">
        <w:trPr>
          <w:trHeight w:val="2835"/>
        </w:trPr>
        <w:tc>
          <w:tcPr>
            <w:tcW w:w="10456" w:type="dxa"/>
          </w:tcPr>
          <w:p w14:paraId="31AE48FE" w14:textId="77777777" w:rsidR="00735D90" w:rsidRPr="000E1960" w:rsidRDefault="00735D90" w:rsidP="00735D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06330527" w14:textId="77777777" w:rsidR="00735D90" w:rsidRDefault="00735D90" w:rsidP="00735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82246F">
              <w:rPr>
                <w:rFonts w:ascii="Arial" w:hAnsi="Arial" w:cs="Arial"/>
              </w:rPr>
              <w:t xml:space="preserve">Local Banking </w:t>
            </w:r>
            <w:r>
              <w:rPr>
                <w:rFonts w:ascii="Arial" w:hAnsi="Arial" w:cs="Arial"/>
              </w:rPr>
              <w:t xml:space="preserve">we </w:t>
            </w:r>
            <w:r w:rsidRPr="0082246F">
              <w:rPr>
                <w:rFonts w:ascii="Arial" w:hAnsi="Arial" w:cs="Arial"/>
              </w:rPr>
              <w:t xml:space="preserve">support our customers to improve their financial wellbeing, and in turn become Australia’s bank of choice. </w:t>
            </w:r>
          </w:p>
          <w:p w14:paraId="6E596A94" w14:textId="77777777" w:rsidR="00735D90" w:rsidRPr="005A4C88" w:rsidRDefault="00735D90" w:rsidP="005A4C88">
            <w:pPr>
              <w:ind w:firstLine="720"/>
              <w:rPr>
                <w:rFonts w:ascii="Arial" w:hAnsi="Arial" w:cs="Arial"/>
                <w:sz w:val="10"/>
                <w:szCs w:val="10"/>
              </w:rPr>
            </w:pPr>
          </w:p>
          <w:p w14:paraId="775A9F8E" w14:textId="77777777" w:rsidR="00735D90" w:rsidRDefault="00735D90" w:rsidP="00735D90">
            <w:pPr>
              <w:rPr>
                <w:rFonts w:ascii="Arial" w:hAnsi="Arial" w:cs="Arial"/>
              </w:rPr>
            </w:pPr>
            <w:r w:rsidRPr="0082246F">
              <w:rPr>
                <w:rFonts w:ascii="Arial" w:hAnsi="Arial" w:cs="Arial"/>
              </w:rPr>
              <w:t xml:space="preserve">We do this through building and maintaining relationships and are there to help customers when they are ready to make their big financial decisions in a way that is convenient for them. </w:t>
            </w:r>
          </w:p>
          <w:p w14:paraId="6AA80B16" w14:textId="77777777" w:rsidR="00735D90" w:rsidRPr="005A4C88" w:rsidRDefault="00735D90" w:rsidP="00735D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BE389D" w14:textId="77777777" w:rsidR="00702AAC" w:rsidRPr="00734230" w:rsidRDefault="00735D90" w:rsidP="00735D90">
            <w:pPr>
              <w:rPr>
                <w:rFonts w:ascii="Arial" w:hAnsi="Arial" w:cs="Arial"/>
              </w:rPr>
            </w:pPr>
            <w:r w:rsidRPr="0082246F">
              <w:rPr>
                <w:rFonts w:ascii="Arial" w:hAnsi="Arial" w:cs="Arial"/>
              </w:rPr>
              <w:t>We have a proven track record of supporting and contributing to our communities to achieve big things</w:t>
            </w:r>
          </w:p>
        </w:tc>
      </w:tr>
    </w:tbl>
    <w:p w14:paraId="0BD8EC40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1BEC114B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66AB797F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4A602D02" w14:textId="77777777" w:rsidR="00CC02CB" w:rsidRPr="00734230" w:rsidRDefault="004F315F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:rsidRPr="00734230" w14:paraId="668CA111" w14:textId="77777777" w:rsidTr="003606E4">
        <w:trPr>
          <w:trHeight w:val="2835"/>
        </w:trPr>
        <w:tc>
          <w:tcPr>
            <w:tcW w:w="10456" w:type="dxa"/>
          </w:tcPr>
          <w:p w14:paraId="5B60D9D2" w14:textId="77777777" w:rsidR="00735D90" w:rsidRPr="000E1960" w:rsidRDefault="00735D90" w:rsidP="00735D90">
            <w:pPr>
              <w:rPr>
                <w:rFonts w:ascii="Arial" w:hAnsi="Arial" w:cs="Arial"/>
                <w:sz w:val="10"/>
                <w:szCs w:val="10"/>
              </w:rPr>
            </w:pPr>
          </w:p>
          <w:p w14:paraId="2D914194" w14:textId="77777777" w:rsidR="00A7412C" w:rsidRDefault="00735D90" w:rsidP="00A741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2A1490">
              <w:rPr>
                <w:rFonts w:ascii="Arial" w:hAnsi="Arial" w:cs="Arial"/>
                <w:sz w:val="22"/>
                <w:szCs w:val="22"/>
              </w:rPr>
              <w:t xml:space="preserve">The Home </w:t>
            </w:r>
            <w:r w:rsidR="002A1490" w:rsidRPr="002A1490">
              <w:rPr>
                <w:rFonts w:ascii="Arial" w:hAnsi="Arial" w:cs="Arial"/>
                <w:sz w:val="22"/>
                <w:szCs w:val="22"/>
              </w:rPr>
              <w:t>Lending</w:t>
            </w:r>
            <w:r w:rsidRPr="002A1490">
              <w:rPr>
                <w:rFonts w:ascii="Arial" w:hAnsi="Arial" w:cs="Arial"/>
                <w:sz w:val="22"/>
                <w:szCs w:val="22"/>
              </w:rPr>
              <w:t xml:space="preserve"> Specialist</w:t>
            </w:r>
            <w:r w:rsidRPr="00A741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12C"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is responsible for establishing long term relationships with home loan </w:t>
            </w:r>
            <w:r w:rsid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and small business lending </w:t>
            </w:r>
            <w:r w:rsidR="00A7412C"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customers and play</w:t>
            </w:r>
            <w:r w:rsid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s </w:t>
            </w:r>
            <w:r w:rsidR="00A7412C"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an important role in the growth and success of the Bank and the communities it operates within.</w:t>
            </w:r>
            <w:r w:rsidR="00A7412C" w:rsidRPr="00A7412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388DA102" w14:textId="77777777" w:rsidR="00A7412C" w:rsidRPr="00A7412C" w:rsidRDefault="00A7412C" w:rsidP="00A7412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2C66A631" w14:textId="77777777" w:rsidR="00A7412C" w:rsidRDefault="00A7412C" w:rsidP="00A7412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To be successful in this role you will nurture a pipeline of lending leads and work with customers through the stages of their buying cycle, from enquiry</w:t>
            </w:r>
            <w:r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, to </w:t>
            </w: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preparing an application</w:t>
            </w:r>
            <w:r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, and following </w:t>
            </w: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through to settlement.  An essential part of the role will require you to provide sound credit decisions for both </w:t>
            </w:r>
            <w:r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our</w:t>
            </w: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 customers and </w:t>
            </w:r>
            <w:r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 xml:space="preserve">for </w:t>
            </w: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the Bank.</w:t>
            </w:r>
            <w:r w:rsidRPr="00A7412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79025ED1" w14:textId="77777777" w:rsidR="00A7412C" w:rsidRPr="00A7412C" w:rsidRDefault="00A7412C" w:rsidP="00A7412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AFC80E4" w14:textId="77777777" w:rsidR="00AF7D4C" w:rsidRPr="00A7412C" w:rsidRDefault="00A7412C" w:rsidP="00AF7D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412C">
              <w:rPr>
                <w:rStyle w:val="normaltextrun"/>
                <w:rFonts w:ascii="Arial" w:hAnsi="Arial" w:cs="Arial"/>
                <w:position w:val="1"/>
                <w:sz w:val="22"/>
                <w:szCs w:val="22"/>
              </w:rPr>
              <w:t>You will also develop strong working relationships within the branch network to deliver great holistic outcomes for customers. </w:t>
            </w:r>
            <w:r w:rsidRPr="00A7412C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  <w:r w:rsidR="00AF7D4C" w:rsidRPr="00A7412C">
              <w:rPr>
                <w:rStyle w:val="eop"/>
                <w:rFonts w:ascii="Bendigo Sans" w:hAnsi="Bendigo Sans" w:cs="Segoe UI"/>
                <w:sz w:val="34"/>
                <w:szCs w:val="34"/>
                <w:lang w:val="en-US"/>
              </w:rPr>
              <w:t>​</w:t>
            </w:r>
          </w:p>
          <w:p w14:paraId="73E9AC87" w14:textId="77777777" w:rsidR="00AF7D4C" w:rsidRPr="00A7412C" w:rsidRDefault="00A7412C" w:rsidP="00AF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C0BE3EA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2F336093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:rsidRPr="00734230" w14:paraId="3FA38D1D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610CB5B3" w14:textId="77777777" w:rsidR="00FC1548" w:rsidRPr="00734230" w:rsidRDefault="00B65F0A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734230" w14:paraId="14A80596" w14:textId="77777777" w:rsidTr="00DE5C28">
        <w:trPr>
          <w:trHeight w:val="1984"/>
        </w:trPr>
        <w:tc>
          <w:tcPr>
            <w:tcW w:w="10456" w:type="dxa"/>
          </w:tcPr>
          <w:p w14:paraId="00695965" w14:textId="77777777" w:rsidR="00B73187" w:rsidRPr="000E1960" w:rsidRDefault="00B73187" w:rsidP="00B7318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4973295" w14:textId="77777777" w:rsidR="00B73187" w:rsidRDefault="00B73187" w:rsidP="00B73187">
            <w:pPr>
              <w:rPr>
                <w:rFonts w:ascii="Arial" w:hAnsi="Arial" w:cs="Arial"/>
              </w:rPr>
            </w:pPr>
            <w:r w:rsidRPr="000E1960">
              <w:rPr>
                <w:rFonts w:ascii="Arial" w:hAnsi="Arial" w:cs="Arial"/>
                <w:b/>
                <w:bCs/>
              </w:rPr>
              <w:t>Reports to:</w:t>
            </w:r>
            <w:r>
              <w:rPr>
                <w:rFonts w:ascii="Arial" w:hAnsi="Arial" w:cs="Arial"/>
              </w:rPr>
              <w:t xml:space="preserve"> </w:t>
            </w:r>
            <w:r w:rsidR="00E94186">
              <w:rPr>
                <w:rFonts w:ascii="Arial" w:hAnsi="Arial" w:cs="Arial"/>
              </w:rPr>
              <w:t>Branch Manager</w:t>
            </w:r>
          </w:p>
          <w:p w14:paraId="177C757E" w14:textId="77777777" w:rsidR="005A4C88" w:rsidRPr="005A4C88" w:rsidRDefault="005A4C88" w:rsidP="00B7318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B43233" w14:textId="77777777" w:rsidR="00B73187" w:rsidRPr="00A7412C" w:rsidRDefault="00B73187" w:rsidP="00B73187">
            <w:pPr>
              <w:rPr>
                <w:rFonts w:ascii="Arial" w:hAnsi="Arial" w:cs="Arial"/>
              </w:rPr>
            </w:pPr>
            <w:r w:rsidRPr="000E1960">
              <w:rPr>
                <w:rFonts w:ascii="Arial" w:hAnsi="Arial" w:cs="Arial"/>
                <w:b/>
                <w:bCs/>
              </w:rPr>
              <w:t>Internal:</w:t>
            </w:r>
            <w:r>
              <w:rPr>
                <w:rFonts w:ascii="Arial" w:hAnsi="Arial" w:cs="Arial"/>
              </w:rPr>
              <w:t xml:space="preserve"> Mobile </w:t>
            </w:r>
            <w:r w:rsidR="00E94186">
              <w:rPr>
                <w:rFonts w:ascii="Arial" w:hAnsi="Arial" w:cs="Arial"/>
              </w:rPr>
              <w:t>Relationship Manager</w:t>
            </w:r>
            <w:r>
              <w:rPr>
                <w:rFonts w:ascii="Arial" w:hAnsi="Arial" w:cs="Arial"/>
              </w:rPr>
              <w:t>; Local Business Managers; Middle Markets Managers; Risk &amp; Compliance Managers; Lending Support &amp; Education Leads</w:t>
            </w:r>
            <w:r w:rsidR="00A7412C">
              <w:rPr>
                <w:rFonts w:ascii="Arial" w:hAnsi="Arial" w:cs="Arial"/>
              </w:rPr>
              <w:t>,</w:t>
            </w:r>
            <w:r w:rsidR="00A7412C">
              <w:t xml:space="preserve"> </w:t>
            </w:r>
            <w:r w:rsidR="00A7412C" w:rsidRPr="002A1490">
              <w:rPr>
                <w:rFonts w:ascii="Arial" w:hAnsi="Arial" w:cs="Arial"/>
              </w:rPr>
              <w:t>Credit</w:t>
            </w:r>
            <w:r w:rsidR="002A1490">
              <w:rPr>
                <w:rFonts w:ascii="Arial" w:hAnsi="Arial" w:cs="Arial"/>
              </w:rPr>
              <w:t xml:space="preserve"> Risk Management</w:t>
            </w:r>
          </w:p>
          <w:p w14:paraId="47F696AF" w14:textId="77777777" w:rsidR="005A4C88" w:rsidRPr="005A4C88" w:rsidRDefault="005A4C88" w:rsidP="00B7318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FF8E57" w14:textId="77777777" w:rsidR="00B73187" w:rsidRDefault="00B73187" w:rsidP="00B73187">
            <w:pPr>
              <w:rPr>
                <w:rFonts w:ascii="Arial" w:hAnsi="Arial" w:cs="Arial"/>
              </w:rPr>
            </w:pPr>
            <w:r w:rsidRPr="000E1960">
              <w:rPr>
                <w:rFonts w:ascii="Arial" w:hAnsi="Arial" w:cs="Arial"/>
                <w:b/>
                <w:bCs/>
              </w:rPr>
              <w:t>External:</w:t>
            </w:r>
            <w:r>
              <w:rPr>
                <w:rFonts w:ascii="Arial" w:hAnsi="Arial" w:cs="Arial"/>
              </w:rPr>
              <w:t xml:space="preserve"> Existing and new or potential customers</w:t>
            </w:r>
          </w:p>
          <w:p w14:paraId="3C04867C" w14:textId="77777777" w:rsidR="00DE5C28" w:rsidRPr="00734230" w:rsidRDefault="00DE5C28" w:rsidP="00196B80">
            <w:pPr>
              <w:rPr>
                <w:rFonts w:ascii="Arial" w:hAnsi="Arial" w:cs="Arial"/>
              </w:rPr>
            </w:pPr>
          </w:p>
        </w:tc>
      </w:tr>
    </w:tbl>
    <w:p w14:paraId="0CEB0A5C" w14:textId="77777777" w:rsidR="00A32B31" w:rsidRPr="00734230" w:rsidRDefault="00A32B31" w:rsidP="00E5307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:rsidRPr="00734230" w14:paraId="056AB4FA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2FF92E1C" w14:textId="77777777" w:rsidR="00A32B31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sz w:val="10"/>
                <w:szCs w:val="10"/>
              </w:rPr>
              <w:lastRenderedPageBreak/>
              <w:br w:type="page"/>
            </w:r>
          </w:p>
        </w:tc>
      </w:tr>
    </w:tbl>
    <w:p w14:paraId="69AD9543" w14:textId="77777777" w:rsidR="00A32B31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1" layoutInCell="1" allowOverlap="1" wp14:anchorId="20D417BA" wp14:editId="039F0C9F">
            <wp:simplePos x="0" y="0"/>
            <wp:positionH relativeFrom="page">
              <wp:posOffset>306705</wp:posOffset>
            </wp:positionH>
            <wp:positionV relativeFrom="page">
              <wp:posOffset>810260</wp:posOffset>
            </wp:positionV>
            <wp:extent cx="7548880" cy="1066673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41F41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92E1C" w:rsidRPr="00734230" w14:paraId="091985F2" w14:textId="77777777" w:rsidTr="00734230">
        <w:tc>
          <w:tcPr>
            <w:tcW w:w="10485" w:type="dxa"/>
            <w:gridSpan w:val="2"/>
            <w:shd w:val="clear" w:color="auto" w:fill="50003A"/>
          </w:tcPr>
          <w:p w14:paraId="276FDA61" w14:textId="77777777" w:rsidR="00992E1C" w:rsidRPr="00734230" w:rsidRDefault="00992E1C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992E1C" w:rsidRPr="00734230" w14:paraId="50D2C194" w14:textId="77777777" w:rsidTr="00A32B31">
        <w:trPr>
          <w:trHeight w:val="1531"/>
        </w:trPr>
        <w:tc>
          <w:tcPr>
            <w:tcW w:w="2689" w:type="dxa"/>
          </w:tcPr>
          <w:p w14:paraId="33344C10" w14:textId="77777777" w:rsidR="00992E1C" w:rsidRPr="00734230" w:rsidRDefault="00FC118F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</w:t>
            </w:r>
          </w:p>
        </w:tc>
        <w:tc>
          <w:tcPr>
            <w:tcW w:w="7796" w:type="dxa"/>
          </w:tcPr>
          <w:p w14:paraId="7856CFA9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strong and established connections through potential and existing customers through customer engagement activities</w:t>
            </w:r>
          </w:p>
          <w:p w14:paraId="35697C08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Enact on</w:t>
            </w:r>
            <w:r w:rsidR="007F03B6">
              <w:rPr>
                <w:rFonts w:ascii="Arial" w:hAnsi="Arial" w:cs="Arial"/>
              </w:rPr>
              <w:t xml:space="preserve"> home lending and small business lending</w:t>
            </w:r>
            <w:r>
              <w:rPr>
                <w:rFonts w:ascii="Arial" w:hAnsi="Arial" w:cs="Arial"/>
              </w:rPr>
              <w:t xml:space="preserve"> opportunities generated through branch, online and marketing activity in a timely manner to drive applications</w:t>
            </w:r>
          </w:p>
          <w:p w14:paraId="2AC81FA4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 w:rsidRPr="00602633">
              <w:rPr>
                <w:rFonts w:ascii="Arial" w:hAnsi="Arial" w:cs="Arial"/>
              </w:rPr>
              <w:t xml:space="preserve">Identify customers’ needs and help them </w:t>
            </w:r>
            <w:r>
              <w:rPr>
                <w:rFonts w:ascii="Arial" w:hAnsi="Arial" w:cs="Arial"/>
              </w:rPr>
              <w:t>achieve</w:t>
            </w:r>
            <w:r w:rsidRPr="00602633">
              <w:rPr>
                <w:rFonts w:ascii="Arial" w:hAnsi="Arial" w:cs="Arial"/>
              </w:rPr>
              <w:t xml:space="preserve"> their goals by offering banking solutions relevant to their lifestyle</w:t>
            </w:r>
          </w:p>
          <w:p w14:paraId="5A729D29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loan interviews with customers both digitally and face to face in branch</w:t>
            </w:r>
          </w:p>
          <w:p w14:paraId="7A040BC7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credit decisions provide a responsible outcome for both customer and </w:t>
            </w:r>
            <w:r w:rsidR="005A4C88">
              <w:rPr>
                <w:rFonts w:ascii="Arial" w:hAnsi="Arial" w:cs="Arial"/>
              </w:rPr>
              <w:t xml:space="preserve">the </w:t>
            </w:r>
            <w:r w:rsidR="005A4C88" w:rsidRPr="00E749C0">
              <w:rPr>
                <w:rFonts w:ascii="Arial" w:hAnsi="Arial" w:cs="Arial"/>
              </w:rPr>
              <w:t>Bank</w:t>
            </w:r>
          </w:p>
          <w:p w14:paraId="0844C1FD" w14:textId="77777777" w:rsidR="00FC118F" w:rsidRPr="005A4C88" w:rsidRDefault="00FC118F" w:rsidP="00FC118F">
            <w:pPr>
              <w:pStyle w:val="ListParagraph"/>
              <w:spacing w:line="276" w:lineRule="auto"/>
              <w:ind w:left="59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E1C" w:rsidRPr="00734230" w14:paraId="290EBABE" w14:textId="77777777" w:rsidTr="00A32B31">
        <w:trPr>
          <w:trHeight w:val="1531"/>
        </w:trPr>
        <w:tc>
          <w:tcPr>
            <w:tcW w:w="2689" w:type="dxa"/>
          </w:tcPr>
          <w:p w14:paraId="40592D39" w14:textId="77777777" w:rsidR="00992E1C" w:rsidRPr="00734230" w:rsidRDefault="00FC118F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</w:t>
            </w:r>
          </w:p>
        </w:tc>
        <w:tc>
          <w:tcPr>
            <w:tcW w:w="7796" w:type="dxa"/>
          </w:tcPr>
          <w:p w14:paraId="3828B11C" w14:textId="77777777" w:rsidR="005A4C88" w:rsidRDefault="00FC118F" w:rsidP="005A4C8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5A4C88">
              <w:rPr>
                <w:rFonts w:ascii="Arial" w:hAnsi="Arial" w:cs="Arial"/>
              </w:rPr>
              <w:t>Communicate and champion the Bank’s point of difference to key stakeholders</w:t>
            </w:r>
          </w:p>
          <w:p w14:paraId="0C1F4B01" w14:textId="77777777" w:rsidR="005A4C88" w:rsidRDefault="00FC118F" w:rsidP="005A4C8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5A4C88">
              <w:rPr>
                <w:rFonts w:ascii="Arial" w:hAnsi="Arial" w:cs="Arial"/>
              </w:rPr>
              <w:t>Establish and nurture strategies to connect with, and contribute to, the local community</w:t>
            </w:r>
          </w:p>
          <w:p w14:paraId="278D11F3" w14:textId="77777777" w:rsidR="00EE04F0" w:rsidRPr="005A4C88" w:rsidRDefault="00FC118F" w:rsidP="005A4C8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5A4C88">
              <w:rPr>
                <w:rFonts w:ascii="Arial" w:hAnsi="Arial" w:cs="Arial"/>
              </w:rPr>
              <w:t xml:space="preserve">Actively promote the Banks products and services in the </w:t>
            </w:r>
            <w:proofErr w:type="gramStart"/>
            <w:r w:rsidRPr="005A4C88">
              <w:rPr>
                <w:rFonts w:ascii="Arial" w:hAnsi="Arial" w:cs="Arial"/>
              </w:rPr>
              <w:t>market place</w:t>
            </w:r>
            <w:proofErr w:type="gramEnd"/>
            <w:r w:rsidRPr="005A4C88">
              <w:rPr>
                <w:rFonts w:ascii="Arial" w:hAnsi="Arial" w:cs="Arial"/>
              </w:rPr>
              <w:t xml:space="preserve"> and have an involvement in the local community</w:t>
            </w:r>
          </w:p>
          <w:p w14:paraId="69F64DAC" w14:textId="77777777" w:rsidR="007F763E" w:rsidRPr="005A4C88" w:rsidRDefault="007F763E" w:rsidP="007F763E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E1C" w:rsidRPr="00734230" w14:paraId="21A60A06" w14:textId="77777777" w:rsidTr="00A32B31">
        <w:trPr>
          <w:trHeight w:val="1531"/>
        </w:trPr>
        <w:tc>
          <w:tcPr>
            <w:tcW w:w="2689" w:type="dxa"/>
          </w:tcPr>
          <w:p w14:paraId="351EDD25" w14:textId="77777777" w:rsidR="00992E1C" w:rsidRPr="00734230" w:rsidRDefault="00FC118F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Management</w:t>
            </w:r>
          </w:p>
        </w:tc>
        <w:tc>
          <w:tcPr>
            <w:tcW w:w="7796" w:type="dxa"/>
          </w:tcPr>
          <w:p w14:paraId="7C16B146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and maintain strong working relationships with key internal stakeholders to ensure quality outcomes for the customer and the Bank</w:t>
            </w:r>
          </w:p>
          <w:p w14:paraId="0D9BCCA9" w14:textId="77777777" w:rsidR="00FC118F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branch network to provide and receive ongoing feedback to continuously improve the quality of referrals</w:t>
            </w:r>
          </w:p>
          <w:p w14:paraId="2D07172F" w14:textId="77777777" w:rsidR="00992E1C" w:rsidRDefault="00FC118F" w:rsidP="00FC118F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with specialists and support areas to assist your customer throughout their lending journey</w:t>
            </w:r>
          </w:p>
          <w:p w14:paraId="04112ADD" w14:textId="77777777" w:rsidR="00FC118F" w:rsidRPr="003F20D7" w:rsidRDefault="00FC118F" w:rsidP="00FC118F">
            <w:pPr>
              <w:pStyle w:val="ListParagraph"/>
              <w:spacing w:line="276" w:lineRule="auto"/>
              <w:ind w:left="59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E1C" w:rsidRPr="00734230" w14:paraId="1684C489" w14:textId="77777777" w:rsidTr="00A7412C">
        <w:trPr>
          <w:trHeight w:val="1627"/>
        </w:trPr>
        <w:tc>
          <w:tcPr>
            <w:tcW w:w="2689" w:type="dxa"/>
          </w:tcPr>
          <w:p w14:paraId="79DB4252" w14:textId="77777777" w:rsidR="00992E1C" w:rsidRPr="00734230" w:rsidRDefault="00FC118F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</w:t>
            </w:r>
          </w:p>
        </w:tc>
        <w:tc>
          <w:tcPr>
            <w:tcW w:w="7796" w:type="dxa"/>
          </w:tcPr>
          <w:p w14:paraId="6B8C4231" w14:textId="77777777" w:rsidR="005A4C88" w:rsidRDefault="00FC118F" w:rsidP="005A4C8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financial targets set by your leader</w:t>
            </w:r>
          </w:p>
          <w:p w14:paraId="7ED43C1F" w14:textId="77777777" w:rsidR="007F763E" w:rsidRDefault="007F763E" w:rsidP="005A4C8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5A4C88">
              <w:rPr>
                <w:rFonts w:ascii="Arial" w:hAnsi="Arial" w:cs="Arial"/>
              </w:rPr>
              <w:t xml:space="preserve">Contribute effectively to the </w:t>
            </w:r>
            <w:r w:rsidR="000A687B">
              <w:rPr>
                <w:rFonts w:ascii="Arial" w:hAnsi="Arial" w:cs="Arial"/>
              </w:rPr>
              <w:t>Banks</w:t>
            </w:r>
            <w:r w:rsidRPr="005A4C88">
              <w:rPr>
                <w:rFonts w:ascii="Arial" w:hAnsi="Arial" w:cs="Arial"/>
              </w:rPr>
              <w:t xml:space="preserve"> financial growth by acting commercially</w:t>
            </w:r>
          </w:p>
          <w:p w14:paraId="2F1367E0" w14:textId="77777777" w:rsidR="006034C5" w:rsidRPr="005A4C88" w:rsidRDefault="00E749C0" w:rsidP="005A4C88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opportunities where the customer may benefit from other products within the Bank’s offerings and refer to appropriate </w:t>
            </w:r>
            <w:r w:rsidR="00893A6E">
              <w:rPr>
                <w:rFonts w:ascii="Arial" w:hAnsi="Arial" w:cs="Arial"/>
              </w:rPr>
              <w:t>specialist</w:t>
            </w:r>
            <w:r w:rsidR="006034C5">
              <w:rPr>
                <w:rFonts w:ascii="Arial" w:hAnsi="Arial" w:cs="Arial"/>
              </w:rPr>
              <w:t xml:space="preserve"> </w:t>
            </w:r>
          </w:p>
        </w:tc>
      </w:tr>
      <w:tr w:rsidR="007F763E" w:rsidRPr="00734230" w14:paraId="7796CF5D" w14:textId="77777777" w:rsidTr="00A32B31">
        <w:trPr>
          <w:trHeight w:val="1531"/>
        </w:trPr>
        <w:tc>
          <w:tcPr>
            <w:tcW w:w="2689" w:type="dxa"/>
          </w:tcPr>
          <w:p w14:paraId="7E746C2B" w14:textId="77777777" w:rsidR="007F763E" w:rsidRDefault="007F763E" w:rsidP="00F72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Risk</w:t>
            </w:r>
          </w:p>
        </w:tc>
        <w:tc>
          <w:tcPr>
            <w:tcW w:w="7796" w:type="dxa"/>
          </w:tcPr>
          <w:p w14:paraId="5366BADC" w14:textId="77777777" w:rsidR="007F763E" w:rsidRDefault="007F763E" w:rsidP="000A68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lending is approved within your delegated authority</w:t>
            </w:r>
          </w:p>
          <w:p w14:paraId="271B72E6" w14:textId="77777777" w:rsidR="000A687B" w:rsidRPr="00E749C0" w:rsidRDefault="000A687B" w:rsidP="000A68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E749C0">
              <w:rPr>
                <w:rFonts w:ascii="Arial" w:hAnsi="Arial" w:cs="Arial"/>
              </w:rPr>
              <w:t xml:space="preserve">Maintain knowledge and application of policy, procedure and compliance, and an understanding of legislative requirements </w:t>
            </w:r>
          </w:p>
          <w:p w14:paraId="6313A763" w14:textId="77777777" w:rsidR="000A687B" w:rsidRPr="00E749C0" w:rsidRDefault="000A687B" w:rsidP="000A687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97" w:hanging="425"/>
              <w:rPr>
                <w:rFonts w:ascii="Arial" w:hAnsi="Arial" w:cs="Arial"/>
              </w:rPr>
            </w:pPr>
            <w:r w:rsidRPr="00E749C0">
              <w:rPr>
                <w:rFonts w:ascii="Arial" w:hAnsi="Arial" w:cs="Arial"/>
              </w:rPr>
              <w:t>Deliver on internal and external credit standards required in a highly regulated industry</w:t>
            </w:r>
          </w:p>
          <w:p w14:paraId="040965E6" w14:textId="77777777" w:rsidR="000A687B" w:rsidRPr="000A687B" w:rsidRDefault="000A687B" w:rsidP="000A687B">
            <w:pPr>
              <w:spacing w:line="276" w:lineRule="auto"/>
              <w:ind w:left="172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F9E266E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21354FB6" w14:textId="77777777" w:rsidR="005C6160" w:rsidRDefault="005C6160" w:rsidP="00FD2046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2696"/>
        <w:gridCol w:w="7818"/>
      </w:tblGrid>
      <w:tr w:rsidR="00FD2046" w:rsidRPr="00734230" w14:paraId="482045A1" w14:textId="77777777" w:rsidTr="00A7412C">
        <w:trPr>
          <w:trHeight w:val="194"/>
        </w:trPr>
        <w:tc>
          <w:tcPr>
            <w:tcW w:w="10514" w:type="dxa"/>
            <w:gridSpan w:val="2"/>
            <w:shd w:val="clear" w:color="auto" w:fill="50003A"/>
          </w:tcPr>
          <w:p w14:paraId="153FB570" w14:textId="77777777" w:rsidR="00FD2046" w:rsidRPr="00734230" w:rsidRDefault="00BA411D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k</w:t>
            </w:r>
            <w:r w:rsidR="00483295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nowledge, </w:t>
            </w:r>
            <w:proofErr w:type="gramStart"/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skills</w:t>
            </w:r>
            <w:proofErr w:type="gramEnd"/>
            <w:r w:rsidR="004F315F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734230" w14:paraId="3BF2DC34" w14:textId="77777777" w:rsidTr="00A7412C">
        <w:trPr>
          <w:trHeight w:val="1260"/>
        </w:trPr>
        <w:tc>
          <w:tcPr>
            <w:tcW w:w="2696" w:type="dxa"/>
          </w:tcPr>
          <w:p w14:paraId="191C1752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7818" w:type="dxa"/>
          </w:tcPr>
          <w:p w14:paraId="65B7527E" w14:textId="77777777" w:rsidR="007F763E" w:rsidRPr="00602633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  <w:r w:rsidRPr="00602633">
              <w:rPr>
                <w:rFonts w:ascii="Arial" w:hAnsi="Arial" w:cs="Arial"/>
              </w:rPr>
              <w:t xml:space="preserve"> level understanding of lending products, policies</w:t>
            </w:r>
            <w:r>
              <w:rPr>
                <w:rFonts w:ascii="Arial" w:hAnsi="Arial" w:cs="Arial"/>
              </w:rPr>
              <w:t>,</w:t>
            </w:r>
            <w:r w:rsidRPr="00602633">
              <w:rPr>
                <w:rFonts w:ascii="Arial" w:hAnsi="Arial" w:cs="Arial"/>
              </w:rPr>
              <w:t xml:space="preserve"> and regulations </w:t>
            </w:r>
          </w:p>
          <w:p w14:paraId="44E4A455" w14:textId="77777777" w:rsidR="007F763E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 w:rsidRPr="00602633">
              <w:rPr>
                <w:rFonts w:ascii="Arial" w:hAnsi="Arial" w:cs="Arial"/>
              </w:rPr>
              <w:t xml:space="preserve">Extensive customer service </w:t>
            </w:r>
            <w:r>
              <w:rPr>
                <w:rFonts w:ascii="Arial" w:hAnsi="Arial" w:cs="Arial"/>
              </w:rPr>
              <w:t xml:space="preserve">and/or sales </w:t>
            </w:r>
            <w:r w:rsidRPr="00602633">
              <w:rPr>
                <w:rFonts w:ascii="Arial" w:hAnsi="Arial" w:cs="Arial"/>
              </w:rPr>
              <w:t>experience</w:t>
            </w:r>
          </w:p>
          <w:p w14:paraId="128134B0" w14:textId="77777777" w:rsidR="007F763E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have a holistic, needs based conversations</w:t>
            </w:r>
          </w:p>
          <w:p w14:paraId="01CEF552" w14:textId="77777777" w:rsidR="00A32B31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 w:rsidRPr="00474DDB">
              <w:rPr>
                <w:rFonts w:ascii="Arial" w:hAnsi="Arial" w:cs="Arial"/>
              </w:rPr>
              <w:t>Strong interpersonal skills and ability to build trusted relationships</w:t>
            </w:r>
          </w:p>
          <w:p w14:paraId="7BA5F2CC" w14:textId="77777777" w:rsidR="000A687B" w:rsidRDefault="000A687B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 w:rsidRPr="00E749C0">
              <w:rPr>
                <w:rFonts w:ascii="Arial" w:hAnsi="Arial" w:cs="Arial"/>
              </w:rPr>
              <w:t>Highly developed credit analysis skills</w:t>
            </w:r>
          </w:p>
          <w:p w14:paraId="28607C2A" w14:textId="77777777" w:rsidR="00651C7E" w:rsidRDefault="00651C7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understanding of small business offerings </w:t>
            </w:r>
          </w:p>
          <w:p w14:paraId="18883200" w14:textId="77777777" w:rsidR="00A7412C" w:rsidRPr="00A7412C" w:rsidRDefault="00A7412C" w:rsidP="00A7412C">
            <w:pPr>
              <w:pStyle w:val="ListParagraph"/>
              <w:ind w:left="59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2046" w:rsidRPr="00734230" w14:paraId="6BFA3C8B" w14:textId="77777777" w:rsidTr="00A7412C">
        <w:trPr>
          <w:trHeight w:val="1101"/>
        </w:trPr>
        <w:tc>
          <w:tcPr>
            <w:tcW w:w="2696" w:type="dxa"/>
          </w:tcPr>
          <w:p w14:paraId="6EF68530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Relevant experience</w:t>
            </w:r>
          </w:p>
        </w:tc>
        <w:tc>
          <w:tcPr>
            <w:tcW w:w="7818" w:type="dxa"/>
          </w:tcPr>
          <w:p w14:paraId="02607B87" w14:textId="77777777" w:rsidR="000F71C4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 w:rsidRPr="00602633">
              <w:rPr>
                <w:rFonts w:ascii="Arial" w:hAnsi="Arial" w:cs="Arial"/>
              </w:rPr>
              <w:t xml:space="preserve">Lending experience </w:t>
            </w:r>
            <w:r w:rsidR="000F71C4">
              <w:rPr>
                <w:rFonts w:ascii="Arial" w:hAnsi="Arial" w:cs="Arial"/>
              </w:rPr>
              <w:t>essential</w:t>
            </w:r>
          </w:p>
          <w:p w14:paraId="4A6F8B89" w14:textId="77777777" w:rsidR="007F763E" w:rsidRDefault="000F71C4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93A6E">
              <w:rPr>
                <w:rFonts w:ascii="Arial" w:hAnsi="Arial" w:cs="Arial"/>
              </w:rPr>
              <w:t xml:space="preserve">mall business </w:t>
            </w:r>
            <w:r>
              <w:rPr>
                <w:rFonts w:ascii="Arial" w:hAnsi="Arial" w:cs="Arial"/>
              </w:rPr>
              <w:t xml:space="preserve">lending experience desirable </w:t>
            </w:r>
          </w:p>
          <w:p w14:paraId="3448E808" w14:textId="77777777" w:rsidR="00CC02CB" w:rsidRPr="00734230" w:rsidRDefault="007F763E" w:rsidP="007F763E">
            <w:pPr>
              <w:pStyle w:val="ListParagraph"/>
              <w:numPr>
                <w:ilvl w:val="0"/>
                <w:numId w:val="10"/>
              </w:numPr>
              <w:ind w:left="598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sales experience</w:t>
            </w:r>
          </w:p>
        </w:tc>
      </w:tr>
    </w:tbl>
    <w:p w14:paraId="79F17ED4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409B7F3B" w14:textId="77777777" w:rsidR="005C6160" w:rsidRDefault="005C6160" w:rsidP="00F84334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p w14:paraId="286CC9C9" w14:textId="77777777" w:rsidR="00A7412C" w:rsidRDefault="00A7412C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734230" w14:paraId="5BB6FD24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7085E534" w14:textId="77777777" w:rsidR="00F84334" w:rsidRPr="00734230" w:rsidRDefault="004F315F" w:rsidP="00F8433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Your q</w:t>
            </w:r>
            <w:r w:rsidR="00F84334" w:rsidRPr="00734230">
              <w:rPr>
                <w:rFonts w:ascii="Arial" w:hAnsi="Arial" w:cs="Arial"/>
                <w:b/>
                <w:bCs/>
                <w:color w:val="FFFFFF" w:themeColor="background1"/>
              </w:rPr>
              <w:t>ualifications</w:t>
            </w:r>
            <w:r w:rsidR="00B4725D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734230" w14:paraId="0662DE10" w14:textId="77777777" w:rsidTr="00FE326C">
        <w:trPr>
          <w:trHeight w:val="905"/>
        </w:trPr>
        <w:tc>
          <w:tcPr>
            <w:tcW w:w="10456" w:type="dxa"/>
          </w:tcPr>
          <w:p w14:paraId="161A34A8" w14:textId="77777777" w:rsidR="00AD4836" w:rsidRPr="00734230" w:rsidRDefault="007F763E" w:rsidP="00F84334">
            <w:pPr>
              <w:spacing w:line="259" w:lineRule="auto"/>
              <w:rPr>
                <w:rFonts w:ascii="Arial" w:hAnsi="Arial" w:cs="Arial"/>
              </w:rPr>
            </w:pPr>
            <w:r w:rsidRPr="007F763E">
              <w:rPr>
                <w:rFonts w:ascii="Arial" w:hAnsi="Arial" w:cs="Arial"/>
              </w:rPr>
              <w:t xml:space="preserve">FSRA Accreditation T2 – Deposit Taking &amp; </w:t>
            </w:r>
            <w:proofErr w:type="gramStart"/>
            <w:r w:rsidRPr="007F763E">
              <w:rPr>
                <w:rFonts w:ascii="Arial" w:hAnsi="Arial" w:cs="Arial"/>
              </w:rPr>
              <w:t>Non Cash</w:t>
            </w:r>
            <w:proofErr w:type="gramEnd"/>
            <w:r w:rsidRPr="007F763E">
              <w:rPr>
                <w:rFonts w:ascii="Arial" w:hAnsi="Arial" w:cs="Arial"/>
              </w:rPr>
              <w:t xml:space="preserve"> Payment Facilities &amp; General Insurance Residential Lending DLA</w:t>
            </w:r>
          </w:p>
        </w:tc>
      </w:tr>
    </w:tbl>
    <w:p w14:paraId="19EDB4CD" w14:textId="77777777" w:rsidR="00E85291" w:rsidRPr="00734230" w:rsidRDefault="00E85291" w:rsidP="00FC1548">
      <w:pPr>
        <w:spacing w:after="0"/>
        <w:rPr>
          <w:rFonts w:ascii="Arial" w:hAnsi="Arial" w:cs="Arial"/>
          <w:sz w:val="10"/>
          <w:szCs w:val="10"/>
        </w:rPr>
      </w:pPr>
    </w:p>
    <w:p w14:paraId="4F3DDDA9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6985EBA8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136D7749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Risk responsibility</w:t>
            </w:r>
          </w:p>
        </w:tc>
      </w:tr>
      <w:tr w:rsidR="00992E1C" w:rsidRPr="00734230" w14:paraId="2D4FCD9D" w14:textId="77777777" w:rsidTr="00F728B1">
        <w:trPr>
          <w:trHeight w:val="905"/>
        </w:trPr>
        <w:tc>
          <w:tcPr>
            <w:tcW w:w="10456" w:type="dxa"/>
          </w:tcPr>
          <w:p w14:paraId="51AE7874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Ensure all work practices are conducted in accordance with all Bank compliance requirements, as specified in Bank policy, corporate and business unit procedures and identify and report instances of non-compliance to appropriately.</w:t>
            </w:r>
          </w:p>
        </w:tc>
      </w:tr>
    </w:tbl>
    <w:p w14:paraId="698FC0D9" w14:textId="77777777" w:rsidR="00992E1C" w:rsidRPr="00734230" w:rsidRDefault="00992E1C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4AE6233E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:rsidRPr="00734230" w14:paraId="0E42D941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79E2D644" w14:textId="77777777" w:rsidR="00992E1C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CAPABILITY PROFILE</w:t>
            </w:r>
          </w:p>
        </w:tc>
      </w:tr>
    </w:tbl>
    <w:p w14:paraId="3595517B" w14:textId="77777777" w:rsidR="00992E1C" w:rsidRPr="00734230" w:rsidRDefault="003038F5" w:rsidP="00FC1548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6189" behindDoc="1" locked="1" layoutInCell="1" allowOverlap="1" wp14:anchorId="07B3DF45" wp14:editId="1A8913B0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39E5F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:rsidRPr="00734230" w14:paraId="4F1E30DF" w14:textId="77777777" w:rsidTr="00734230">
        <w:tc>
          <w:tcPr>
            <w:tcW w:w="10485" w:type="dxa"/>
            <w:gridSpan w:val="2"/>
            <w:shd w:val="clear" w:color="auto" w:fill="50003A"/>
          </w:tcPr>
          <w:p w14:paraId="54BF6F50" w14:textId="77777777" w:rsidR="00825E92" w:rsidRPr="00734230" w:rsidRDefault="00825E92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7F763E" w:rsidRPr="00734230" w14:paraId="029EA7F9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5445A890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Relationships</w:t>
            </w:r>
          </w:p>
        </w:tc>
        <w:tc>
          <w:tcPr>
            <w:tcW w:w="5243" w:type="dxa"/>
            <w:vAlign w:val="center"/>
          </w:tcPr>
          <w:p w14:paraId="0F607614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Commerciality</w:t>
            </w:r>
          </w:p>
        </w:tc>
      </w:tr>
      <w:tr w:rsidR="007F763E" w:rsidRPr="00734230" w14:paraId="775DB52B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1B9EB29B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Execution</w:t>
            </w:r>
          </w:p>
        </w:tc>
        <w:tc>
          <w:tcPr>
            <w:tcW w:w="5243" w:type="dxa"/>
            <w:vAlign w:val="center"/>
          </w:tcPr>
          <w:p w14:paraId="3236B22A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 Focus</w:t>
            </w:r>
          </w:p>
        </w:tc>
      </w:tr>
    </w:tbl>
    <w:p w14:paraId="60FC3080" w14:textId="77777777" w:rsidR="00825E92" w:rsidRPr="00734230" w:rsidRDefault="00825E92" w:rsidP="00FC1548">
      <w:pPr>
        <w:spacing w:after="0"/>
        <w:rPr>
          <w:rFonts w:ascii="Arial" w:hAnsi="Arial" w:cs="Arial"/>
          <w:sz w:val="10"/>
          <w:szCs w:val="10"/>
        </w:rPr>
      </w:pPr>
    </w:p>
    <w:p w14:paraId="45DD7E55" w14:textId="77777777" w:rsidR="005C6160" w:rsidRDefault="005C6160" w:rsidP="00295CB2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  <w:bookmarkStart w:id="2" w:name="_Hlk3111106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734230" w14:paraId="247A5B70" w14:textId="77777777" w:rsidTr="005C6160">
        <w:trPr>
          <w:trHeight w:val="272"/>
        </w:trPr>
        <w:tc>
          <w:tcPr>
            <w:tcW w:w="10485" w:type="dxa"/>
            <w:gridSpan w:val="4"/>
            <w:shd w:val="clear" w:color="auto" w:fill="50003A"/>
          </w:tcPr>
          <w:p w14:paraId="5D4468EE" w14:textId="77777777" w:rsidR="00F6766A" w:rsidRPr="00734230" w:rsidRDefault="00A32B31" w:rsidP="00295C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People</w:t>
            </w:r>
            <w:r w:rsidR="00992E1C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capabili</w:t>
            </w: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734230" w14:paraId="7CA3EF63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5129D86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Relationships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631DC3F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Results Focus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1DB2A10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Self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3FE98519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Role Expertise</w:t>
            </w:r>
          </w:p>
        </w:tc>
      </w:tr>
      <w:tr w:rsidR="00F6766A" w:rsidRPr="00734230" w14:paraId="33C238DD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823AAF7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B62A543" w14:textId="77777777" w:rsidR="00F6766A" w:rsidRPr="00734230" w:rsidRDefault="00F6766A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 w:rsidRPr="0073423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4230">
              <w:rPr>
                <w:rFonts w:ascii="Arial" w:hAnsi="Arial" w:cs="Arial"/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226AEBE2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7AE81032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Maintains role-specific standards and applies knowledge,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experience on-the-job.</w:t>
            </w:r>
          </w:p>
        </w:tc>
      </w:tr>
      <w:tr w:rsidR="007F763E" w:rsidRPr="00734230" w14:paraId="710A87E0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3D0C42F0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1A70C410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731E493D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31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6BECA889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31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</w:tr>
      <w:tr w:rsidR="005F14E1" w:rsidRPr="00734230" w14:paraId="58E50833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C0BA32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Communication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257FA022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Execution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2C2F0754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Others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2338E63A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Customer Focus</w:t>
            </w:r>
          </w:p>
        </w:tc>
      </w:tr>
      <w:tr w:rsidR="005F14E1" w:rsidRPr="00734230" w14:paraId="6E08D893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5787127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Effectively expresses thoughts,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ideas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information. Actively listens and adapts communication style. Engages,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influences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connects to our purpose to tell our story.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899E332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Makes well-considered decisions,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plans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22ADE2F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Develops others by sharing feedback,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celebrating outcomes. Connects with others to guide,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empower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inspire.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03E7C8A3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Identifies customer goals, makes relevant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recommendations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takes appropriate timely action. Collaborates across the business to deliver best outcomes for the customer.</w:t>
            </w:r>
          </w:p>
        </w:tc>
      </w:tr>
      <w:tr w:rsidR="007F763E" w:rsidRPr="00734230" w14:paraId="0375C571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6469648E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3A437DD1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A3E99C9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F31A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5E9E8C35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Intermediate</w:t>
            </w:r>
          </w:p>
        </w:tc>
      </w:tr>
      <w:tr w:rsidR="005F14E1" w:rsidRPr="00734230" w14:paraId="2C153656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58244103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Partnering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1DEFC71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Innovation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6287213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Future Ready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751119B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Commerciality</w:t>
            </w:r>
          </w:p>
        </w:tc>
      </w:tr>
      <w:tr w:rsidR="005F14E1" w:rsidRPr="00734230" w14:paraId="37E0562F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4D25097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Acts with intent to build sustainable partnerships with customers,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36A986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B65A8AB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Exchanges and respectfully challenges perspectives and approaches. Anticipates,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embraces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promotes change to achieve our vision for today and tomorrow.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46048E9F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 xml:space="preserve">Applies understanding of finance, risk, </w:t>
            </w:r>
            <w:proofErr w:type="gramStart"/>
            <w:r w:rsidRPr="00734230">
              <w:rPr>
                <w:rFonts w:ascii="Arial" w:hAnsi="Arial" w:cs="Arial"/>
                <w:sz w:val="20"/>
                <w:szCs w:val="20"/>
              </w:rPr>
              <w:t>people</w:t>
            </w:r>
            <w:proofErr w:type="gramEnd"/>
            <w:r w:rsidRPr="00734230">
              <w:rPr>
                <w:rFonts w:ascii="Arial" w:hAnsi="Arial" w:cs="Arial"/>
                <w:sz w:val="20"/>
                <w:szCs w:val="20"/>
              </w:rPr>
              <w:t xml:space="preserve"> and customer for decision-making to deliver business sustainability. Takes appropriate risks and acts in the best interest of the Bank.</w:t>
            </w:r>
          </w:p>
        </w:tc>
      </w:tr>
      <w:tr w:rsidR="007F763E" w:rsidRPr="00734230" w14:paraId="795C735E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34571C8C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1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0CEEE7AD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1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1" w:type="dxa"/>
            <w:shd w:val="clear" w:color="auto" w:fill="595959" w:themeFill="text1" w:themeFillTint="A6"/>
          </w:tcPr>
          <w:p w14:paraId="443A8FE5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1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  <w:tc>
          <w:tcPr>
            <w:tcW w:w="2622" w:type="dxa"/>
            <w:shd w:val="clear" w:color="auto" w:fill="595959" w:themeFill="text1" w:themeFillTint="A6"/>
          </w:tcPr>
          <w:p w14:paraId="15AF18F0" w14:textId="77777777" w:rsidR="007F763E" w:rsidRPr="00734230" w:rsidRDefault="007F763E" w:rsidP="007F76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619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Foundational</w:t>
            </w:r>
          </w:p>
        </w:tc>
      </w:tr>
      <w:bookmarkEnd w:id="2"/>
    </w:tbl>
    <w:p w14:paraId="6AC2E896" w14:textId="77777777" w:rsidR="00F6766A" w:rsidRPr="00734230" w:rsidRDefault="00F6766A" w:rsidP="00FC1548">
      <w:pPr>
        <w:spacing w:after="0"/>
        <w:rPr>
          <w:rFonts w:ascii="Arial" w:hAnsi="Arial" w:cs="Arial"/>
          <w:sz w:val="10"/>
          <w:szCs w:val="10"/>
        </w:rPr>
      </w:pPr>
    </w:p>
    <w:p w14:paraId="5261C40B" w14:textId="77777777" w:rsidR="005C6160" w:rsidRDefault="005C6160" w:rsidP="00CF279A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07158" w:rsidRPr="00734230" w14:paraId="2F1546AA" w14:textId="77777777" w:rsidTr="00734230">
        <w:tc>
          <w:tcPr>
            <w:tcW w:w="10485" w:type="dxa"/>
            <w:gridSpan w:val="2"/>
            <w:shd w:val="clear" w:color="auto" w:fill="50003A"/>
          </w:tcPr>
          <w:p w14:paraId="0BAAB603" w14:textId="77777777" w:rsidR="00F07158" w:rsidRPr="00734230" w:rsidRDefault="00F07158" w:rsidP="00CF279A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motivators</w:t>
            </w:r>
          </w:p>
        </w:tc>
      </w:tr>
      <w:tr w:rsidR="007F763E" w:rsidRPr="00734230" w14:paraId="0B04A01D" w14:textId="77777777" w:rsidTr="00102143">
        <w:trPr>
          <w:trHeight w:val="556"/>
        </w:trPr>
        <w:tc>
          <w:tcPr>
            <w:tcW w:w="2689" w:type="dxa"/>
            <w:vAlign w:val="center"/>
          </w:tcPr>
          <w:p w14:paraId="5E44BCBA" w14:textId="77777777" w:rsidR="007F763E" w:rsidRPr="00734230" w:rsidRDefault="007F763E" w:rsidP="007F763E">
            <w:pPr>
              <w:rPr>
                <w:rFonts w:ascii="Arial" w:hAnsi="Arial" w:cs="Arial"/>
                <w:b/>
                <w:bCs/>
              </w:rPr>
            </w:pPr>
            <w:r w:rsidRPr="00407837">
              <w:rPr>
                <w:rFonts w:ascii="Arial" w:hAnsi="Arial" w:cs="Arial"/>
                <w:b/>
                <w:bCs/>
              </w:rPr>
              <w:t xml:space="preserve">Achievement </w:t>
            </w:r>
          </w:p>
        </w:tc>
        <w:tc>
          <w:tcPr>
            <w:tcW w:w="7796" w:type="dxa"/>
            <w:vAlign w:val="center"/>
          </w:tcPr>
          <w:p w14:paraId="0E0904AA" w14:textId="77777777" w:rsidR="007F763E" w:rsidRPr="00734230" w:rsidRDefault="007F763E" w:rsidP="007F763E">
            <w:pPr>
              <w:rPr>
                <w:rFonts w:ascii="Arial" w:hAnsi="Arial" w:cs="Arial"/>
              </w:rPr>
            </w:pPr>
            <w:r w:rsidRPr="004108E9">
              <w:rPr>
                <w:rFonts w:ascii="Arial" w:hAnsi="Arial" w:cs="Arial"/>
              </w:rPr>
              <w:t>Gaining a sense of achievement, closure; seeing something through to completion; working towards attainable goals.</w:t>
            </w:r>
          </w:p>
        </w:tc>
      </w:tr>
      <w:tr w:rsidR="007F763E" w:rsidRPr="00734230" w14:paraId="2E368EBB" w14:textId="77777777" w:rsidTr="00102143">
        <w:trPr>
          <w:trHeight w:val="556"/>
        </w:trPr>
        <w:tc>
          <w:tcPr>
            <w:tcW w:w="2689" w:type="dxa"/>
            <w:vAlign w:val="center"/>
          </w:tcPr>
          <w:p w14:paraId="4B7F2E69" w14:textId="77777777" w:rsidR="007F763E" w:rsidRPr="00734230" w:rsidRDefault="007F763E" w:rsidP="007F763E">
            <w:pPr>
              <w:rPr>
                <w:rFonts w:ascii="Arial" w:hAnsi="Arial" w:cs="Arial"/>
                <w:b/>
                <w:bCs/>
              </w:rPr>
            </w:pPr>
            <w:r w:rsidRPr="00407837">
              <w:rPr>
                <w:rFonts w:ascii="Arial" w:hAnsi="Arial" w:cs="Arial"/>
                <w:b/>
                <w:bCs/>
              </w:rPr>
              <w:t>Expertise</w:t>
            </w:r>
          </w:p>
        </w:tc>
        <w:tc>
          <w:tcPr>
            <w:tcW w:w="7796" w:type="dxa"/>
            <w:vAlign w:val="center"/>
          </w:tcPr>
          <w:p w14:paraId="69243C9F" w14:textId="77777777" w:rsidR="007F763E" w:rsidRPr="00734230" w:rsidRDefault="007F763E" w:rsidP="007F763E">
            <w:pPr>
              <w:rPr>
                <w:rFonts w:ascii="Arial" w:hAnsi="Arial" w:cs="Arial"/>
              </w:rPr>
            </w:pPr>
            <w:r w:rsidRPr="004108E9">
              <w:rPr>
                <w:rFonts w:ascii="Arial" w:hAnsi="Arial" w:cs="Arial"/>
              </w:rPr>
              <w:t>Being recognised for specialist knowledge; providing specialist advice.</w:t>
            </w:r>
          </w:p>
        </w:tc>
      </w:tr>
      <w:tr w:rsidR="007F763E" w:rsidRPr="00734230" w14:paraId="603C44DD" w14:textId="77777777" w:rsidTr="00102143">
        <w:trPr>
          <w:trHeight w:val="556"/>
        </w:trPr>
        <w:tc>
          <w:tcPr>
            <w:tcW w:w="2689" w:type="dxa"/>
            <w:vAlign w:val="center"/>
          </w:tcPr>
          <w:p w14:paraId="7E0E7625" w14:textId="77777777" w:rsidR="007F763E" w:rsidRPr="00734230" w:rsidRDefault="007F763E" w:rsidP="007F763E">
            <w:pPr>
              <w:rPr>
                <w:rFonts w:ascii="Arial" w:hAnsi="Arial" w:cs="Arial"/>
                <w:b/>
                <w:bCs/>
              </w:rPr>
            </w:pPr>
            <w:r w:rsidRPr="00407837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7796" w:type="dxa"/>
            <w:vAlign w:val="center"/>
          </w:tcPr>
          <w:p w14:paraId="0BD75DF5" w14:textId="77777777" w:rsidR="007F763E" w:rsidRPr="00734230" w:rsidRDefault="007F763E" w:rsidP="007F763E">
            <w:pPr>
              <w:rPr>
                <w:rFonts w:ascii="Arial" w:hAnsi="Arial" w:cs="Arial"/>
              </w:rPr>
            </w:pPr>
            <w:r w:rsidRPr="004108E9">
              <w:rPr>
                <w:rFonts w:ascii="Arial" w:hAnsi="Arial" w:cs="Arial"/>
              </w:rPr>
              <w:t>Directly contributing to the success of the organisation, knowing work directly affects productivity</w:t>
            </w:r>
            <w:r>
              <w:rPr>
                <w:rFonts w:ascii="Arial" w:hAnsi="Arial" w:cs="Arial"/>
              </w:rPr>
              <w:t xml:space="preserve"> </w:t>
            </w:r>
            <w:r w:rsidRPr="004108E9">
              <w:rPr>
                <w:rFonts w:ascii="Arial" w:hAnsi="Arial" w:cs="Arial"/>
              </w:rPr>
              <w:t>and profit.</w:t>
            </w:r>
          </w:p>
        </w:tc>
      </w:tr>
    </w:tbl>
    <w:p w14:paraId="032AA95B" w14:textId="77777777" w:rsidR="008B6203" w:rsidRPr="00992E1C" w:rsidRDefault="008B6203" w:rsidP="00CB17DE">
      <w:pPr>
        <w:spacing w:after="0"/>
        <w:rPr>
          <w:sz w:val="10"/>
          <w:szCs w:val="10"/>
        </w:rPr>
      </w:pPr>
    </w:p>
    <w:sectPr w:rsidR="008B6203" w:rsidRPr="00992E1C" w:rsidSect="005C6160">
      <w:type w:val="continuous"/>
      <w:pgSz w:w="11906" w:h="16838"/>
      <w:pgMar w:top="720" w:right="720" w:bottom="720" w:left="720" w:header="79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9259" w14:textId="77777777" w:rsidR="008A5978" w:rsidRDefault="008A5978" w:rsidP="00E5307F">
      <w:pPr>
        <w:spacing w:after="0" w:line="240" w:lineRule="auto"/>
      </w:pPr>
      <w:r>
        <w:separator/>
      </w:r>
    </w:p>
  </w:endnote>
  <w:endnote w:type="continuationSeparator" w:id="0">
    <w:p w14:paraId="36514084" w14:textId="77777777" w:rsidR="008A5978" w:rsidRDefault="008A5978" w:rsidP="00E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dig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933" w14:textId="36FA456E" w:rsidR="00E04EB4" w:rsidRPr="00E04EB4" w:rsidRDefault="00E04EB4">
    <w:pPr>
      <w:pStyle w:val="Footer"/>
      <w:rPr>
        <w:rFonts w:ascii="Arial" w:hAnsi="Arial" w:cs="Arial"/>
        <w:sz w:val="18"/>
        <w:szCs w:val="18"/>
      </w:rPr>
    </w:pPr>
    <w:r w:rsidRPr="00E04EB4">
      <w:rPr>
        <w:rFonts w:ascii="Arial" w:hAnsi="Arial" w:cs="Arial"/>
        <w:sz w:val="18"/>
        <w:szCs w:val="18"/>
      </w:rPr>
      <w:t>Date created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"d-MMM-yy" </w:instrText>
    </w:r>
    <w:r>
      <w:rPr>
        <w:rFonts w:ascii="Arial" w:hAnsi="Arial" w:cs="Arial"/>
        <w:sz w:val="18"/>
        <w:szCs w:val="18"/>
      </w:rPr>
      <w:fldChar w:fldCharType="separate"/>
    </w:r>
    <w:r w:rsidR="001E25ED">
      <w:rPr>
        <w:rFonts w:ascii="Arial" w:hAnsi="Arial" w:cs="Arial"/>
        <w:noProof/>
        <w:sz w:val="18"/>
        <w:szCs w:val="18"/>
      </w:rPr>
      <w:t>19-May-21</w:t>
    </w:r>
    <w:r>
      <w:rPr>
        <w:rFonts w:ascii="Arial" w:hAnsi="Arial" w:cs="Arial"/>
        <w:sz w:val="18"/>
        <w:szCs w:val="18"/>
      </w:rPr>
      <w:fldChar w:fldCharType="end"/>
    </w:r>
  </w:p>
  <w:p w14:paraId="65AB7A32" w14:textId="77777777" w:rsidR="00B45AD9" w:rsidRPr="00B45AD9" w:rsidRDefault="00B45AD9" w:rsidP="003038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D2EB" w14:textId="77777777" w:rsidR="008A5978" w:rsidRDefault="008A5978" w:rsidP="00E5307F">
      <w:pPr>
        <w:spacing w:after="0" w:line="240" w:lineRule="auto"/>
      </w:pPr>
      <w:r>
        <w:separator/>
      </w:r>
    </w:p>
  </w:footnote>
  <w:footnote w:type="continuationSeparator" w:id="0">
    <w:p w14:paraId="43574C26" w14:textId="77777777" w:rsidR="008A5978" w:rsidRDefault="008A5978" w:rsidP="00E5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7E6B" w14:textId="77777777" w:rsidR="00196B80" w:rsidRPr="00E5307F" w:rsidRDefault="00196B80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6267EE03" wp14:editId="4822D30A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7B06FA53" wp14:editId="55BE3E3C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E0"/>
    <w:multiLevelType w:val="hybridMultilevel"/>
    <w:tmpl w:val="45A66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018B"/>
    <w:multiLevelType w:val="hybridMultilevel"/>
    <w:tmpl w:val="D286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03E11"/>
    <w:multiLevelType w:val="hybridMultilevel"/>
    <w:tmpl w:val="EF6C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A8B"/>
    <w:multiLevelType w:val="hybridMultilevel"/>
    <w:tmpl w:val="C7F6A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7" w15:restartNumberingAfterBreak="0">
    <w:nsid w:val="4FB2265D"/>
    <w:multiLevelType w:val="hybridMultilevel"/>
    <w:tmpl w:val="10608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2A41"/>
    <w:multiLevelType w:val="hybridMultilevel"/>
    <w:tmpl w:val="3C7852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FA"/>
    <w:rsid w:val="00004D57"/>
    <w:rsid w:val="00045F7F"/>
    <w:rsid w:val="00051E1B"/>
    <w:rsid w:val="000570D5"/>
    <w:rsid w:val="0006596E"/>
    <w:rsid w:val="000719BA"/>
    <w:rsid w:val="000840FF"/>
    <w:rsid w:val="00084843"/>
    <w:rsid w:val="000854FE"/>
    <w:rsid w:val="000A2B3D"/>
    <w:rsid w:val="000A687B"/>
    <w:rsid w:val="000D5796"/>
    <w:rsid w:val="000F6A5A"/>
    <w:rsid w:val="000F71C4"/>
    <w:rsid w:val="0010623F"/>
    <w:rsid w:val="0019040A"/>
    <w:rsid w:val="00196B80"/>
    <w:rsid w:val="001E2072"/>
    <w:rsid w:val="001E25ED"/>
    <w:rsid w:val="001E7650"/>
    <w:rsid w:val="00265AA0"/>
    <w:rsid w:val="00292A0A"/>
    <w:rsid w:val="00296665"/>
    <w:rsid w:val="002A1490"/>
    <w:rsid w:val="002C385D"/>
    <w:rsid w:val="002D2FCD"/>
    <w:rsid w:val="002E432E"/>
    <w:rsid w:val="002F7D40"/>
    <w:rsid w:val="003038F5"/>
    <w:rsid w:val="0030682C"/>
    <w:rsid w:val="00330425"/>
    <w:rsid w:val="00330B2E"/>
    <w:rsid w:val="00352FAD"/>
    <w:rsid w:val="00357E60"/>
    <w:rsid w:val="003606E4"/>
    <w:rsid w:val="003655FC"/>
    <w:rsid w:val="00371F27"/>
    <w:rsid w:val="0038784A"/>
    <w:rsid w:val="00392EDC"/>
    <w:rsid w:val="00393621"/>
    <w:rsid w:val="003A307E"/>
    <w:rsid w:val="003A5661"/>
    <w:rsid w:val="003C5AC9"/>
    <w:rsid w:val="003F20D7"/>
    <w:rsid w:val="003F4817"/>
    <w:rsid w:val="003F6D7A"/>
    <w:rsid w:val="00415A87"/>
    <w:rsid w:val="004418FD"/>
    <w:rsid w:val="00447F22"/>
    <w:rsid w:val="00474DBF"/>
    <w:rsid w:val="00483295"/>
    <w:rsid w:val="004833F4"/>
    <w:rsid w:val="00487E76"/>
    <w:rsid w:val="004F1A38"/>
    <w:rsid w:val="004F315F"/>
    <w:rsid w:val="004F4ABF"/>
    <w:rsid w:val="005047A8"/>
    <w:rsid w:val="005439F9"/>
    <w:rsid w:val="005616C8"/>
    <w:rsid w:val="00570758"/>
    <w:rsid w:val="00573C5A"/>
    <w:rsid w:val="00590CA4"/>
    <w:rsid w:val="005A4C88"/>
    <w:rsid w:val="005B3B8F"/>
    <w:rsid w:val="005C6160"/>
    <w:rsid w:val="005F14E1"/>
    <w:rsid w:val="006034C5"/>
    <w:rsid w:val="0063273F"/>
    <w:rsid w:val="00643232"/>
    <w:rsid w:val="00651C7E"/>
    <w:rsid w:val="00654709"/>
    <w:rsid w:val="006641DC"/>
    <w:rsid w:val="00691606"/>
    <w:rsid w:val="006B1E9D"/>
    <w:rsid w:val="006B4CCC"/>
    <w:rsid w:val="006F7CBF"/>
    <w:rsid w:val="00702AAC"/>
    <w:rsid w:val="007061A1"/>
    <w:rsid w:val="00706F36"/>
    <w:rsid w:val="00706FC9"/>
    <w:rsid w:val="00734230"/>
    <w:rsid w:val="00735D90"/>
    <w:rsid w:val="00743873"/>
    <w:rsid w:val="00756E94"/>
    <w:rsid w:val="00771821"/>
    <w:rsid w:val="007868F4"/>
    <w:rsid w:val="007A1B52"/>
    <w:rsid w:val="007A7B60"/>
    <w:rsid w:val="007C1DD5"/>
    <w:rsid w:val="007C4634"/>
    <w:rsid w:val="007F03B6"/>
    <w:rsid w:val="007F763E"/>
    <w:rsid w:val="00801FE3"/>
    <w:rsid w:val="008174E8"/>
    <w:rsid w:val="00824664"/>
    <w:rsid w:val="00824FA1"/>
    <w:rsid w:val="00825E92"/>
    <w:rsid w:val="00852BF6"/>
    <w:rsid w:val="00854736"/>
    <w:rsid w:val="00854905"/>
    <w:rsid w:val="008819F5"/>
    <w:rsid w:val="00893A6E"/>
    <w:rsid w:val="0089720F"/>
    <w:rsid w:val="008A31CA"/>
    <w:rsid w:val="008A5978"/>
    <w:rsid w:val="008B6203"/>
    <w:rsid w:val="00910AAE"/>
    <w:rsid w:val="0096421D"/>
    <w:rsid w:val="00971552"/>
    <w:rsid w:val="009743EF"/>
    <w:rsid w:val="0097468A"/>
    <w:rsid w:val="00982D33"/>
    <w:rsid w:val="00990AEA"/>
    <w:rsid w:val="00992496"/>
    <w:rsid w:val="0099292E"/>
    <w:rsid w:val="00992E1C"/>
    <w:rsid w:val="009B16C4"/>
    <w:rsid w:val="009F2D04"/>
    <w:rsid w:val="00A05A2D"/>
    <w:rsid w:val="00A32B31"/>
    <w:rsid w:val="00A37A67"/>
    <w:rsid w:val="00A51E68"/>
    <w:rsid w:val="00A52505"/>
    <w:rsid w:val="00A640D5"/>
    <w:rsid w:val="00A72F5E"/>
    <w:rsid w:val="00A7412C"/>
    <w:rsid w:val="00A76C18"/>
    <w:rsid w:val="00A812DE"/>
    <w:rsid w:val="00AA7DCA"/>
    <w:rsid w:val="00AB3139"/>
    <w:rsid w:val="00AB7B14"/>
    <w:rsid w:val="00AD4836"/>
    <w:rsid w:val="00AF7D4C"/>
    <w:rsid w:val="00B14C4E"/>
    <w:rsid w:val="00B32C11"/>
    <w:rsid w:val="00B426EF"/>
    <w:rsid w:val="00B45AD9"/>
    <w:rsid w:val="00B4725D"/>
    <w:rsid w:val="00B65F0A"/>
    <w:rsid w:val="00B73187"/>
    <w:rsid w:val="00B8397B"/>
    <w:rsid w:val="00BA33DC"/>
    <w:rsid w:val="00BA3FD5"/>
    <w:rsid w:val="00BA411D"/>
    <w:rsid w:val="00BA7D75"/>
    <w:rsid w:val="00BB53B1"/>
    <w:rsid w:val="00BD53DA"/>
    <w:rsid w:val="00BF0A6C"/>
    <w:rsid w:val="00C150EE"/>
    <w:rsid w:val="00C25267"/>
    <w:rsid w:val="00C60FA3"/>
    <w:rsid w:val="00C725E0"/>
    <w:rsid w:val="00C91386"/>
    <w:rsid w:val="00CA49B2"/>
    <w:rsid w:val="00CB17DE"/>
    <w:rsid w:val="00CB7427"/>
    <w:rsid w:val="00CC02CB"/>
    <w:rsid w:val="00CC2EFA"/>
    <w:rsid w:val="00CF5F20"/>
    <w:rsid w:val="00CF7D6D"/>
    <w:rsid w:val="00CF7F5E"/>
    <w:rsid w:val="00D158DD"/>
    <w:rsid w:val="00D309E1"/>
    <w:rsid w:val="00D87DC7"/>
    <w:rsid w:val="00DD6D85"/>
    <w:rsid w:val="00DE5C28"/>
    <w:rsid w:val="00E01768"/>
    <w:rsid w:val="00E0306F"/>
    <w:rsid w:val="00E04EB4"/>
    <w:rsid w:val="00E42ADC"/>
    <w:rsid w:val="00E5307F"/>
    <w:rsid w:val="00E749C0"/>
    <w:rsid w:val="00E813E6"/>
    <w:rsid w:val="00E85291"/>
    <w:rsid w:val="00E94186"/>
    <w:rsid w:val="00EB3B7A"/>
    <w:rsid w:val="00EB6D12"/>
    <w:rsid w:val="00ED0F5D"/>
    <w:rsid w:val="00EE04F0"/>
    <w:rsid w:val="00EE48A1"/>
    <w:rsid w:val="00F015AA"/>
    <w:rsid w:val="00F02BAC"/>
    <w:rsid w:val="00F07158"/>
    <w:rsid w:val="00F42B4D"/>
    <w:rsid w:val="00F567ED"/>
    <w:rsid w:val="00F6766A"/>
    <w:rsid w:val="00F73A30"/>
    <w:rsid w:val="00F84334"/>
    <w:rsid w:val="00FA5F33"/>
    <w:rsid w:val="00FC118F"/>
    <w:rsid w:val="00FC1548"/>
    <w:rsid w:val="00FD2046"/>
    <w:rsid w:val="00FD438B"/>
    <w:rsid w:val="00FE0B9A"/>
    <w:rsid w:val="00FE326C"/>
    <w:rsid w:val="00FF006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81556"/>
  <w15:chartTrackingRefBased/>
  <w15:docId w15:val="{C78CE1B5-F3A0-4719-8596-977B387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F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F7D4C"/>
  </w:style>
  <w:style w:type="character" w:customStyle="1" w:styleId="eop">
    <w:name w:val="eop"/>
    <w:basedOn w:val="DefaultParagraphFont"/>
    <w:rsid w:val="00AF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a837\Desktop\Home%20Lending%20Specialist%20-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45BD171980041B22184A5D859080D" ma:contentTypeVersion="9" ma:contentTypeDescription="Create a new document." ma:contentTypeScope="" ma:versionID="97989da745789a071a15be2bb9b526b8">
  <xsd:schema xmlns:xsd="http://www.w3.org/2001/XMLSchema" xmlns:xs="http://www.w3.org/2001/XMLSchema" xmlns:p="http://schemas.microsoft.com/office/2006/metadata/properties" xmlns:ns2="2eadb5a8-3c0e-4845-a5eb-ca82d8e01ffd" xmlns:ns3="95ef2e55-1d66-414a-b294-75360c40a203" targetNamespace="http://schemas.microsoft.com/office/2006/metadata/properties" ma:root="true" ma:fieldsID="265f9371f011e6ce4cde807e26e77db9" ns2:_="" ns3:_="">
    <xsd:import namespace="2eadb5a8-3c0e-4845-a5eb-ca82d8e01ffd"/>
    <xsd:import namespace="95ef2e55-1d66-414a-b294-75360c40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b5a8-3c0e-4845-a5eb-ca82d8e01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f2e55-1d66-414a-b294-75360c40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BAEE-F648-4383-87A2-A880909CA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BA31D-B00B-42E3-AE36-F3E98400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db5a8-3c0e-4845-a5eb-ca82d8e01ffd"/>
    <ds:schemaRef ds:uri="95ef2e55-1d66-414a-b294-75360c40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73289-23E3-4509-8E78-C185F3AB4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68347-C5D7-481A-B3A3-CBB22FB2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Lending Specialist - DRAFT</Template>
  <TotalTime>1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James</dc:creator>
  <cp:keywords/>
  <dc:description/>
  <cp:lastModifiedBy>Liz Turner</cp:lastModifiedBy>
  <cp:revision>2</cp:revision>
  <cp:lastPrinted>2020-01-29T00:43:00Z</cp:lastPrinted>
  <dcterms:created xsi:type="dcterms:W3CDTF">2021-05-19T12:06:00Z</dcterms:created>
  <dcterms:modified xsi:type="dcterms:W3CDTF">2021-05-19T12:06:00Z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0x01010028345BD171980041B22184A5D859080D</vt:lpwstr>
  </property>
</Properties>
</file>