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4FBE" w14:textId="6436CAD9" w:rsidR="003C79F5" w:rsidRPr="0064198D" w:rsidRDefault="009720E1" w:rsidP="0087234C">
      <w:pPr>
        <w:pStyle w:val="Subtitle"/>
        <w:spacing w:before="400"/>
      </w:pPr>
      <w:bookmarkStart w:id="0" w:name="_Toc160358825"/>
      <w:r w:rsidRPr="00CF47C8">
        <w:rPr>
          <w:rFonts w:ascii="Arial" w:hAnsi="Arial" w:cs="Arial"/>
        </w:rPr>
        <w:t>Community Corrections</w:t>
      </w:r>
    </w:p>
    <w:p w14:paraId="7181D71B" w14:textId="54EE101F" w:rsidR="0064198D" w:rsidRPr="0064198D" w:rsidRDefault="009720E1" w:rsidP="0064198D">
      <w:pPr>
        <w:pStyle w:val="Title"/>
        <w:spacing w:after="400"/>
        <w:contextualSpacing w:val="0"/>
      </w:pPr>
      <w:r w:rsidRPr="00CF47C8">
        <w:rPr>
          <w:rFonts w:ascii="Arial" w:hAnsi="Arial"/>
        </w:rPr>
        <w:t xml:space="preserve">Policy and Project Officer </w:t>
      </w:r>
      <w:r w:rsidR="0064198D" w:rsidRPr="0064198D">
        <w:t>– Statement of Duties</w:t>
      </w:r>
    </w:p>
    <w:bookmarkEnd w:id="0"/>
    <w:p w14:paraId="1D2611A9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588034C5" w14:textId="1E8EAC91" w:rsidR="00D40F47" w:rsidRDefault="00D40F47" w:rsidP="00D40F47">
      <w:pPr>
        <w:rPr>
          <w:b/>
        </w:rPr>
      </w:pPr>
      <w:r w:rsidRPr="00D40F47">
        <w:t>The position contributes</w:t>
      </w:r>
      <w:r w:rsidR="0087234C">
        <w:t xml:space="preserve"> </w:t>
      </w:r>
      <w:r w:rsidR="009720E1">
        <w:t>to</w:t>
      </w:r>
      <w:r w:rsidR="009720E1" w:rsidRPr="009720E1">
        <w:rPr>
          <w:szCs w:val="24"/>
        </w:rPr>
        <w:t xml:space="preserve"> </w:t>
      </w:r>
      <w:r w:rsidR="009720E1" w:rsidRPr="009720E1">
        <w:rPr>
          <w:rFonts w:ascii="Arial" w:hAnsi="Arial" w:cs="Arial"/>
          <w:szCs w:val="24"/>
        </w:rPr>
        <w:t>undertaking projects within Community Corrections, including the development of policy and project initiatives, written advice and reports and coordination of varied activities and resources. The position will provide high-level policy and procedural advice as required by Community Corrections and undertake associated administrative functions.</w:t>
      </w:r>
    </w:p>
    <w:p w14:paraId="49754222" w14:textId="77777777" w:rsidR="00D40F47" w:rsidRPr="007E4689" w:rsidRDefault="00D40F47" w:rsidP="00D40F47">
      <w:pPr>
        <w:pStyle w:val="Heading1"/>
      </w:pPr>
      <w:r>
        <w:t>Duties</w:t>
      </w:r>
    </w:p>
    <w:p w14:paraId="3409E3CA" w14:textId="77777777" w:rsidR="009720E1" w:rsidRPr="00CF47C8" w:rsidRDefault="009720E1" w:rsidP="009720E1">
      <w:pPr>
        <w:pStyle w:val="BulletL1"/>
        <w:contextualSpacing w:val="0"/>
        <w:rPr>
          <w:szCs w:val="18"/>
        </w:rPr>
      </w:pPr>
      <w:r w:rsidRPr="00CF47C8">
        <w:t xml:space="preserve">Manage the delivery of policy and projects relating to Community Corrections, across all areas of practice as may be required. </w:t>
      </w:r>
      <w:r w:rsidRPr="00CF47C8">
        <w:rPr>
          <w:szCs w:val="18"/>
        </w:rPr>
        <w:t xml:space="preserve"> </w:t>
      </w:r>
    </w:p>
    <w:p w14:paraId="7A749C36" w14:textId="77777777" w:rsidR="009720E1" w:rsidRPr="00CF47C8" w:rsidRDefault="009720E1" w:rsidP="009720E1">
      <w:pPr>
        <w:pStyle w:val="BulletL1"/>
        <w:contextualSpacing w:val="0"/>
      </w:pPr>
      <w:r w:rsidRPr="00CF47C8">
        <w:t>Assist with the initiation, coordination, implementation, and monitoring of Community Corrections policies and related Government programs.</w:t>
      </w:r>
    </w:p>
    <w:p w14:paraId="6699D008" w14:textId="77777777" w:rsidR="009720E1" w:rsidRPr="00CF47C8" w:rsidRDefault="009720E1" w:rsidP="009720E1">
      <w:pPr>
        <w:pStyle w:val="BulletL1"/>
        <w:rPr>
          <w:szCs w:val="18"/>
        </w:rPr>
      </w:pPr>
      <w:r w:rsidRPr="00CF47C8">
        <w:t xml:space="preserve">Promote, foster, and develop collaborative partnerships and effective relationships with both </w:t>
      </w:r>
      <w:r w:rsidRPr="00CF47C8">
        <w:rPr>
          <w:szCs w:val="18"/>
        </w:rPr>
        <w:t>internal and external stakeholders.</w:t>
      </w:r>
    </w:p>
    <w:p w14:paraId="35CEAC08" w14:textId="77777777" w:rsidR="009720E1" w:rsidRPr="00CF47C8" w:rsidRDefault="009720E1" w:rsidP="009720E1">
      <w:pPr>
        <w:pStyle w:val="BulletL1"/>
        <w:contextualSpacing w:val="0"/>
      </w:pPr>
      <w:r w:rsidRPr="00CF47C8">
        <w:rPr>
          <w:lang w:eastAsia="en-AU"/>
        </w:rPr>
        <w:t xml:space="preserve">Represent Community Corrections on committees and in other forums as may be required from time to time and deliver timely, </w:t>
      </w:r>
      <w:proofErr w:type="gramStart"/>
      <w:r w:rsidRPr="00CF47C8">
        <w:rPr>
          <w:lang w:eastAsia="en-AU"/>
        </w:rPr>
        <w:t>relevant</w:t>
      </w:r>
      <w:proofErr w:type="gramEnd"/>
      <w:r w:rsidRPr="00CF47C8">
        <w:rPr>
          <w:lang w:eastAsia="en-AU"/>
        </w:rPr>
        <w:t xml:space="preserve"> and authoritative advice on matters relating to work undertaken by the output. </w:t>
      </w:r>
    </w:p>
    <w:p w14:paraId="54AA82AD" w14:textId="77777777" w:rsidR="009720E1" w:rsidRPr="00CF47C8" w:rsidRDefault="009720E1" w:rsidP="009720E1">
      <w:pPr>
        <w:pStyle w:val="BulletL1"/>
        <w:contextualSpacing w:val="0"/>
      </w:pPr>
      <w:r w:rsidRPr="00CF47C8">
        <w:t xml:space="preserve">Produce written documents including correspondence, reports, presentations, plans, proposals, promotional materials, </w:t>
      </w:r>
      <w:proofErr w:type="gramStart"/>
      <w:r w:rsidRPr="00CF47C8">
        <w:t>articles</w:t>
      </w:r>
      <w:proofErr w:type="gramEnd"/>
      <w:r w:rsidRPr="00CF47C8">
        <w:t xml:space="preserve"> and policy documents. </w:t>
      </w:r>
    </w:p>
    <w:p w14:paraId="3276E0A7" w14:textId="2C640389" w:rsidR="00D40F47" w:rsidRDefault="009720E1" w:rsidP="009720E1">
      <w:pPr>
        <w:pStyle w:val="BulletL1"/>
        <w:contextualSpacing w:val="0"/>
      </w:pPr>
      <w:r w:rsidRPr="00CF47C8">
        <w:t xml:space="preserve">Undertake research and prepare advice on complex matters associated with Community Corrections’ work, including preparing relevant advice, Briefs, </w:t>
      </w:r>
      <w:proofErr w:type="gramStart"/>
      <w:r w:rsidRPr="00CF47C8">
        <w:t>proposals</w:t>
      </w:r>
      <w:proofErr w:type="gramEnd"/>
      <w:r w:rsidRPr="00CF47C8">
        <w:t xml:space="preserve"> and other documentation.</w:t>
      </w:r>
    </w:p>
    <w:p w14:paraId="15953964" w14:textId="77777777" w:rsidR="00EA6A91" w:rsidRPr="007E4689" w:rsidRDefault="00D40F47" w:rsidP="00D40F47">
      <w:pPr>
        <w:pStyle w:val="Heading1"/>
      </w:pPr>
      <w:r>
        <w:t>Level of responsibility</w:t>
      </w:r>
    </w:p>
    <w:p w14:paraId="65132490" w14:textId="77777777" w:rsidR="009720E1" w:rsidRPr="009720E1" w:rsidRDefault="009720E1" w:rsidP="009720E1">
      <w:pPr>
        <w:pStyle w:val="ListBullet"/>
        <w:ind w:left="284" w:hanging="284"/>
        <w:rPr>
          <w:rFonts w:ascii="Arial" w:hAnsi="Arial"/>
          <w:szCs w:val="24"/>
        </w:rPr>
      </w:pPr>
      <w:r w:rsidRPr="009720E1">
        <w:rPr>
          <w:rFonts w:ascii="Arial" w:hAnsi="Arial"/>
          <w:szCs w:val="24"/>
        </w:rPr>
        <w:t>Required to work autonomously, exercising independence in undertaking the role.</w:t>
      </w:r>
    </w:p>
    <w:p w14:paraId="2A6E83A7" w14:textId="77777777" w:rsidR="009720E1" w:rsidRPr="009720E1" w:rsidRDefault="009720E1" w:rsidP="009720E1">
      <w:pPr>
        <w:pStyle w:val="ListBullet"/>
        <w:ind w:left="284" w:hanging="284"/>
        <w:rPr>
          <w:rFonts w:ascii="Arial" w:hAnsi="Arial"/>
          <w:szCs w:val="24"/>
        </w:rPr>
      </w:pPr>
      <w:r w:rsidRPr="009720E1">
        <w:rPr>
          <w:rFonts w:ascii="Arial" w:hAnsi="Arial"/>
          <w:szCs w:val="24"/>
        </w:rPr>
        <w:t xml:space="preserve">Providing informed authoritative advice to the Senior Practice and Policy Officer and members of the senior management team on issues as required. </w:t>
      </w:r>
    </w:p>
    <w:p w14:paraId="6CBD6140" w14:textId="77777777" w:rsidR="009720E1" w:rsidRPr="009720E1" w:rsidRDefault="009720E1" w:rsidP="009720E1">
      <w:pPr>
        <w:pStyle w:val="ListBullet"/>
        <w:ind w:left="284" w:hanging="284"/>
        <w:rPr>
          <w:rFonts w:ascii="Arial" w:hAnsi="Arial"/>
          <w:szCs w:val="24"/>
        </w:rPr>
      </w:pPr>
      <w:r w:rsidRPr="009720E1">
        <w:rPr>
          <w:rFonts w:ascii="Arial" w:hAnsi="Arial"/>
          <w:szCs w:val="24"/>
        </w:rPr>
        <w:t>The occupant is expected to liaise with officers at all levels including local and interstate government staff and external stakeholders.</w:t>
      </w:r>
    </w:p>
    <w:p w14:paraId="3848CE4F" w14:textId="77777777" w:rsidR="009720E1" w:rsidRPr="009720E1" w:rsidRDefault="009720E1" w:rsidP="009720E1">
      <w:pPr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szCs w:val="24"/>
        </w:rPr>
      </w:pPr>
      <w:r w:rsidRPr="009720E1">
        <w:rPr>
          <w:rFonts w:ascii="Arial" w:hAnsi="Arial" w:cs="Arial"/>
          <w:szCs w:val="24"/>
        </w:rPr>
        <w:t>The occupant is expected to conduct their work in a safe manner such that it does not put themselves or others at risk.</w:t>
      </w:r>
    </w:p>
    <w:p w14:paraId="5C1F827E" w14:textId="77777777" w:rsidR="009720E1" w:rsidRPr="009720E1" w:rsidRDefault="009720E1" w:rsidP="009720E1">
      <w:pPr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szCs w:val="24"/>
        </w:rPr>
      </w:pPr>
      <w:r w:rsidRPr="009720E1">
        <w:rPr>
          <w:rFonts w:ascii="Arial" w:hAnsi="Arial" w:cs="Arial"/>
          <w:szCs w:val="24"/>
        </w:rPr>
        <w:lastRenderedPageBreak/>
        <w:t>The occupant must comply with any reasonable instruction contained in WHS policies, procedures and instructions and report hazards, near misses and incidents to their supervisors.</w:t>
      </w:r>
    </w:p>
    <w:p w14:paraId="18C77930" w14:textId="3FDDF4CA" w:rsidR="00FD5680" w:rsidRDefault="009720E1" w:rsidP="009720E1">
      <w:pPr>
        <w:pStyle w:val="BulletL1"/>
        <w:spacing w:after="120" w:line="240" w:lineRule="auto"/>
        <w:contextualSpacing w:val="0"/>
      </w:pPr>
      <w:r w:rsidRPr="009720E1">
        <w:rPr>
          <w:rFonts w:ascii="Arial" w:hAnsi="Arial" w:cs="Arial"/>
          <w:szCs w:val="24"/>
        </w:rPr>
        <w:t>The occupant is responsible for upholding the values of Integrity, Respect, Accountability and actively contributing to make our workplaces Inclusive and Collaborative.</w:t>
      </w:r>
    </w:p>
    <w:p w14:paraId="098683B7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38BCC932" w14:textId="77777777" w:rsidR="009720E1" w:rsidRPr="00CF47C8" w:rsidRDefault="009720E1" w:rsidP="009720E1">
      <w:pPr>
        <w:pStyle w:val="BulletL1"/>
        <w:contextualSpacing w:val="0"/>
      </w:pPr>
      <w:r w:rsidRPr="00CF47C8">
        <w:t>The occupant will receive broad direction from the Senior Practice and Policy Officer but is expected to work with considerable independence and autonomy within established procedures and practices.</w:t>
      </w:r>
    </w:p>
    <w:p w14:paraId="0877AF9E" w14:textId="3D7F4AB9" w:rsidR="000221A3" w:rsidRDefault="009720E1" w:rsidP="009720E1">
      <w:pPr>
        <w:pStyle w:val="BulletL1"/>
        <w:contextualSpacing w:val="0"/>
      </w:pPr>
      <w:r w:rsidRPr="00CF47C8">
        <w:t>The occupant will be expected to exercise independent judgement and initiative to determine priorities and manage the functions of the position.</w:t>
      </w:r>
    </w:p>
    <w:p w14:paraId="7298F359" w14:textId="77777777" w:rsidR="000221A3" w:rsidRPr="007E4689" w:rsidRDefault="000221A3" w:rsidP="000221A3">
      <w:pPr>
        <w:pStyle w:val="Heading1"/>
      </w:pPr>
      <w:r>
        <w:t>Selection criteria</w:t>
      </w:r>
    </w:p>
    <w:p w14:paraId="0BCC45E8" w14:textId="77777777" w:rsidR="009720E1" w:rsidRPr="00CF47C8" w:rsidRDefault="009720E1" w:rsidP="009720E1">
      <w:pPr>
        <w:pStyle w:val="ListNumber"/>
      </w:pPr>
      <w:r w:rsidRPr="00CF47C8">
        <w:t>Strong interpersonal and oral communication skills, including a proven ability to consult, negotiate and provide advice and information to internal staff, as well as a range of stakeholders.</w:t>
      </w:r>
    </w:p>
    <w:p w14:paraId="36A29F16" w14:textId="77777777" w:rsidR="009720E1" w:rsidRPr="00CF47C8" w:rsidRDefault="009720E1" w:rsidP="009720E1">
      <w:pPr>
        <w:pStyle w:val="ListNumber"/>
      </w:pPr>
      <w:r w:rsidRPr="00CF47C8">
        <w:t xml:space="preserve">Well-developed project management skills which enable the autonomous coordination, facilitation and conduct of a variety of activities, including the planning and completion of work activities within tight time frames. </w:t>
      </w:r>
    </w:p>
    <w:p w14:paraId="17BDE59D" w14:textId="77777777" w:rsidR="009720E1" w:rsidRPr="00CF47C8" w:rsidRDefault="009720E1" w:rsidP="009720E1">
      <w:pPr>
        <w:pStyle w:val="ListNumber"/>
      </w:pPr>
      <w:r w:rsidRPr="00CF47C8">
        <w:t>High level written communication skills, including the ability to prepare all documentation to a high standard and provide sound written advice and recommendations varying in complexity to specialists and non-specialists.</w:t>
      </w:r>
    </w:p>
    <w:p w14:paraId="6B1E6A9C" w14:textId="77777777" w:rsidR="009720E1" w:rsidRPr="00CF47C8" w:rsidRDefault="009720E1" w:rsidP="009720E1">
      <w:pPr>
        <w:pStyle w:val="ListNumber"/>
      </w:pPr>
      <w:r w:rsidRPr="00CF47C8">
        <w:t xml:space="preserve">Well-developed </w:t>
      </w:r>
      <w:proofErr w:type="gramStart"/>
      <w:r w:rsidRPr="00CF47C8">
        <w:t>problem solving</w:t>
      </w:r>
      <w:proofErr w:type="gramEnd"/>
      <w:r w:rsidRPr="00CF47C8">
        <w:t xml:space="preserve"> skills with the ability to think creatively, investigate, analyse and develop options and solutions. </w:t>
      </w:r>
    </w:p>
    <w:p w14:paraId="08ECD3D1" w14:textId="77777777" w:rsidR="009720E1" w:rsidRPr="00CF47C8" w:rsidRDefault="009720E1" w:rsidP="009720E1">
      <w:pPr>
        <w:pStyle w:val="ListNumber"/>
      </w:pPr>
      <w:r w:rsidRPr="00CF47C8">
        <w:t>Proven ability to work effectively, both independently and as a member of a team, to foster a productive work ethic and positive workplace culture.</w:t>
      </w:r>
    </w:p>
    <w:p w14:paraId="7C3DAD7F" w14:textId="7EC598D8" w:rsidR="000221A3" w:rsidRDefault="009720E1" w:rsidP="00DF363A">
      <w:pPr>
        <w:pStyle w:val="ListNumber"/>
      </w:pPr>
      <w:r w:rsidRPr="00CF47C8">
        <w:t xml:space="preserve">Strong self-management, co-ordination and organisational skills, including the ability to work without supervision; to initiate and to set priorities, meet deadlines, and to operate independently and autonomously in </w:t>
      </w:r>
      <w:proofErr w:type="gramStart"/>
      <w:r w:rsidRPr="00CF47C8">
        <w:t>day to day</w:t>
      </w:r>
      <w:proofErr w:type="gramEnd"/>
      <w:r w:rsidRPr="00CF47C8">
        <w:t xml:space="preserve"> activities</w:t>
      </w:r>
      <w:r w:rsidR="000221A3">
        <w:t xml:space="preserve"> </w:t>
      </w:r>
    </w:p>
    <w:p w14:paraId="6535EEC0" w14:textId="77777777" w:rsidR="000221A3" w:rsidRPr="007E4689" w:rsidRDefault="000221A3" w:rsidP="000221A3">
      <w:pPr>
        <w:pStyle w:val="Heading1"/>
      </w:pPr>
      <w:r>
        <w:t>Essential requirements</w:t>
      </w:r>
    </w:p>
    <w:p w14:paraId="61152147" w14:textId="649D0533" w:rsidR="000221A3" w:rsidRDefault="009720E1" w:rsidP="000221A3">
      <w:pPr>
        <w:pStyle w:val="BulletL1"/>
      </w:pPr>
      <w:r>
        <w:t>Nil</w:t>
      </w:r>
    </w:p>
    <w:p w14:paraId="02AA7F5B" w14:textId="77777777" w:rsidR="000221A3" w:rsidRPr="007E4689" w:rsidRDefault="000221A3" w:rsidP="000221A3">
      <w:pPr>
        <w:pStyle w:val="Heading1"/>
      </w:pPr>
      <w:r>
        <w:lastRenderedPageBreak/>
        <w:t>Desirable requirements</w:t>
      </w:r>
    </w:p>
    <w:p w14:paraId="61E48260" w14:textId="18ADBD84" w:rsidR="000221A3" w:rsidRDefault="009720E1" w:rsidP="000221A3">
      <w:pPr>
        <w:pStyle w:val="BulletL1"/>
      </w:pPr>
      <w:r>
        <w:t>Nil</w:t>
      </w:r>
    </w:p>
    <w:p w14:paraId="17CB40F5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F37264" w:rsidRPr="00005DBB" w14:paraId="3009F2EC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B87B51E" w14:textId="77777777" w:rsidR="00F37264" w:rsidRPr="00B9618A" w:rsidRDefault="00F37264" w:rsidP="00F37264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03C2FFE" w14:textId="40E7E0BA" w:rsidR="00F37264" w:rsidRPr="00005DBB" w:rsidRDefault="009720E1" w:rsidP="00F37264">
            <w:pPr>
              <w:pStyle w:val="Tablecopy"/>
            </w:pPr>
            <w:r w:rsidRPr="00CF47C8">
              <w:rPr>
                <w:rFonts w:ascii="Arial" w:hAnsi="Arial" w:cs="Arial"/>
                <w:sz w:val="18"/>
                <w:szCs w:val="20"/>
              </w:rPr>
              <w:t>Policy and Project Officer</w:t>
            </w:r>
          </w:p>
        </w:tc>
      </w:tr>
      <w:tr w:rsidR="00F37264" w:rsidRPr="00005DBB" w14:paraId="4E7A3997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8B924CD" w14:textId="77777777" w:rsidR="00F37264" w:rsidRPr="00B9618A" w:rsidRDefault="00F37264" w:rsidP="00F37264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1C57083" w14:textId="01979BBE" w:rsidR="00F37264" w:rsidRPr="00005DBB" w:rsidRDefault="009720E1" w:rsidP="00F37264">
            <w:pPr>
              <w:pStyle w:val="Tablecopy"/>
            </w:pPr>
            <w:r>
              <w:t>357991</w:t>
            </w:r>
          </w:p>
        </w:tc>
      </w:tr>
      <w:tr w:rsidR="00F37264" w:rsidRPr="00005DBB" w14:paraId="337F3B1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2003431" w14:textId="77777777" w:rsidR="00F37264" w:rsidRPr="00B9618A" w:rsidRDefault="00F37264" w:rsidP="00F37264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CDF0994" w14:textId="007DF51D" w:rsidR="00F37264" w:rsidRPr="00005DBB" w:rsidRDefault="009720E1" w:rsidP="00F37264">
            <w:pPr>
              <w:pStyle w:val="Tablecopy"/>
            </w:pPr>
            <w:r w:rsidRPr="00CF47C8">
              <w:rPr>
                <w:rFonts w:ascii="Arial" w:hAnsi="Arial" w:cs="Arial"/>
                <w:sz w:val="18"/>
                <w:szCs w:val="20"/>
              </w:rPr>
              <w:t>Tasmanian State Service Award</w:t>
            </w:r>
          </w:p>
        </w:tc>
      </w:tr>
      <w:tr w:rsidR="00F37264" w:rsidRPr="00005DBB" w14:paraId="2F82832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30A063E" w14:textId="77777777" w:rsidR="00F37264" w:rsidRPr="00B9618A" w:rsidRDefault="00F37264" w:rsidP="00F37264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29E5729" w14:textId="31D13162" w:rsidR="00F37264" w:rsidRPr="00005DBB" w:rsidRDefault="009720E1" w:rsidP="00F37264">
            <w:pPr>
              <w:pStyle w:val="Tablecopy"/>
            </w:pPr>
            <w:r w:rsidRPr="00CF47C8">
              <w:rPr>
                <w:rFonts w:ascii="Arial" w:hAnsi="Arial" w:cs="Arial"/>
                <w:sz w:val="18"/>
                <w:szCs w:val="20"/>
              </w:rPr>
              <w:t>General Stream Band 5</w:t>
            </w:r>
          </w:p>
        </w:tc>
      </w:tr>
      <w:tr w:rsidR="00F37264" w:rsidRPr="00005DBB" w14:paraId="710ECF3D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CEF59E5" w14:textId="77777777" w:rsidR="00F37264" w:rsidRPr="00B9618A" w:rsidRDefault="00F37264" w:rsidP="00F37264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45588C65" w14:textId="77777777" w:rsidR="00F37264" w:rsidRPr="00005DBB" w:rsidRDefault="00F37264" w:rsidP="00F37264">
            <w:pPr>
              <w:pStyle w:val="Tablecopy"/>
            </w:pPr>
          </w:p>
        </w:tc>
      </w:tr>
      <w:tr w:rsidR="00F37264" w:rsidRPr="00005DBB" w14:paraId="63C89CDA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0313B1D" w14:textId="77777777" w:rsidR="00F37264" w:rsidRPr="00B9618A" w:rsidRDefault="00F37264" w:rsidP="00F37264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BB5AD5D" w14:textId="585F2A4F" w:rsidR="00F37264" w:rsidRPr="00005DBB" w:rsidRDefault="009720E1" w:rsidP="00F37264">
            <w:pPr>
              <w:pStyle w:val="Tablecopy"/>
            </w:pPr>
            <w:r>
              <w:t>1.0</w:t>
            </w:r>
          </w:p>
        </w:tc>
      </w:tr>
      <w:tr w:rsidR="00F37264" w:rsidRPr="00005DBB" w14:paraId="1411491D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2364FC2" w14:textId="77777777" w:rsidR="00F37264" w:rsidRPr="00B9618A" w:rsidRDefault="00F37264" w:rsidP="00F37264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89E82EC" w14:textId="113EB0F5" w:rsidR="00F37264" w:rsidRPr="00005DBB" w:rsidRDefault="009720E1" w:rsidP="00F37264">
            <w:pPr>
              <w:pStyle w:val="Tablecopy"/>
            </w:pPr>
            <w:r w:rsidRPr="00CF47C8">
              <w:rPr>
                <w:rFonts w:ascii="Arial" w:hAnsi="Arial" w:cs="Arial"/>
                <w:sz w:val="18"/>
                <w:szCs w:val="20"/>
              </w:rPr>
              <w:t>Community Corrections</w:t>
            </w:r>
          </w:p>
        </w:tc>
      </w:tr>
      <w:tr w:rsidR="00F37264" w:rsidRPr="00005DBB" w14:paraId="666F1E0D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62EABE8" w14:textId="77777777" w:rsidR="00F37264" w:rsidRPr="00B9618A" w:rsidRDefault="00F37264" w:rsidP="00F37264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785E355" w14:textId="2439248F" w:rsidR="00F37264" w:rsidRPr="00005DBB" w:rsidRDefault="009720E1" w:rsidP="00F37264">
            <w:pPr>
              <w:pStyle w:val="Tablecopy"/>
            </w:pPr>
            <w:r w:rsidRPr="00CF47C8">
              <w:rPr>
                <w:rFonts w:ascii="Arial" w:hAnsi="Arial" w:cs="Arial"/>
                <w:sz w:val="18"/>
                <w:szCs w:val="20"/>
              </w:rPr>
              <w:t>Corrective Services</w:t>
            </w:r>
          </w:p>
        </w:tc>
      </w:tr>
      <w:tr w:rsidR="00F37264" w:rsidRPr="00005DBB" w14:paraId="44FAF64A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FE0C166" w14:textId="77777777" w:rsidR="00F37264" w:rsidRPr="00B9618A" w:rsidRDefault="00F37264" w:rsidP="00F37264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C683660" w14:textId="35C96D84" w:rsidR="00F37264" w:rsidRPr="00EE50F8" w:rsidRDefault="009720E1" w:rsidP="00F37264">
            <w:pPr>
              <w:pStyle w:val="Tablecopy"/>
              <w:rPr>
                <w:rFonts w:cs="Arial"/>
              </w:rPr>
            </w:pPr>
            <w:r w:rsidRPr="00CF47C8">
              <w:rPr>
                <w:rFonts w:ascii="Arial" w:hAnsi="Arial" w:cs="Arial"/>
                <w:sz w:val="18"/>
                <w:szCs w:val="20"/>
              </w:rPr>
              <w:t>Senior Practice and Policy Officer, Community Corrections</w:t>
            </w:r>
          </w:p>
        </w:tc>
      </w:tr>
      <w:tr w:rsidR="00F37264" w:rsidRPr="00005DBB" w14:paraId="2EC12DD6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AC740A2" w14:textId="77777777" w:rsidR="00F37264" w:rsidRPr="00B9618A" w:rsidRDefault="00F37264" w:rsidP="00F37264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9077930" w14:textId="52788D9E" w:rsidR="00F37264" w:rsidRPr="00EE50F8" w:rsidRDefault="009720E1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F37264" w:rsidRPr="00005DBB" w14:paraId="5A339A29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40826E9" w14:textId="77777777" w:rsidR="00F37264" w:rsidRPr="00B9618A" w:rsidRDefault="00F37264" w:rsidP="00F37264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7C98D04" w14:textId="58973C14" w:rsidR="00F37264" w:rsidRPr="00EE50F8" w:rsidRDefault="009720E1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Statewide</w:t>
            </w:r>
          </w:p>
        </w:tc>
      </w:tr>
      <w:tr w:rsidR="00F37264" w:rsidRPr="00005DBB" w14:paraId="5F775FF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8ADEA38" w14:textId="77777777" w:rsidR="00F37264" w:rsidRPr="00B9618A" w:rsidRDefault="00F37264" w:rsidP="00F37264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2FF1939" w14:textId="597CDFD1" w:rsidR="00F37264" w:rsidRPr="00995F4A" w:rsidRDefault="009720E1" w:rsidP="00F37264">
            <w:pPr>
              <w:pStyle w:val="Tablecopy"/>
            </w:pPr>
            <w:r>
              <w:t>A075</w:t>
            </w:r>
          </w:p>
        </w:tc>
      </w:tr>
    </w:tbl>
    <w:p w14:paraId="07084B15" w14:textId="77777777" w:rsidR="00F37264" w:rsidRPr="00F37264" w:rsidRDefault="00F37264" w:rsidP="009720E1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9313" w14:textId="77777777" w:rsidR="009720E1" w:rsidRDefault="009720E1" w:rsidP="004438C9">
      <w:r>
        <w:separator/>
      </w:r>
    </w:p>
    <w:p w14:paraId="4417F879" w14:textId="77777777" w:rsidR="009720E1" w:rsidRDefault="009720E1"/>
  </w:endnote>
  <w:endnote w:type="continuationSeparator" w:id="0">
    <w:p w14:paraId="40646199" w14:textId="77777777" w:rsidR="009720E1" w:rsidRDefault="009720E1" w:rsidP="004438C9">
      <w:r>
        <w:continuationSeparator/>
      </w:r>
    </w:p>
    <w:p w14:paraId="66011248" w14:textId="77777777" w:rsidR="009720E1" w:rsidRDefault="00972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B4771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36D0A739" w14:textId="77777777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Pr="0087234C">
          <w:t>[date]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7DAC0221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26D7" w14:textId="51F04FDB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9720E1">
      <w:t>October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1204B191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2631" w14:textId="77777777" w:rsidR="009720E1" w:rsidRDefault="009720E1" w:rsidP="004438C9">
      <w:r>
        <w:separator/>
      </w:r>
    </w:p>
    <w:p w14:paraId="66071429" w14:textId="77777777" w:rsidR="009720E1" w:rsidRDefault="009720E1"/>
  </w:footnote>
  <w:footnote w:type="continuationSeparator" w:id="0">
    <w:p w14:paraId="04FECD7F" w14:textId="77777777" w:rsidR="009720E1" w:rsidRDefault="009720E1" w:rsidP="004438C9">
      <w:r>
        <w:continuationSeparator/>
      </w:r>
    </w:p>
    <w:p w14:paraId="3E1E3FA1" w14:textId="77777777" w:rsidR="009720E1" w:rsidRDefault="00972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1371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22ABDD0" wp14:editId="6CC0BFDB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F2809"/>
    <w:multiLevelType w:val="hybridMultilevel"/>
    <w:tmpl w:val="46360C6E"/>
    <w:lvl w:ilvl="0" w:tplc="1BD05A8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CA72E7"/>
    <w:multiLevelType w:val="hybridMultilevel"/>
    <w:tmpl w:val="CC7C4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4"/>
  </w:num>
  <w:num w:numId="2" w16cid:durableId="840971471">
    <w:abstractNumId w:val="6"/>
  </w:num>
  <w:num w:numId="3" w16cid:durableId="1738630552">
    <w:abstractNumId w:val="15"/>
  </w:num>
  <w:num w:numId="4" w16cid:durableId="1956597500">
    <w:abstractNumId w:val="5"/>
  </w:num>
  <w:num w:numId="5" w16cid:durableId="303001286">
    <w:abstractNumId w:val="12"/>
  </w:num>
  <w:num w:numId="6" w16cid:durableId="553349720">
    <w:abstractNumId w:val="7"/>
  </w:num>
  <w:num w:numId="7" w16cid:durableId="1048643758">
    <w:abstractNumId w:val="1"/>
  </w:num>
  <w:num w:numId="8" w16cid:durableId="201139373">
    <w:abstractNumId w:val="13"/>
  </w:num>
  <w:num w:numId="9" w16cid:durableId="286158930">
    <w:abstractNumId w:val="0"/>
  </w:num>
  <w:num w:numId="10" w16cid:durableId="43913803">
    <w:abstractNumId w:val="13"/>
  </w:num>
  <w:num w:numId="11" w16cid:durableId="2125879712">
    <w:abstractNumId w:val="2"/>
  </w:num>
  <w:num w:numId="12" w16cid:durableId="1948462496">
    <w:abstractNumId w:val="13"/>
  </w:num>
  <w:num w:numId="13" w16cid:durableId="6912274">
    <w:abstractNumId w:val="16"/>
  </w:num>
  <w:num w:numId="14" w16cid:durableId="1623803603">
    <w:abstractNumId w:val="8"/>
  </w:num>
  <w:num w:numId="15" w16cid:durableId="1591229665">
    <w:abstractNumId w:val="8"/>
  </w:num>
  <w:num w:numId="16" w16cid:durableId="1754278598">
    <w:abstractNumId w:val="3"/>
  </w:num>
  <w:num w:numId="17" w16cid:durableId="212665966">
    <w:abstractNumId w:val="10"/>
  </w:num>
  <w:num w:numId="18" w16cid:durableId="287712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89712">
    <w:abstractNumId w:val="9"/>
  </w:num>
  <w:num w:numId="20" w16cid:durableId="607465269">
    <w:abstractNumId w:val="11"/>
  </w:num>
  <w:num w:numId="21" w16cid:durableId="540481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1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720E1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EE757"/>
  <w15:chartTrackingRefBased/>
  <w15:docId w15:val="{D8CBBFAA-9194-4FDE-9C9C-EE161A0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9720E1"/>
    <w:pPr>
      <w:numPr>
        <w:numId w:val="19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97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7</TotalTime>
  <Pages>3</Pages>
  <Words>579</Words>
  <Characters>3678</Characters>
  <Application>Microsoft Office Word</Application>
  <DocSecurity>0</DocSecurity>
  <Lines>89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McConnon, Lisa</dc:creator>
  <cp:keywords/>
  <dc:description/>
  <cp:lastModifiedBy>McConnon, Lisa</cp:lastModifiedBy>
  <cp:revision>1</cp:revision>
  <dcterms:created xsi:type="dcterms:W3CDTF">2024-11-07T01:18:00Z</dcterms:created>
  <dcterms:modified xsi:type="dcterms:W3CDTF">2024-11-07T01:28:00Z</dcterms:modified>
</cp:coreProperties>
</file>