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037E" w:rsidRDefault="0028037E" w:rsidP="0028037E">
      <w:r>
        <w:rPr>
          <w:noProof/>
          <w:lang w:val="en-AU" w:eastAsia="en-AU"/>
        </w:rPr>
        <mc:AlternateContent>
          <mc:Choice Requires="wps">
            <w:drawing>
              <wp:anchor distT="45720" distB="45720" distL="114300" distR="114300" simplePos="0" relativeHeight="251659264" behindDoc="0" locked="0" layoutInCell="1" allowOverlap="1">
                <wp:simplePos x="0" y="0"/>
                <wp:positionH relativeFrom="column">
                  <wp:posOffset>-485775</wp:posOffset>
                </wp:positionH>
                <wp:positionV relativeFrom="page">
                  <wp:posOffset>1276350</wp:posOffset>
                </wp:positionV>
                <wp:extent cx="698182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81100"/>
                        </a:xfrm>
                        <a:prstGeom prst="rect">
                          <a:avLst/>
                        </a:prstGeom>
                        <a:noFill/>
                        <a:ln w="9525">
                          <a:noFill/>
                          <a:miter lim="800000"/>
                          <a:headEnd/>
                          <a:tailEnd/>
                        </a:ln>
                      </wps:spPr>
                      <wps:txbx>
                        <w:txbxContent>
                          <w:p w:rsidR="00220F16" w:rsidRDefault="00D64AE5" w:rsidP="00D64AE5">
                            <w:pPr>
                              <w:rPr>
                                <w:rFonts w:ascii="Arial" w:hAnsi="Arial" w:cs="Arial"/>
                                <w:b/>
                                <w:color w:val="FFFFFF" w:themeColor="background1"/>
                                <w:sz w:val="40"/>
                                <w:szCs w:val="40"/>
                              </w:rPr>
                            </w:pPr>
                            <w:r w:rsidRPr="00D64AE5">
                              <w:rPr>
                                <w:rFonts w:ascii="Arial" w:hAnsi="Arial" w:cs="Arial"/>
                                <w:b/>
                                <w:color w:val="FFFFFF" w:themeColor="background1"/>
                                <w:sz w:val="40"/>
                                <w:szCs w:val="40"/>
                              </w:rPr>
                              <w:t>Practition</w:t>
                            </w:r>
                            <w:r w:rsidR="00310B7E">
                              <w:rPr>
                                <w:rFonts w:ascii="Arial" w:hAnsi="Arial" w:cs="Arial"/>
                                <w:b/>
                                <w:color w:val="FFFFFF" w:themeColor="background1"/>
                                <w:sz w:val="40"/>
                                <w:szCs w:val="40"/>
                              </w:rPr>
                              <w:t xml:space="preserve">er - Functional Family Therapy </w:t>
                            </w:r>
                            <w:r w:rsidRPr="00D64AE5">
                              <w:rPr>
                                <w:rFonts w:ascii="Arial" w:hAnsi="Arial" w:cs="Arial"/>
                                <w:b/>
                                <w:color w:val="FFFFFF" w:themeColor="background1"/>
                                <w:sz w:val="40"/>
                                <w:szCs w:val="40"/>
                              </w:rPr>
                              <w:t>(FFT®)</w:t>
                            </w:r>
                          </w:p>
                          <w:p w:rsidR="00D64AE5" w:rsidRDefault="00D64AE5" w:rsidP="00D64AE5">
                            <w:pPr>
                              <w:rPr>
                                <w:rFonts w:ascii="Arial" w:hAnsi="Arial" w:cs="Arial"/>
                                <w:b/>
                                <w:color w:val="FFFFFF" w:themeColor="background1"/>
                                <w:sz w:val="36"/>
                                <w:szCs w:val="36"/>
                              </w:rPr>
                            </w:pPr>
                          </w:p>
                          <w:p w:rsidR="00220F16" w:rsidRPr="00C3428A" w:rsidRDefault="00AE7886">
                            <w:pPr>
                              <w:rPr>
                                <w:rFonts w:ascii="Arial" w:hAnsi="Arial" w:cs="Arial"/>
                                <w:b/>
                                <w:color w:val="FFFFFF" w:themeColor="background1"/>
                                <w:sz w:val="36"/>
                                <w:szCs w:val="36"/>
                              </w:rPr>
                            </w:pPr>
                            <w:r>
                              <w:rPr>
                                <w:rFonts w:ascii="Arial" w:hAnsi="Arial" w:cs="Arial"/>
                                <w:b/>
                                <w:color w:val="FFFFFF" w:themeColor="background1"/>
                                <w:sz w:val="36"/>
                                <w:szCs w:val="36"/>
                              </w:rP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00.5pt;width:549.7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" filled="f" stroked="f">
                <v:textbox>
                  <w:txbxContent>
                    <w:p w:rsidR="00220F16" w:rsidRDefault="00D64AE5" w:rsidP="00D64AE5">
                      <w:pPr>
                        <w:rPr>
                          <w:rFonts w:ascii="Arial" w:hAnsi="Arial" w:cs="Arial"/>
                          <w:b/>
                          <w:color w:val="FFFFFF" w:themeColor="background1"/>
                          <w:sz w:val="40"/>
                          <w:szCs w:val="40"/>
                        </w:rPr>
                      </w:pPr>
                      <w:r w:rsidRPr="00D64AE5">
                        <w:rPr>
                          <w:rFonts w:ascii="Arial" w:hAnsi="Arial" w:cs="Arial"/>
                          <w:b/>
                          <w:color w:val="FFFFFF" w:themeColor="background1"/>
                          <w:sz w:val="40"/>
                          <w:szCs w:val="40"/>
                        </w:rPr>
                        <w:t>Practition</w:t>
                      </w:r>
                      <w:r w:rsidR="00310B7E">
                        <w:rPr>
                          <w:rFonts w:ascii="Arial" w:hAnsi="Arial" w:cs="Arial"/>
                          <w:b/>
                          <w:color w:val="FFFFFF" w:themeColor="background1"/>
                          <w:sz w:val="40"/>
                          <w:szCs w:val="40"/>
                        </w:rPr>
                        <w:t xml:space="preserve">er - Functional Family Therapy </w:t>
                      </w:r>
                      <w:r w:rsidRPr="00D64AE5">
                        <w:rPr>
                          <w:rFonts w:ascii="Arial" w:hAnsi="Arial" w:cs="Arial"/>
                          <w:b/>
                          <w:color w:val="FFFFFF" w:themeColor="background1"/>
                          <w:sz w:val="40"/>
                          <w:szCs w:val="40"/>
                        </w:rPr>
                        <w:t>(FFT®)</w:t>
                      </w:r>
                    </w:p>
                    <w:p w:rsidR="00D64AE5" w:rsidRDefault="00D64AE5" w:rsidP="00D64AE5">
                      <w:pPr>
                        <w:rPr>
                          <w:rFonts w:ascii="Arial" w:hAnsi="Arial" w:cs="Arial"/>
                          <w:b/>
                          <w:color w:val="FFFFFF" w:themeColor="background1"/>
                          <w:sz w:val="36"/>
                          <w:szCs w:val="36"/>
                        </w:rPr>
                      </w:pPr>
                    </w:p>
                    <w:p w:rsidR="00220F16" w:rsidRPr="00C3428A" w:rsidRDefault="00AE7886">
                      <w:pPr>
                        <w:rPr>
                          <w:rFonts w:ascii="Arial" w:hAnsi="Arial" w:cs="Arial"/>
                          <w:b/>
                          <w:color w:val="FFFFFF" w:themeColor="background1"/>
                          <w:sz w:val="36"/>
                          <w:szCs w:val="36"/>
                        </w:rPr>
                      </w:pPr>
                      <w:r>
                        <w:rPr>
                          <w:rFonts w:ascii="Arial" w:hAnsi="Arial" w:cs="Arial"/>
                          <w:b/>
                          <w:color w:val="FFFFFF" w:themeColor="background1"/>
                          <w:sz w:val="36"/>
                          <w:szCs w:val="36"/>
                        </w:rPr>
                        <w:t>August 2019</w:t>
                      </w:r>
                      <w:bookmarkStart w:id="1" w:name="_GoBack"/>
                      <w:bookmarkEnd w:id="1"/>
                    </w:p>
                  </w:txbxContent>
                </v:textbox>
                <w10:wrap type="square" anchory="page"/>
              </v:shape>
            </w:pict>
          </mc:Fallback>
        </mc:AlternateContent>
      </w:r>
    </w:p>
    <w:p w:rsidR="0028037E" w:rsidRDefault="00C3428A" w:rsidP="0028037E">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2FCAD928" wp14:editId="13F99D57">
                <wp:simplePos x="0" y="0"/>
                <wp:positionH relativeFrom="column">
                  <wp:posOffset>-371475</wp:posOffset>
                </wp:positionH>
                <wp:positionV relativeFrom="page">
                  <wp:posOffset>3486150</wp:posOffset>
                </wp:positionV>
                <wp:extent cx="6069965" cy="3286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286125"/>
                        </a:xfrm>
                        <a:prstGeom prst="rect">
                          <a:avLst/>
                        </a:prstGeom>
                        <a:noFill/>
                        <a:ln w="9525">
                          <a:noFill/>
                          <a:miter lim="800000"/>
                          <a:headEnd/>
                          <a:tailEnd/>
                        </a:ln>
                      </wps:spPr>
                      <wps:txbx>
                        <w:txbxContent>
                          <w:p w:rsidR="00386E9B" w:rsidRDefault="00386E9B" w:rsidP="00220F16">
                            <w:pPr>
                              <w:spacing w:after="0" w:line="240" w:lineRule="auto"/>
                              <w:jc w:val="both"/>
                              <w:rPr>
                                <w:rFonts w:ascii="Arial" w:hAnsi="Arial" w:cs="Arial"/>
                                <w:b/>
                                <w:sz w:val="28"/>
                                <w:szCs w:val="28"/>
                              </w:rPr>
                            </w:pPr>
                            <w:r w:rsidRPr="00220F16">
                              <w:rPr>
                                <w:rFonts w:ascii="Arial" w:hAnsi="Arial" w:cs="Arial"/>
                                <w:b/>
                                <w:sz w:val="28"/>
                                <w:szCs w:val="28"/>
                              </w:rPr>
                              <w:t xml:space="preserve">At Anglicare Victoria our focus is on transforming the futures of children, young people, families and adults. </w:t>
                            </w:r>
                            <w:r w:rsidRPr="00220F16">
                              <w:rPr>
                                <w:rFonts w:ascii="Arial" w:hAnsi="Arial" w:cs="Arial"/>
                                <w:sz w:val="28"/>
                                <w:szCs w:val="28"/>
                              </w:rPr>
                              <w:t>Our work is based on three guiding pillars: Prevent, Protect and Empower</w:t>
                            </w:r>
                          </w:p>
                          <w:p w:rsidR="00386E9B" w:rsidRDefault="00386E9B" w:rsidP="00220F16">
                            <w:pPr>
                              <w:spacing w:after="0" w:line="240" w:lineRule="auto"/>
                              <w:jc w:val="both"/>
                              <w:rPr>
                                <w:rFonts w:ascii="Arial" w:hAnsi="Arial" w:cs="Arial"/>
                                <w:b/>
                                <w:sz w:val="28"/>
                                <w:szCs w:val="28"/>
                              </w:rPr>
                            </w:pPr>
                          </w:p>
                          <w:p w:rsidR="00220F16" w:rsidRPr="00220F16" w:rsidRDefault="00220F16" w:rsidP="00220F16">
                            <w:pPr>
                              <w:spacing w:after="0" w:line="240" w:lineRule="auto"/>
                              <w:jc w:val="both"/>
                              <w:rPr>
                                <w:rFonts w:ascii="Arial" w:hAnsi="Arial" w:cs="Arial"/>
                                <w:sz w:val="28"/>
                                <w:szCs w:val="28"/>
                              </w:rPr>
                            </w:pPr>
                            <w:r w:rsidRPr="00220F16">
                              <w:rPr>
                                <w:rFonts w:ascii="Arial" w:hAnsi="Arial" w:cs="Arial"/>
                                <w:sz w:val="28"/>
                                <w:szCs w:val="28"/>
                              </w:rPr>
                              <w:t>We strive to create an environment where employees feel valued and rewarded.</w:t>
                            </w:r>
                          </w:p>
                          <w:p w:rsidR="00220F16" w:rsidRPr="00220F16" w:rsidRDefault="00220F16" w:rsidP="00220F16">
                            <w:pPr>
                              <w:spacing w:after="0" w:line="240" w:lineRule="auto"/>
                              <w:jc w:val="both"/>
                              <w:rPr>
                                <w:rFonts w:ascii="Arial" w:hAnsi="Arial" w:cs="Arial"/>
                                <w:sz w:val="28"/>
                                <w:szCs w:val="28"/>
                              </w:rPr>
                            </w:pPr>
                          </w:p>
                          <w:p w:rsidR="00220F16" w:rsidRDefault="00220F16" w:rsidP="00220F16">
                            <w:pPr>
                              <w:spacing w:after="0" w:line="240" w:lineRule="auto"/>
                              <w:jc w:val="both"/>
                              <w:rPr>
                                <w:rFonts w:ascii="Arial" w:hAnsi="Arial" w:cs="Arial"/>
                                <w:sz w:val="28"/>
                                <w:szCs w:val="28"/>
                              </w:rPr>
                            </w:pPr>
                            <w:r w:rsidRPr="00220F16">
                              <w:rPr>
                                <w:rFonts w:ascii="Arial" w:hAnsi="Arial" w:cs="Arial"/>
                                <w:sz w:val="28"/>
                                <w:szCs w:val="28"/>
                              </w:rPr>
                              <w:t>By living the Anglicare Victoria values and actively fostering fairness, equality, diversity and inclusion, our people make Anglicare Victoria a truly great place to work.</w:t>
                            </w:r>
                          </w:p>
                          <w:p w:rsidR="00386E9B" w:rsidRDefault="00386E9B" w:rsidP="00220F16">
                            <w:pPr>
                              <w:spacing w:after="0" w:line="240" w:lineRule="auto"/>
                              <w:jc w:val="both"/>
                              <w:rPr>
                                <w:rFonts w:ascii="Arial" w:hAnsi="Arial" w:cs="Arial"/>
                                <w:sz w:val="28"/>
                                <w:szCs w:val="28"/>
                              </w:rPr>
                            </w:pPr>
                          </w:p>
                          <w:p w:rsidR="00386E9B" w:rsidRPr="00220F16" w:rsidRDefault="00386E9B" w:rsidP="00220F16">
                            <w:pPr>
                              <w:spacing w:after="0" w:line="240" w:lineRule="auto"/>
                              <w:jc w:val="both"/>
                              <w:rPr>
                                <w:rFonts w:ascii="Arial" w:hAnsi="Arial" w:cs="Arial"/>
                                <w:sz w:val="28"/>
                                <w:szCs w:val="28"/>
                              </w:rPr>
                            </w:pPr>
                            <w:r>
                              <w:rPr>
                                <w:rFonts w:ascii="Arial" w:hAnsi="Arial" w:cs="Arial"/>
                                <w:b/>
                                <w:sz w:val="28"/>
                                <w:szCs w:val="28"/>
                              </w:rPr>
                              <w:t xml:space="preserve">So come and join us at </w:t>
                            </w:r>
                            <w:r w:rsidRPr="00220F16">
                              <w:rPr>
                                <w:rFonts w:ascii="Arial" w:hAnsi="Arial" w:cs="Arial"/>
                                <w:b/>
                                <w:sz w:val="28"/>
                                <w:szCs w:val="28"/>
                              </w:rPr>
                              <w:t xml:space="preserve">Anglicare Victoria </w:t>
                            </w:r>
                            <w:r>
                              <w:rPr>
                                <w:rFonts w:ascii="Arial" w:hAnsi="Arial" w:cs="Arial"/>
                                <w:b/>
                                <w:sz w:val="28"/>
                                <w:szCs w:val="28"/>
                              </w:rPr>
                              <w:t xml:space="preserve">where there is a </w:t>
                            </w:r>
                            <w:r w:rsidRPr="00220F16">
                              <w:rPr>
                                <w:rFonts w:ascii="Arial" w:hAnsi="Arial" w:cs="Arial"/>
                                <w:b/>
                                <w:sz w:val="28"/>
                                <w:szCs w:val="28"/>
                              </w:rPr>
                              <w:t>rewarding career ready for you</w:t>
                            </w:r>
                            <w:r w:rsidRPr="00220F16">
                              <w:rPr>
                                <w:rFonts w:ascii="Arial" w:hAnsi="Arial" w:cs="Arial"/>
                                <w:sz w:val="28"/>
                                <w:szCs w:val="28"/>
                              </w:rPr>
                              <w:t xml:space="preserve"> in a dedicated, professional team where respecting each other; leading with purpose; working together; and creating a positive difference are valued, and learning and creativity are encouraged</w:t>
                            </w:r>
                            <w:r w:rsidR="00F21A29">
                              <w:rPr>
                                <w:rFonts w:ascii="Arial" w:hAnsi="Arial" w:cs="Arial"/>
                                <w:sz w:val="28"/>
                                <w:szCs w:val="28"/>
                              </w:rPr>
                              <w:t>.</w:t>
                            </w:r>
                          </w:p>
                          <w:p w:rsidR="00220F16" w:rsidRPr="00220F16" w:rsidRDefault="00220F16" w:rsidP="00220F16">
                            <w:pPr>
                              <w:spacing w:after="0" w:line="240" w:lineRule="auto"/>
                              <w:jc w:val="both"/>
                              <w:rPr>
                                <w:rFonts w:ascii="Arial" w:hAnsi="Arial" w:cs="Arial"/>
                                <w:sz w:val="28"/>
                                <w:szCs w:val="28"/>
                              </w:rPr>
                            </w:pPr>
                          </w:p>
                          <w:p w:rsidR="00220F16" w:rsidRDefault="00220F16" w:rsidP="00220F16">
                            <w:pPr>
                              <w:rPr>
                                <w:rFonts w:ascii="Arial" w:hAnsi="Arial" w:cs="Arial"/>
                                <w:sz w:val="24"/>
                                <w:szCs w:val="24"/>
                              </w:rPr>
                            </w:pPr>
                            <w:r>
                              <w:rPr>
                                <w:rFonts w:ascii="Arial" w:hAnsi="Arial" w:cs="Arial"/>
                                <w:sz w:val="24"/>
                                <w:szCs w:val="24"/>
                              </w:rPr>
                              <w:t>.</w:t>
                            </w:r>
                          </w:p>
                          <w:p w:rsidR="00220F16" w:rsidRPr="00ED2EF6" w:rsidRDefault="00220F16" w:rsidP="00220F16">
                            <w:pPr>
                              <w:spacing w:after="0" w:line="240" w:lineRule="auto"/>
                              <w:jc w:val="both"/>
                              <w:rPr>
                                <w:rFonts w:ascii="Arial" w:hAnsi="Arial" w:cs="Arial"/>
                                <w:sz w:val="24"/>
                                <w:szCs w:val="24"/>
                              </w:rPr>
                            </w:pPr>
                          </w:p>
                          <w:p w:rsidR="00220F16" w:rsidRPr="00220F16" w:rsidRDefault="00220F16" w:rsidP="00C3428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D928" id="_x0000_s1027" type="#_x0000_t202" style="position:absolute;margin-left:-29.25pt;margin-top:274.5pt;width:477.95pt;height:25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" filled="f" stroked="f">
                <v:textbox>
                  <w:txbxContent>
                    <w:p w:rsidR="00386E9B" w:rsidRDefault="00386E9B" w:rsidP="00220F16">
                      <w:pPr>
                        <w:spacing w:after="0" w:line="240" w:lineRule="auto"/>
                        <w:jc w:val="both"/>
                        <w:rPr>
                          <w:rFonts w:ascii="Arial" w:hAnsi="Arial" w:cs="Arial"/>
                          <w:b/>
                          <w:sz w:val="28"/>
                          <w:szCs w:val="28"/>
                        </w:rPr>
                      </w:pPr>
                      <w:r w:rsidRPr="00220F16">
                        <w:rPr>
                          <w:rFonts w:ascii="Arial" w:hAnsi="Arial" w:cs="Arial"/>
                          <w:b/>
                          <w:sz w:val="28"/>
                          <w:szCs w:val="28"/>
                        </w:rPr>
                        <w:t xml:space="preserve">At Anglicare Victoria our focus is on transforming the futures of children, young people, families and adults. </w:t>
                      </w:r>
                      <w:r w:rsidRPr="00220F16">
                        <w:rPr>
                          <w:rFonts w:ascii="Arial" w:hAnsi="Arial" w:cs="Arial"/>
                          <w:sz w:val="28"/>
                          <w:szCs w:val="28"/>
                        </w:rPr>
                        <w:t>Our work is based on three guiding pillars: Prevent, Protect and Empower</w:t>
                      </w:r>
                    </w:p>
                    <w:p w:rsidR="00386E9B" w:rsidRDefault="00386E9B" w:rsidP="00220F16">
                      <w:pPr>
                        <w:spacing w:after="0" w:line="240" w:lineRule="auto"/>
                        <w:jc w:val="both"/>
                        <w:rPr>
                          <w:rFonts w:ascii="Arial" w:hAnsi="Arial" w:cs="Arial"/>
                          <w:b/>
                          <w:sz w:val="28"/>
                          <w:szCs w:val="28"/>
                        </w:rPr>
                      </w:pPr>
                    </w:p>
                    <w:p w:rsidR="00220F16" w:rsidRPr="00220F16" w:rsidRDefault="00220F16" w:rsidP="00220F16">
                      <w:pPr>
                        <w:spacing w:after="0" w:line="240" w:lineRule="auto"/>
                        <w:jc w:val="both"/>
                        <w:rPr>
                          <w:rFonts w:ascii="Arial" w:hAnsi="Arial" w:cs="Arial"/>
                          <w:sz w:val="28"/>
                          <w:szCs w:val="28"/>
                        </w:rPr>
                      </w:pPr>
                      <w:r w:rsidRPr="00220F16">
                        <w:rPr>
                          <w:rFonts w:ascii="Arial" w:hAnsi="Arial" w:cs="Arial"/>
                          <w:sz w:val="28"/>
                          <w:szCs w:val="28"/>
                        </w:rPr>
                        <w:t>We strive to create an environment where employees feel valued and rewarded.</w:t>
                      </w:r>
                    </w:p>
                    <w:p w:rsidR="00220F16" w:rsidRPr="00220F16" w:rsidRDefault="00220F16" w:rsidP="00220F16">
                      <w:pPr>
                        <w:spacing w:after="0" w:line="240" w:lineRule="auto"/>
                        <w:jc w:val="both"/>
                        <w:rPr>
                          <w:rFonts w:ascii="Arial" w:hAnsi="Arial" w:cs="Arial"/>
                          <w:sz w:val="28"/>
                          <w:szCs w:val="28"/>
                        </w:rPr>
                      </w:pPr>
                    </w:p>
                    <w:p w:rsidR="00220F16" w:rsidRDefault="00220F16" w:rsidP="00220F16">
                      <w:pPr>
                        <w:spacing w:after="0" w:line="240" w:lineRule="auto"/>
                        <w:jc w:val="both"/>
                        <w:rPr>
                          <w:rFonts w:ascii="Arial" w:hAnsi="Arial" w:cs="Arial"/>
                          <w:sz w:val="28"/>
                          <w:szCs w:val="28"/>
                        </w:rPr>
                      </w:pPr>
                      <w:r w:rsidRPr="00220F16">
                        <w:rPr>
                          <w:rFonts w:ascii="Arial" w:hAnsi="Arial" w:cs="Arial"/>
                          <w:sz w:val="28"/>
                          <w:szCs w:val="28"/>
                        </w:rPr>
                        <w:t>By living the Anglicare Victoria values and actively fostering fairness, equality, diversity and inclusion, our people make Anglicare Victoria a truly great place to work.</w:t>
                      </w:r>
                    </w:p>
                    <w:p w:rsidR="00386E9B" w:rsidRDefault="00386E9B" w:rsidP="00220F16">
                      <w:pPr>
                        <w:spacing w:after="0" w:line="240" w:lineRule="auto"/>
                        <w:jc w:val="both"/>
                        <w:rPr>
                          <w:rFonts w:ascii="Arial" w:hAnsi="Arial" w:cs="Arial"/>
                          <w:sz w:val="28"/>
                          <w:szCs w:val="28"/>
                        </w:rPr>
                      </w:pPr>
                    </w:p>
                    <w:p w:rsidR="00386E9B" w:rsidRPr="00220F16" w:rsidRDefault="00386E9B" w:rsidP="00220F16">
                      <w:pPr>
                        <w:spacing w:after="0" w:line="240" w:lineRule="auto"/>
                        <w:jc w:val="both"/>
                        <w:rPr>
                          <w:rFonts w:ascii="Arial" w:hAnsi="Arial" w:cs="Arial"/>
                          <w:sz w:val="28"/>
                          <w:szCs w:val="28"/>
                        </w:rPr>
                      </w:pPr>
                      <w:r>
                        <w:rPr>
                          <w:rFonts w:ascii="Arial" w:hAnsi="Arial" w:cs="Arial"/>
                          <w:b/>
                          <w:sz w:val="28"/>
                          <w:szCs w:val="28"/>
                        </w:rPr>
                        <w:t xml:space="preserve">So come and join us at </w:t>
                      </w:r>
                      <w:r w:rsidRPr="00220F16">
                        <w:rPr>
                          <w:rFonts w:ascii="Arial" w:hAnsi="Arial" w:cs="Arial"/>
                          <w:b/>
                          <w:sz w:val="28"/>
                          <w:szCs w:val="28"/>
                        </w:rPr>
                        <w:t xml:space="preserve">Anglicare Victoria </w:t>
                      </w:r>
                      <w:r>
                        <w:rPr>
                          <w:rFonts w:ascii="Arial" w:hAnsi="Arial" w:cs="Arial"/>
                          <w:b/>
                          <w:sz w:val="28"/>
                          <w:szCs w:val="28"/>
                        </w:rPr>
                        <w:t xml:space="preserve">where there is a </w:t>
                      </w:r>
                      <w:r w:rsidRPr="00220F16">
                        <w:rPr>
                          <w:rFonts w:ascii="Arial" w:hAnsi="Arial" w:cs="Arial"/>
                          <w:b/>
                          <w:sz w:val="28"/>
                          <w:szCs w:val="28"/>
                        </w:rPr>
                        <w:t>rewarding career ready for you</w:t>
                      </w:r>
                      <w:r w:rsidRPr="00220F16">
                        <w:rPr>
                          <w:rFonts w:ascii="Arial" w:hAnsi="Arial" w:cs="Arial"/>
                          <w:sz w:val="28"/>
                          <w:szCs w:val="28"/>
                        </w:rPr>
                        <w:t xml:space="preserve"> in a dedicated, professional team where respecting each other; leading with purpose; working together; and creating a positive difference are valued, and learning and creativity are encouraged</w:t>
                      </w:r>
                      <w:r w:rsidR="00F21A29">
                        <w:rPr>
                          <w:rFonts w:ascii="Arial" w:hAnsi="Arial" w:cs="Arial"/>
                          <w:sz w:val="28"/>
                          <w:szCs w:val="28"/>
                        </w:rPr>
                        <w:t>.</w:t>
                      </w:r>
                    </w:p>
                    <w:p w:rsidR="00220F16" w:rsidRPr="00220F16" w:rsidRDefault="00220F16" w:rsidP="00220F16">
                      <w:pPr>
                        <w:spacing w:after="0" w:line="240" w:lineRule="auto"/>
                        <w:jc w:val="both"/>
                        <w:rPr>
                          <w:rFonts w:ascii="Arial" w:hAnsi="Arial" w:cs="Arial"/>
                          <w:sz w:val="28"/>
                          <w:szCs w:val="28"/>
                        </w:rPr>
                      </w:pPr>
                    </w:p>
                    <w:p w:rsidR="00220F16" w:rsidRDefault="00220F16" w:rsidP="00220F16">
                      <w:pPr>
                        <w:rPr>
                          <w:rFonts w:ascii="Arial" w:hAnsi="Arial" w:cs="Arial"/>
                          <w:sz w:val="24"/>
                          <w:szCs w:val="24"/>
                        </w:rPr>
                      </w:pPr>
                      <w:r>
                        <w:rPr>
                          <w:rFonts w:ascii="Arial" w:hAnsi="Arial" w:cs="Arial"/>
                          <w:sz w:val="24"/>
                          <w:szCs w:val="24"/>
                        </w:rPr>
                        <w:t>.</w:t>
                      </w:r>
                    </w:p>
                    <w:p w:rsidR="00220F16" w:rsidRPr="00ED2EF6" w:rsidRDefault="00220F16" w:rsidP="00220F16">
                      <w:pPr>
                        <w:spacing w:after="0" w:line="240" w:lineRule="auto"/>
                        <w:jc w:val="both"/>
                        <w:rPr>
                          <w:rFonts w:ascii="Arial" w:hAnsi="Arial" w:cs="Arial"/>
                          <w:sz w:val="24"/>
                          <w:szCs w:val="24"/>
                        </w:rPr>
                      </w:pPr>
                    </w:p>
                    <w:p w:rsidR="00220F16" w:rsidRPr="00220F16" w:rsidRDefault="00220F16" w:rsidP="00C3428A">
                      <w:pPr>
                        <w:rPr>
                          <w:rFonts w:ascii="Arial" w:hAnsi="Arial" w:cs="Arial"/>
                          <w:sz w:val="24"/>
                          <w:szCs w:val="24"/>
                        </w:rPr>
                      </w:pPr>
                    </w:p>
                  </w:txbxContent>
                </v:textbox>
                <w10:wrap type="square" anchory="page"/>
              </v:shape>
            </w:pict>
          </mc:Fallback>
        </mc:AlternateContent>
      </w:r>
      <w:r w:rsidR="0028037E">
        <w:rPr>
          <w:noProof/>
        </w:rPr>
        <w:t xml:space="preserve"> </w:t>
      </w:r>
      <w:r w:rsidR="0028037E">
        <w:br w:type="page"/>
      </w:r>
    </w:p>
    <w:p w:rsidR="0028037E" w:rsidRDefault="0028037E"/>
    <w:p w:rsidR="0028037E" w:rsidRDefault="0028037E"/>
    <w:p w:rsidR="00386E9B" w:rsidRDefault="00386E9B"/>
    <w:p w:rsidR="00386E9B" w:rsidRDefault="00386E9B"/>
    <w:p w:rsidR="00386E9B" w:rsidRDefault="00386E9B" w:rsidP="00386E9B">
      <w:pPr>
        <w:rPr>
          <w:rFonts w:ascii="Arial" w:hAnsi="Arial" w:cs="Arial"/>
          <w:b/>
          <w:sz w:val="32"/>
          <w:szCs w:val="32"/>
        </w:rPr>
      </w:pPr>
      <w:r w:rsidRPr="00386E9B">
        <w:rPr>
          <w:rFonts w:ascii="Arial" w:hAnsi="Arial" w:cs="Arial"/>
          <w:b/>
          <w:sz w:val="32"/>
          <w:szCs w:val="32"/>
        </w:rPr>
        <w:t>Position details</w:t>
      </w:r>
    </w:p>
    <w:p w:rsidR="00D64AE5" w:rsidRPr="00386E9B" w:rsidRDefault="00D64AE5" w:rsidP="00386E9B">
      <w:pPr>
        <w:rPr>
          <w:rFonts w:ascii="Arial" w:hAnsi="Arial" w:cs="Arial"/>
          <w:b/>
          <w:sz w:val="32"/>
          <w:szCs w:val="32"/>
        </w:rPr>
      </w:pPr>
    </w:p>
    <w:tbl>
      <w:tblPr>
        <w:tblStyle w:val="TableGrid"/>
        <w:tblW w:w="0" w:type="auto"/>
        <w:tblLook w:val="04A0" w:firstRow="1" w:lastRow="0" w:firstColumn="1" w:lastColumn="0" w:noHBand="0" w:noVBand="1"/>
      </w:tblPr>
      <w:tblGrid>
        <w:gridCol w:w="2037"/>
        <w:gridCol w:w="6980"/>
      </w:tblGrid>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Position</w:t>
            </w:r>
          </w:p>
        </w:tc>
        <w:tc>
          <w:tcPr>
            <w:tcW w:w="6980" w:type="dxa"/>
            <w:shd w:val="clear" w:color="auto" w:fill="D9E2F3" w:themeFill="accent5" w:themeFillTint="33"/>
          </w:tcPr>
          <w:p w:rsidR="00386E9B" w:rsidRPr="00386E9B" w:rsidRDefault="00386E9B" w:rsidP="005D43C4">
            <w:pPr>
              <w:pStyle w:val="Default"/>
            </w:pPr>
          </w:p>
          <w:p w:rsidR="00386E9B" w:rsidRDefault="003240F3" w:rsidP="00D64AE5">
            <w:pPr>
              <w:pStyle w:val="Default"/>
              <w:rPr>
                <w:b/>
              </w:rPr>
            </w:pPr>
            <w:r>
              <w:t>P</w:t>
            </w:r>
            <w:r w:rsidR="00D64AE5">
              <w:t>ractitioner - Functional Family Therapy</w:t>
            </w:r>
            <w:r>
              <w:t xml:space="preserve"> </w:t>
            </w:r>
            <w:r w:rsidR="00D64AE5">
              <w:t>(FFT®)</w:t>
            </w:r>
          </w:p>
          <w:p w:rsidR="00D64AE5" w:rsidRPr="00386E9B" w:rsidRDefault="00D64AE5" w:rsidP="00D64AE5">
            <w:pPr>
              <w:pStyle w:val="Default"/>
              <w:rPr>
                <w:b/>
              </w:rPr>
            </w:pP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Program</w:t>
            </w:r>
          </w:p>
        </w:tc>
        <w:tc>
          <w:tcPr>
            <w:tcW w:w="6980" w:type="dxa"/>
            <w:shd w:val="clear" w:color="auto" w:fill="D9E2F3" w:themeFill="accent5" w:themeFillTint="33"/>
          </w:tcPr>
          <w:p w:rsidR="00386E9B" w:rsidRPr="00386E9B" w:rsidRDefault="00386E9B" w:rsidP="005D43C4">
            <w:pPr>
              <w:autoSpaceDE w:val="0"/>
              <w:autoSpaceDN w:val="0"/>
              <w:adjustRightInd w:val="0"/>
              <w:rPr>
                <w:rFonts w:ascii="Arial" w:hAnsi="Arial" w:cs="Arial"/>
                <w:color w:val="000000"/>
                <w:sz w:val="24"/>
                <w:szCs w:val="24"/>
              </w:rPr>
            </w:pPr>
          </w:p>
          <w:p w:rsidR="00386E9B" w:rsidRPr="00386E9B" w:rsidRDefault="00386E9B" w:rsidP="005D43C4">
            <w:pPr>
              <w:autoSpaceDE w:val="0"/>
              <w:autoSpaceDN w:val="0"/>
              <w:adjustRightInd w:val="0"/>
              <w:rPr>
                <w:rFonts w:ascii="Arial" w:hAnsi="Arial" w:cs="Arial"/>
                <w:color w:val="000000"/>
                <w:sz w:val="24"/>
                <w:szCs w:val="24"/>
              </w:rPr>
            </w:pPr>
            <w:r w:rsidRPr="00386E9B">
              <w:rPr>
                <w:rFonts w:ascii="Arial" w:hAnsi="Arial" w:cs="Arial"/>
                <w:color w:val="000000"/>
                <w:sz w:val="24"/>
                <w:szCs w:val="24"/>
              </w:rPr>
              <w:t>Family Services</w:t>
            </w:r>
          </w:p>
          <w:p w:rsidR="00386E9B" w:rsidRPr="00386E9B" w:rsidRDefault="00386E9B" w:rsidP="005D43C4">
            <w:pPr>
              <w:autoSpaceDE w:val="0"/>
              <w:autoSpaceDN w:val="0"/>
              <w:adjustRightInd w:val="0"/>
              <w:rPr>
                <w:rFonts w:ascii="Arial" w:hAnsi="Arial" w:cs="Arial"/>
                <w:b/>
                <w:sz w:val="24"/>
                <w:szCs w:val="24"/>
              </w:rPr>
            </w:pP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Classification</w:t>
            </w:r>
          </w:p>
        </w:tc>
        <w:tc>
          <w:tcPr>
            <w:tcW w:w="6980" w:type="dxa"/>
            <w:shd w:val="clear" w:color="auto" w:fill="D9E2F3" w:themeFill="accent5" w:themeFillTint="33"/>
          </w:tcPr>
          <w:p w:rsidR="00386E9B" w:rsidRPr="00386E9B" w:rsidRDefault="00386E9B" w:rsidP="005D43C4">
            <w:pPr>
              <w:autoSpaceDE w:val="0"/>
              <w:autoSpaceDN w:val="0"/>
              <w:adjustRightInd w:val="0"/>
              <w:rPr>
                <w:rFonts w:ascii="Arial" w:hAnsi="Arial" w:cs="Arial"/>
                <w:color w:val="000000"/>
                <w:sz w:val="24"/>
                <w:szCs w:val="24"/>
              </w:rPr>
            </w:pPr>
          </w:p>
          <w:p w:rsidR="00386E9B" w:rsidRDefault="00386E9B" w:rsidP="00D64AE5">
            <w:pPr>
              <w:autoSpaceDE w:val="0"/>
              <w:autoSpaceDN w:val="0"/>
              <w:adjustRightInd w:val="0"/>
              <w:rPr>
                <w:rFonts w:ascii="Arial" w:hAnsi="Arial" w:cs="Arial"/>
                <w:color w:val="000000"/>
                <w:sz w:val="24"/>
                <w:szCs w:val="24"/>
              </w:rPr>
            </w:pPr>
            <w:r w:rsidRPr="00386E9B">
              <w:rPr>
                <w:rFonts w:ascii="Arial" w:hAnsi="Arial" w:cs="Arial"/>
                <w:color w:val="000000"/>
                <w:sz w:val="24"/>
                <w:szCs w:val="24"/>
              </w:rPr>
              <w:t xml:space="preserve">SCHADS Award Level </w:t>
            </w:r>
            <w:r w:rsidR="00D64AE5">
              <w:rPr>
                <w:rFonts w:ascii="Arial" w:hAnsi="Arial" w:cs="Arial"/>
                <w:color w:val="000000"/>
                <w:sz w:val="24"/>
                <w:szCs w:val="24"/>
              </w:rPr>
              <w:t>6</w:t>
            </w:r>
            <w:r w:rsidRPr="00386E9B">
              <w:rPr>
                <w:rFonts w:ascii="Arial" w:hAnsi="Arial" w:cs="Arial"/>
                <w:color w:val="000000"/>
                <w:sz w:val="24"/>
                <w:szCs w:val="24"/>
              </w:rPr>
              <w:t xml:space="preserve"> </w:t>
            </w:r>
          </w:p>
          <w:p w:rsidR="00D64AE5" w:rsidRPr="00386E9B" w:rsidRDefault="00D64AE5" w:rsidP="00D64AE5">
            <w:pPr>
              <w:autoSpaceDE w:val="0"/>
              <w:autoSpaceDN w:val="0"/>
              <w:adjustRightInd w:val="0"/>
              <w:rPr>
                <w:rFonts w:ascii="Arial" w:hAnsi="Arial" w:cs="Arial"/>
                <w:b/>
                <w:sz w:val="24"/>
                <w:szCs w:val="24"/>
              </w:rPr>
            </w:pP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Hours</w:t>
            </w:r>
          </w:p>
        </w:tc>
        <w:tc>
          <w:tcPr>
            <w:tcW w:w="6980" w:type="dxa"/>
            <w:shd w:val="clear" w:color="auto" w:fill="D9E2F3" w:themeFill="accent5" w:themeFillTint="33"/>
          </w:tcPr>
          <w:p w:rsidR="00386E9B" w:rsidRPr="00386E9B" w:rsidRDefault="00386E9B" w:rsidP="005D43C4">
            <w:pPr>
              <w:autoSpaceDE w:val="0"/>
              <w:autoSpaceDN w:val="0"/>
              <w:adjustRightInd w:val="0"/>
              <w:rPr>
                <w:rFonts w:ascii="Arial" w:hAnsi="Arial" w:cs="Arial"/>
                <w:color w:val="000000"/>
                <w:sz w:val="24"/>
                <w:szCs w:val="24"/>
              </w:rPr>
            </w:pPr>
          </w:p>
          <w:p w:rsidR="00E018BB" w:rsidRDefault="00DB72CD" w:rsidP="005E0A83">
            <w:pPr>
              <w:autoSpaceDE w:val="0"/>
              <w:autoSpaceDN w:val="0"/>
              <w:adjustRightInd w:val="0"/>
              <w:rPr>
                <w:rFonts w:ascii="Arial" w:hAnsi="Arial" w:cs="Arial"/>
                <w:color w:val="000000"/>
                <w:sz w:val="24"/>
                <w:szCs w:val="24"/>
              </w:rPr>
            </w:pPr>
            <w:r>
              <w:rPr>
                <w:rFonts w:ascii="Arial" w:hAnsi="Arial" w:cs="Arial"/>
                <w:color w:val="000000"/>
                <w:sz w:val="24"/>
                <w:szCs w:val="24"/>
              </w:rPr>
              <w:t>Full Time (38 hours per week, 7.6 hours per</w:t>
            </w:r>
            <w:r w:rsidR="00E018BB">
              <w:rPr>
                <w:rFonts w:ascii="Arial" w:hAnsi="Arial" w:cs="Arial"/>
                <w:color w:val="000000"/>
                <w:sz w:val="24"/>
                <w:szCs w:val="24"/>
              </w:rPr>
              <w:t xml:space="preserve"> day, Monday to Friday between 8</w:t>
            </w:r>
            <w:r>
              <w:rPr>
                <w:rFonts w:ascii="Arial" w:hAnsi="Arial" w:cs="Arial"/>
                <w:color w:val="000000"/>
                <w:sz w:val="24"/>
                <w:szCs w:val="24"/>
              </w:rPr>
              <w:t xml:space="preserve">:00am – 8:00pm).  </w:t>
            </w:r>
          </w:p>
          <w:p w:rsidR="00DB72CD" w:rsidRDefault="00DB72CD" w:rsidP="005E0A83">
            <w:pPr>
              <w:autoSpaceDE w:val="0"/>
              <w:autoSpaceDN w:val="0"/>
              <w:adjustRightInd w:val="0"/>
              <w:rPr>
                <w:rFonts w:ascii="Arial" w:hAnsi="Arial" w:cs="Arial"/>
                <w:color w:val="000000"/>
                <w:sz w:val="24"/>
                <w:szCs w:val="24"/>
              </w:rPr>
            </w:pPr>
            <w:r>
              <w:rPr>
                <w:rFonts w:ascii="Arial" w:hAnsi="Arial" w:cs="Arial"/>
                <w:color w:val="000000"/>
                <w:sz w:val="24"/>
                <w:szCs w:val="24"/>
              </w:rPr>
              <w:t>This position requires flexibility i</w:t>
            </w:r>
            <w:r w:rsidR="007A66A6">
              <w:rPr>
                <w:rFonts w:ascii="Arial" w:hAnsi="Arial" w:cs="Arial"/>
                <w:color w:val="000000"/>
                <w:sz w:val="24"/>
                <w:szCs w:val="24"/>
              </w:rPr>
              <w:t>n working hours to ensure family’s needs</w:t>
            </w:r>
            <w:r>
              <w:rPr>
                <w:rFonts w:ascii="Arial" w:hAnsi="Arial" w:cs="Arial"/>
                <w:color w:val="000000"/>
                <w:sz w:val="24"/>
                <w:szCs w:val="24"/>
              </w:rPr>
              <w:t xml:space="preserve"> are met.  The start and finish </w:t>
            </w:r>
            <w:r w:rsidR="00835A1C">
              <w:rPr>
                <w:rFonts w:ascii="Arial" w:hAnsi="Arial" w:cs="Arial"/>
                <w:color w:val="000000"/>
                <w:sz w:val="24"/>
                <w:szCs w:val="24"/>
              </w:rPr>
              <w:t xml:space="preserve">time </w:t>
            </w:r>
            <w:r>
              <w:rPr>
                <w:rFonts w:ascii="Arial" w:hAnsi="Arial" w:cs="Arial"/>
                <w:color w:val="000000"/>
                <w:sz w:val="24"/>
                <w:szCs w:val="24"/>
              </w:rPr>
              <w:t>of working hours may</w:t>
            </w:r>
            <w:r w:rsidR="00835A1C">
              <w:rPr>
                <w:rFonts w:ascii="Arial" w:hAnsi="Arial" w:cs="Arial"/>
                <w:color w:val="000000"/>
                <w:sz w:val="24"/>
                <w:szCs w:val="24"/>
              </w:rPr>
              <w:t xml:space="preserve"> vary eac</w:t>
            </w:r>
            <w:r>
              <w:rPr>
                <w:rFonts w:ascii="Arial" w:hAnsi="Arial" w:cs="Arial"/>
                <w:color w:val="000000"/>
                <w:sz w:val="24"/>
                <w:szCs w:val="24"/>
              </w:rPr>
              <w:t>h week</w:t>
            </w:r>
            <w:r w:rsidR="005E0A83">
              <w:rPr>
                <w:rFonts w:ascii="Arial" w:hAnsi="Arial" w:cs="Arial"/>
                <w:color w:val="000000"/>
                <w:sz w:val="24"/>
                <w:szCs w:val="24"/>
              </w:rPr>
              <w:t>.</w:t>
            </w:r>
          </w:p>
          <w:p w:rsidR="005E0A83" w:rsidRPr="00386E9B" w:rsidRDefault="005E0A83" w:rsidP="005E0A83">
            <w:pPr>
              <w:autoSpaceDE w:val="0"/>
              <w:autoSpaceDN w:val="0"/>
              <w:adjustRightInd w:val="0"/>
              <w:rPr>
                <w:rFonts w:ascii="Arial" w:hAnsi="Arial" w:cs="Arial"/>
                <w:b/>
                <w:sz w:val="24"/>
                <w:szCs w:val="24"/>
              </w:rPr>
            </w:pP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Duration</w:t>
            </w:r>
          </w:p>
        </w:tc>
        <w:tc>
          <w:tcPr>
            <w:tcW w:w="6980" w:type="dxa"/>
            <w:shd w:val="clear" w:color="auto" w:fill="D9E2F3" w:themeFill="accent5" w:themeFillTint="33"/>
          </w:tcPr>
          <w:p w:rsidR="00386E9B" w:rsidRDefault="00386E9B" w:rsidP="005D43C4">
            <w:pPr>
              <w:rPr>
                <w:rFonts w:ascii="Arial" w:hAnsi="Arial" w:cs="Arial"/>
                <w:color w:val="000000"/>
                <w:sz w:val="24"/>
                <w:szCs w:val="24"/>
              </w:rPr>
            </w:pPr>
          </w:p>
          <w:p w:rsidR="00386E9B" w:rsidRPr="00E3709F" w:rsidRDefault="00E3709F" w:rsidP="00E3709F">
            <w:pPr>
              <w:rPr>
                <w:rFonts w:ascii="Arial" w:hAnsi="Arial" w:cs="Arial"/>
                <w:sz w:val="24"/>
                <w:szCs w:val="24"/>
              </w:rPr>
            </w:pPr>
            <w:r w:rsidRPr="00E3709F">
              <w:rPr>
                <w:rFonts w:ascii="Arial" w:hAnsi="Arial" w:cs="Arial"/>
                <w:sz w:val="24"/>
                <w:szCs w:val="24"/>
              </w:rPr>
              <w:t>Permanent Full Time</w:t>
            </w: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Location</w:t>
            </w:r>
          </w:p>
        </w:tc>
        <w:tc>
          <w:tcPr>
            <w:tcW w:w="6980" w:type="dxa"/>
            <w:shd w:val="clear" w:color="auto" w:fill="D9E2F3" w:themeFill="accent5" w:themeFillTint="33"/>
          </w:tcPr>
          <w:p w:rsidR="00386E9B" w:rsidRPr="00386E9B" w:rsidRDefault="00386E9B" w:rsidP="005D43C4">
            <w:pPr>
              <w:autoSpaceDE w:val="0"/>
              <w:autoSpaceDN w:val="0"/>
              <w:adjustRightInd w:val="0"/>
              <w:rPr>
                <w:rFonts w:ascii="Arial" w:hAnsi="Arial" w:cs="Arial"/>
                <w:color w:val="000000"/>
                <w:sz w:val="24"/>
                <w:szCs w:val="24"/>
              </w:rPr>
            </w:pPr>
          </w:p>
          <w:p w:rsidR="00386E9B" w:rsidRPr="00D64AE5" w:rsidRDefault="00CB4C35" w:rsidP="00D64AE5">
            <w:pPr>
              <w:autoSpaceDE w:val="0"/>
              <w:autoSpaceDN w:val="0"/>
              <w:adjustRightInd w:val="0"/>
              <w:rPr>
                <w:rFonts w:ascii="Arial" w:hAnsi="Arial" w:cs="Arial"/>
                <w:sz w:val="24"/>
                <w:szCs w:val="24"/>
              </w:rPr>
            </w:pPr>
            <w:r>
              <w:rPr>
                <w:rFonts w:ascii="Arial" w:hAnsi="Arial" w:cs="Arial"/>
                <w:sz w:val="24"/>
                <w:szCs w:val="24"/>
              </w:rPr>
              <w:t>Southern R</w:t>
            </w:r>
            <w:r w:rsidR="005335F9">
              <w:rPr>
                <w:rFonts w:ascii="Arial" w:hAnsi="Arial" w:cs="Arial"/>
                <w:sz w:val="24"/>
                <w:szCs w:val="24"/>
              </w:rPr>
              <w:t>egion</w:t>
            </w:r>
          </w:p>
          <w:p w:rsidR="00D64AE5" w:rsidRPr="00386E9B" w:rsidRDefault="00D64AE5" w:rsidP="00D64AE5">
            <w:pPr>
              <w:autoSpaceDE w:val="0"/>
              <w:autoSpaceDN w:val="0"/>
              <w:adjustRightInd w:val="0"/>
              <w:rPr>
                <w:rFonts w:ascii="Arial" w:hAnsi="Arial" w:cs="Arial"/>
                <w:b/>
                <w:sz w:val="24"/>
                <w:szCs w:val="24"/>
              </w:rPr>
            </w:pP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Reporting</w:t>
            </w: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Relationship</w:t>
            </w:r>
          </w:p>
        </w:tc>
        <w:tc>
          <w:tcPr>
            <w:tcW w:w="6980" w:type="dxa"/>
            <w:shd w:val="clear" w:color="auto" w:fill="D9E2F3" w:themeFill="accent5" w:themeFillTint="33"/>
          </w:tcPr>
          <w:p w:rsidR="00386E9B" w:rsidRPr="00386E9B" w:rsidRDefault="00386E9B" w:rsidP="005D43C4">
            <w:pPr>
              <w:autoSpaceDE w:val="0"/>
              <w:autoSpaceDN w:val="0"/>
              <w:adjustRightInd w:val="0"/>
              <w:rPr>
                <w:rFonts w:ascii="Arial" w:hAnsi="Arial" w:cs="Arial"/>
                <w:color w:val="000000"/>
                <w:sz w:val="24"/>
                <w:szCs w:val="24"/>
              </w:rPr>
            </w:pPr>
          </w:p>
          <w:p w:rsidR="00386E9B" w:rsidRPr="00E3709F" w:rsidRDefault="00E3709F" w:rsidP="00CB4C35">
            <w:pPr>
              <w:autoSpaceDE w:val="0"/>
              <w:autoSpaceDN w:val="0"/>
              <w:adjustRightInd w:val="0"/>
              <w:rPr>
                <w:rFonts w:ascii="Arial" w:hAnsi="Arial" w:cs="Arial"/>
                <w:sz w:val="24"/>
                <w:szCs w:val="24"/>
              </w:rPr>
            </w:pPr>
            <w:r w:rsidRPr="00E3709F">
              <w:rPr>
                <w:rFonts w:ascii="Arial" w:hAnsi="Arial" w:cs="Arial"/>
                <w:sz w:val="24"/>
                <w:szCs w:val="24"/>
              </w:rPr>
              <w:t xml:space="preserve"> </w:t>
            </w:r>
            <w:r w:rsidR="00CB4C35">
              <w:rPr>
                <w:rFonts w:ascii="Arial" w:hAnsi="Arial" w:cs="Arial"/>
                <w:sz w:val="24"/>
                <w:szCs w:val="24"/>
              </w:rPr>
              <w:t>Youth Team Leader</w:t>
            </w:r>
            <w:r w:rsidRPr="00E3709F">
              <w:rPr>
                <w:rFonts w:ascii="Arial" w:hAnsi="Arial" w:cs="Arial"/>
                <w:sz w:val="24"/>
                <w:szCs w:val="24"/>
              </w:rPr>
              <w:t xml:space="preserve"> </w:t>
            </w:r>
          </w:p>
        </w:tc>
      </w:tr>
      <w:tr w:rsidR="00386E9B" w:rsidRPr="00386E9B" w:rsidTr="007F7E6B">
        <w:tc>
          <w:tcPr>
            <w:tcW w:w="2037" w:type="dxa"/>
            <w:shd w:val="clear" w:color="auto" w:fill="A097C3"/>
          </w:tcPr>
          <w:p w:rsidR="00386E9B" w:rsidRPr="00386E9B" w:rsidRDefault="00386E9B" w:rsidP="005D43C4">
            <w:pPr>
              <w:rPr>
                <w:rFonts w:ascii="Arial" w:hAnsi="Arial" w:cs="Arial"/>
                <w:b/>
                <w:color w:val="FFFFFF" w:themeColor="background1"/>
                <w:sz w:val="28"/>
                <w:szCs w:val="28"/>
              </w:rPr>
            </w:pPr>
          </w:p>
          <w:p w:rsidR="00386E9B" w:rsidRPr="00386E9B" w:rsidRDefault="00386E9B" w:rsidP="005D43C4">
            <w:pPr>
              <w:rPr>
                <w:rFonts w:ascii="Arial" w:hAnsi="Arial" w:cs="Arial"/>
                <w:b/>
                <w:color w:val="FFFFFF" w:themeColor="background1"/>
                <w:sz w:val="28"/>
                <w:szCs w:val="28"/>
              </w:rPr>
            </w:pPr>
            <w:r w:rsidRPr="00386E9B">
              <w:rPr>
                <w:rFonts w:ascii="Arial" w:hAnsi="Arial" w:cs="Arial"/>
                <w:b/>
                <w:color w:val="FFFFFF" w:themeColor="background1"/>
                <w:sz w:val="28"/>
                <w:szCs w:val="28"/>
              </w:rPr>
              <w:t>Effective date</w:t>
            </w:r>
          </w:p>
        </w:tc>
        <w:tc>
          <w:tcPr>
            <w:tcW w:w="6980" w:type="dxa"/>
            <w:shd w:val="clear" w:color="auto" w:fill="D9E2F3" w:themeFill="accent5" w:themeFillTint="33"/>
          </w:tcPr>
          <w:p w:rsidR="00386E9B" w:rsidRPr="00386E9B" w:rsidRDefault="00386E9B" w:rsidP="005D43C4">
            <w:pPr>
              <w:rPr>
                <w:rFonts w:ascii="Arial" w:hAnsi="Arial" w:cs="Arial"/>
                <w:color w:val="000000"/>
                <w:sz w:val="24"/>
                <w:szCs w:val="24"/>
              </w:rPr>
            </w:pPr>
          </w:p>
          <w:p w:rsidR="00386E9B" w:rsidRPr="00D64AE5" w:rsidRDefault="00CB4C35" w:rsidP="00D64AE5">
            <w:pPr>
              <w:rPr>
                <w:rFonts w:ascii="Arial" w:hAnsi="Arial" w:cs="Arial"/>
                <w:sz w:val="24"/>
                <w:szCs w:val="24"/>
              </w:rPr>
            </w:pPr>
            <w:r>
              <w:rPr>
                <w:rFonts w:ascii="Arial" w:hAnsi="Arial" w:cs="Arial"/>
                <w:sz w:val="24"/>
                <w:szCs w:val="24"/>
              </w:rPr>
              <w:t>October</w:t>
            </w:r>
            <w:r w:rsidR="00862875">
              <w:rPr>
                <w:rFonts w:ascii="Arial" w:hAnsi="Arial" w:cs="Arial"/>
                <w:sz w:val="24"/>
                <w:szCs w:val="24"/>
              </w:rPr>
              <w:t xml:space="preserve"> 2019</w:t>
            </w:r>
          </w:p>
          <w:p w:rsidR="00D64AE5" w:rsidRPr="00386E9B" w:rsidRDefault="00D64AE5" w:rsidP="00D64AE5">
            <w:pPr>
              <w:rPr>
                <w:rFonts w:ascii="Arial" w:hAnsi="Arial" w:cs="Arial"/>
                <w:b/>
                <w:sz w:val="24"/>
                <w:szCs w:val="24"/>
              </w:rPr>
            </w:pPr>
          </w:p>
        </w:tc>
      </w:tr>
    </w:tbl>
    <w:p w:rsidR="00386E9B" w:rsidRPr="00E863C1" w:rsidRDefault="00386E9B" w:rsidP="00386E9B">
      <w:pPr>
        <w:rPr>
          <w:rFonts w:ascii="Arial" w:hAnsi="Arial" w:cs="Arial"/>
          <w:b/>
          <w:sz w:val="36"/>
          <w:szCs w:val="36"/>
        </w:rPr>
      </w:pPr>
    </w:p>
    <w:p w:rsidR="0028037E" w:rsidRDefault="0028037E">
      <w:r>
        <w:br w:type="page"/>
      </w:r>
    </w:p>
    <w:p w:rsidR="0028037E" w:rsidRDefault="0028037E"/>
    <w:p w:rsidR="00386E9B" w:rsidRDefault="00386E9B"/>
    <w:p w:rsidR="00386E9B" w:rsidRDefault="00386E9B"/>
    <w:p w:rsidR="00386E9B" w:rsidRDefault="00386E9B"/>
    <w:p w:rsidR="00386E9B" w:rsidRDefault="00386E9B"/>
    <w:p w:rsidR="00386E9B" w:rsidRPr="00386E9B" w:rsidRDefault="00386E9B" w:rsidP="00386E9B">
      <w:pPr>
        <w:rPr>
          <w:rFonts w:ascii="Arial" w:hAnsi="Arial" w:cs="Arial"/>
          <w:b/>
          <w:sz w:val="32"/>
          <w:szCs w:val="32"/>
        </w:rPr>
      </w:pPr>
      <w:r w:rsidRPr="00386E9B">
        <w:rPr>
          <w:rFonts w:ascii="Arial" w:hAnsi="Arial" w:cs="Arial"/>
          <w:b/>
          <w:sz w:val="32"/>
          <w:szCs w:val="32"/>
        </w:rPr>
        <w:t>Service Information</w:t>
      </w:r>
      <w:r w:rsidR="004B408B">
        <w:rPr>
          <w:rFonts w:ascii="Arial" w:hAnsi="Arial" w:cs="Arial"/>
          <w:b/>
          <w:sz w:val="32"/>
          <w:szCs w:val="32"/>
        </w:rPr>
        <w:t xml:space="preserve"> </w:t>
      </w:r>
    </w:p>
    <w:p w:rsidR="00D64AE5" w:rsidRDefault="00D64AE5" w:rsidP="00D64AE5">
      <w:pPr>
        <w:pStyle w:val="Default"/>
        <w:jc w:val="both"/>
        <w:rPr>
          <w:color w:val="auto"/>
          <w:sz w:val="22"/>
          <w:szCs w:val="22"/>
        </w:rPr>
      </w:pPr>
      <w:r w:rsidRPr="00D64AE5">
        <w:rPr>
          <w:color w:val="auto"/>
          <w:sz w:val="22"/>
          <w:szCs w:val="22"/>
        </w:rPr>
        <w:t>Anglicare Victoria’s Practition</w:t>
      </w:r>
      <w:r w:rsidR="00B40AAE">
        <w:rPr>
          <w:color w:val="auto"/>
          <w:sz w:val="22"/>
          <w:szCs w:val="22"/>
        </w:rPr>
        <w:t xml:space="preserve">er - Functional Family </w:t>
      </w:r>
      <w:r w:rsidR="004B408B">
        <w:rPr>
          <w:color w:val="auto"/>
          <w:sz w:val="22"/>
          <w:szCs w:val="22"/>
        </w:rPr>
        <w:t>T</w:t>
      </w:r>
      <w:r w:rsidR="00B40AAE">
        <w:rPr>
          <w:color w:val="auto"/>
          <w:sz w:val="22"/>
          <w:szCs w:val="22"/>
        </w:rPr>
        <w:t>herapy</w:t>
      </w:r>
      <w:r w:rsidR="004B408B">
        <w:rPr>
          <w:color w:val="auto"/>
          <w:sz w:val="22"/>
          <w:szCs w:val="22"/>
        </w:rPr>
        <w:t xml:space="preserve"> </w:t>
      </w:r>
      <w:r w:rsidRPr="00D64AE5">
        <w:rPr>
          <w:color w:val="auto"/>
          <w:sz w:val="22"/>
          <w:szCs w:val="22"/>
        </w:rPr>
        <w:t>(FFT®</w:t>
      </w:r>
      <w:r w:rsidR="004B408B">
        <w:rPr>
          <w:color w:val="auto"/>
          <w:sz w:val="22"/>
          <w:szCs w:val="22"/>
        </w:rPr>
        <w:t>)</w:t>
      </w:r>
      <w:r w:rsidRPr="00D64AE5">
        <w:rPr>
          <w:color w:val="auto"/>
          <w:sz w:val="22"/>
          <w:szCs w:val="22"/>
        </w:rPr>
        <w:t xml:space="preserve"> role, is a newly created role as part of the introduction of the FFT® model. This model will strengthen the benefit of services to young people</w:t>
      </w:r>
      <w:r w:rsidR="00CB4C35">
        <w:rPr>
          <w:color w:val="auto"/>
          <w:sz w:val="22"/>
          <w:szCs w:val="22"/>
        </w:rPr>
        <w:t xml:space="preserve"> and their families</w:t>
      </w:r>
      <w:r w:rsidR="00A34AD9">
        <w:rPr>
          <w:color w:val="auto"/>
          <w:sz w:val="22"/>
          <w:szCs w:val="22"/>
        </w:rPr>
        <w:t>.</w:t>
      </w:r>
    </w:p>
    <w:p w:rsidR="00D64AE5" w:rsidRDefault="00D64AE5" w:rsidP="00D64AE5">
      <w:pPr>
        <w:pStyle w:val="Default"/>
        <w:jc w:val="both"/>
        <w:rPr>
          <w:color w:val="auto"/>
          <w:sz w:val="22"/>
          <w:szCs w:val="22"/>
        </w:rPr>
      </w:pPr>
    </w:p>
    <w:p w:rsidR="00A34AD9" w:rsidRPr="00A34AD9" w:rsidRDefault="00A34AD9" w:rsidP="00A34AD9">
      <w:pPr>
        <w:rPr>
          <w:rFonts w:ascii="Arial" w:hAnsi="Arial" w:cs="Arial"/>
        </w:rPr>
      </w:pPr>
      <w:r w:rsidRPr="00A34AD9">
        <w:rPr>
          <w:rFonts w:ascii="Arial" w:hAnsi="Arial" w:cs="Arial"/>
        </w:rPr>
        <w:t xml:space="preserve">Functional Family Therapy is </w:t>
      </w:r>
      <w:r w:rsidRPr="00A34AD9">
        <w:rPr>
          <w:rFonts w:ascii="Arial" w:hAnsi="Arial" w:cs="Arial"/>
          <w:shd w:val="clear" w:color="auto" w:fill="FFFFFF"/>
        </w:rPr>
        <w:t xml:space="preserve">a short-term, evidence based intervention program with an average of 12 to 14 sessions over three to five months. FFT works primarily with </w:t>
      </w:r>
      <w:r w:rsidR="00167AB7">
        <w:rPr>
          <w:rFonts w:ascii="Arial" w:hAnsi="Arial" w:cs="Arial"/>
          <w:shd w:val="clear" w:color="auto" w:fill="FFFFFF"/>
        </w:rPr>
        <w:t xml:space="preserve">young people aged </w:t>
      </w:r>
      <w:r w:rsidRPr="00A34AD9">
        <w:rPr>
          <w:rFonts w:ascii="Arial" w:hAnsi="Arial" w:cs="Arial"/>
          <w:shd w:val="clear" w:color="auto" w:fill="FFFFFF"/>
        </w:rPr>
        <w:t xml:space="preserve">11 to </w:t>
      </w:r>
      <w:r w:rsidR="00167AB7">
        <w:rPr>
          <w:rFonts w:ascii="Arial" w:hAnsi="Arial" w:cs="Arial"/>
          <w:shd w:val="clear" w:color="auto" w:fill="FFFFFF"/>
        </w:rPr>
        <w:t xml:space="preserve">17 years who are referred by </w:t>
      </w:r>
      <w:r w:rsidRPr="00A34AD9">
        <w:rPr>
          <w:rFonts w:ascii="Arial" w:hAnsi="Arial" w:cs="Arial"/>
          <w:shd w:val="clear" w:color="auto" w:fill="FFFFFF"/>
        </w:rPr>
        <w:t>Youth Justice</w:t>
      </w:r>
      <w:r w:rsidR="00CB4C35">
        <w:rPr>
          <w:rFonts w:ascii="Arial" w:hAnsi="Arial" w:cs="Arial"/>
          <w:shd w:val="clear" w:color="auto" w:fill="FFFFFF"/>
        </w:rPr>
        <w:t>, Child Protection and other Youth focused services</w:t>
      </w:r>
      <w:r w:rsidRPr="00A34AD9">
        <w:rPr>
          <w:rFonts w:ascii="Arial" w:hAnsi="Arial" w:cs="Arial"/>
          <w:shd w:val="clear" w:color="auto" w:fill="FFFFFF"/>
        </w:rPr>
        <w:t>.</w:t>
      </w:r>
      <w:r w:rsidRPr="00A34AD9">
        <w:rPr>
          <w:rFonts w:ascii="Arial" w:hAnsi="Arial" w:cs="Arial"/>
        </w:rPr>
        <w:t xml:space="preserve"> Our organisation will be delivering </w:t>
      </w:r>
      <w:r w:rsidR="00E3709F">
        <w:rPr>
          <w:rFonts w:ascii="Arial" w:hAnsi="Arial" w:cs="Arial"/>
        </w:rPr>
        <w:t xml:space="preserve">one </w:t>
      </w:r>
      <w:r w:rsidRPr="00A34AD9">
        <w:rPr>
          <w:rFonts w:ascii="Arial" w:hAnsi="Arial" w:cs="Arial"/>
        </w:rPr>
        <w:t xml:space="preserve">team </w:t>
      </w:r>
      <w:r w:rsidR="00E3709F">
        <w:rPr>
          <w:rFonts w:ascii="Arial" w:hAnsi="Arial" w:cs="Arial"/>
        </w:rPr>
        <w:t xml:space="preserve">based in </w:t>
      </w:r>
      <w:r w:rsidR="00CB4C35">
        <w:rPr>
          <w:rFonts w:ascii="Arial" w:hAnsi="Arial" w:cs="Arial"/>
        </w:rPr>
        <w:t>Frankston</w:t>
      </w:r>
      <w:r w:rsidR="00E3709F">
        <w:rPr>
          <w:rFonts w:ascii="Arial" w:hAnsi="Arial" w:cs="Arial"/>
        </w:rPr>
        <w:t xml:space="preserve"> covering </w:t>
      </w:r>
      <w:r w:rsidR="00CB4C35">
        <w:rPr>
          <w:rFonts w:ascii="Arial" w:hAnsi="Arial" w:cs="Arial"/>
        </w:rPr>
        <w:t>the Bayside Peninsula and Southern</w:t>
      </w:r>
      <w:r w:rsidR="00E3709F">
        <w:rPr>
          <w:rFonts w:ascii="Arial" w:hAnsi="Arial" w:cs="Arial"/>
        </w:rPr>
        <w:t xml:space="preserve"> areas of Melbourne.</w:t>
      </w:r>
    </w:p>
    <w:p w:rsidR="00D64AE5" w:rsidRDefault="00D64AE5" w:rsidP="00D64AE5">
      <w:pPr>
        <w:pStyle w:val="Default"/>
        <w:jc w:val="both"/>
        <w:rPr>
          <w:color w:val="auto"/>
          <w:sz w:val="22"/>
          <w:szCs w:val="22"/>
        </w:rPr>
      </w:pPr>
    </w:p>
    <w:p w:rsidR="00D64AE5" w:rsidRDefault="00D64AE5" w:rsidP="00D64AE5">
      <w:pPr>
        <w:pStyle w:val="Default"/>
        <w:jc w:val="both"/>
        <w:rPr>
          <w:color w:val="auto"/>
          <w:sz w:val="22"/>
          <w:szCs w:val="22"/>
        </w:rPr>
      </w:pPr>
      <w:r w:rsidRPr="00D64AE5">
        <w:rPr>
          <w:color w:val="auto"/>
          <w:sz w:val="22"/>
          <w:szCs w:val="22"/>
        </w:rPr>
        <w:t xml:space="preserve">Evidence based services are internationally recognised as having the highest level of research validating the beneficial outcomes for clients. They are characterised by a clearly articulated theory, comprehensive employee training manuals, model adherence measures and on-going quality assurance systems. </w:t>
      </w:r>
    </w:p>
    <w:p w:rsidR="00D64AE5" w:rsidRDefault="00D64AE5" w:rsidP="00D64AE5">
      <w:pPr>
        <w:pStyle w:val="Default"/>
        <w:jc w:val="both"/>
        <w:rPr>
          <w:color w:val="auto"/>
          <w:sz w:val="22"/>
          <w:szCs w:val="22"/>
        </w:rPr>
      </w:pPr>
    </w:p>
    <w:p w:rsidR="00D64AE5" w:rsidRDefault="00D64AE5" w:rsidP="00D64AE5">
      <w:pPr>
        <w:pStyle w:val="Default"/>
        <w:jc w:val="both"/>
        <w:rPr>
          <w:color w:val="auto"/>
          <w:sz w:val="22"/>
          <w:szCs w:val="22"/>
        </w:rPr>
      </w:pPr>
      <w:r w:rsidRPr="00D64AE5">
        <w:rPr>
          <w:color w:val="auto"/>
          <w:sz w:val="22"/>
          <w:szCs w:val="22"/>
        </w:rPr>
        <w:t>You will receive direct training and coaching from FFT LLC helping you to become skilled in the model.</w:t>
      </w:r>
    </w:p>
    <w:p w:rsidR="00D64AE5" w:rsidRDefault="00D64AE5" w:rsidP="00386E9B">
      <w:pPr>
        <w:pStyle w:val="Default"/>
        <w:rPr>
          <w:b/>
          <w:color w:val="auto"/>
          <w:sz w:val="32"/>
          <w:szCs w:val="32"/>
        </w:rPr>
      </w:pPr>
    </w:p>
    <w:p w:rsidR="00386E9B" w:rsidRDefault="00386E9B" w:rsidP="00386E9B">
      <w:pPr>
        <w:pStyle w:val="Default"/>
        <w:rPr>
          <w:b/>
          <w:color w:val="auto"/>
          <w:sz w:val="32"/>
          <w:szCs w:val="32"/>
        </w:rPr>
      </w:pPr>
      <w:r w:rsidRPr="00386E9B">
        <w:rPr>
          <w:b/>
          <w:color w:val="auto"/>
          <w:sz w:val="32"/>
          <w:szCs w:val="32"/>
        </w:rPr>
        <w:t>Position Purpose</w:t>
      </w:r>
    </w:p>
    <w:p w:rsidR="007F7E6B" w:rsidRDefault="007F7E6B" w:rsidP="00386E9B">
      <w:pPr>
        <w:pStyle w:val="Default"/>
        <w:rPr>
          <w:color w:val="auto"/>
          <w:sz w:val="22"/>
          <w:szCs w:val="22"/>
        </w:rPr>
      </w:pPr>
    </w:p>
    <w:p w:rsidR="00D64AE5" w:rsidRDefault="00D64AE5" w:rsidP="00D64AE5">
      <w:pPr>
        <w:pStyle w:val="Default"/>
        <w:rPr>
          <w:color w:val="auto"/>
          <w:sz w:val="22"/>
          <w:szCs w:val="22"/>
        </w:rPr>
      </w:pPr>
      <w:r>
        <w:rPr>
          <w:color w:val="auto"/>
          <w:sz w:val="22"/>
          <w:szCs w:val="22"/>
        </w:rPr>
        <w:t xml:space="preserve">The </w:t>
      </w:r>
      <w:r w:rsidRPr="00D64AE5">
        <w:rPr>
          <w:color w:val="auto"/>
          <w:sz w:val="22"/>
          <w:szCs w:val="22"/>
        </w:rPr>
        <w:t xml:space="preserve">Practitioner </w:t>
      </w:r>
      <w:r>
        <w:rPr>
          <w:color w:val="auto"/>
          <w:sz w:val="22"/>
          <w:szCs w:val="22"/>
        </w:rPr>
        <w:t>-</w:t>
      </w:r>
      <w:r w:rsidRPr="00D64AE5">
        <w:rPr>
          <w:color w:val="auto"/>
          <w:sz w:val="22"/>
          <w:szCs w:val="22"/>
        </w:rPr>
        <w:t xml:space="preserve">FFT® </w:t>
      </w:r>
      <w:r>
        <w:rPr>
          <w:color w:val="auto"/>
          <w:sz w:val="22"/>
          <w:szCs w:val="22"/>
        </w:rPr>
        <w:t xml:space="preserve">is </w:t>
      </w:r>
      <w:r w:rsidRPr="00D64AE5">
        <w:rPr>
          <w:color w:val="auto"/>
          <w:sz w:val="22"/>
          <w:szCs w:val="22"/>
        </w:rPr>
        <w:t>required to:</w:t>
      </w:r>
    </w:p>
    <w:p w:rsidR="00D64AE5" w:rsidRPr="00D64AE5" w:rsidRDefault="00D64AE5" w:rsidP="00D64AE5">
      <w:pPr>
        <w:pStyle w:val="Default"/>
        <w:rPr>
          <w:color w:val="auto"/>
          <w:sz w:val="22"/>
          <w:szCs w:val="22"/>
        </w:rPr>
      </w:pPr>
    </w:p>
    <w:p w:rsidR="00D64AE5" w:rsidRDefault="00D64AE5" w:rsidP="00F7509E">
      <w:pPr>
        <w:pStyle w:val="Default"/>
        <w:numPr>
          <w:ilvl w:val="0"/>
          <w:numId w:val="15"/>
        </w:numPr>
        <w:rPr>
          <w:color w:val="auto"/>
          <w:sz w:val="22"/>
          <w:szCs w:val="22"/>
        </w:rPr>
      </w:pPr>
      <w:r w:rsidRPr="00D64AE5">
        <w:rPr>
          <w:color w:val="auto"/>
          <w:sz w:val="22"/>
          <w:szCs w:val="22"/>
        </w:rPr>
        <w:t>Participate in all model program training, supervision and consultation activities.</w:t>
      </w:r>
    </w:p>
    <w:p w:rsidR="00F7509E" w:rsidRDefault="00F7509E" w:rsidP="00F7509E">
      <w:pPr>
        <w:pStyle w:val="Default"/>
        <w:ind w:left="360"/>
        <w:rPr>
          <w:color w:val="auto"/>
          <w:sz w:val="22"/>
          <w:szCs w:val="22"/>
        </w:rPr>
      </w:pPr>
    </w:p>
    <w:p w:rsidR="00F7509E" w:rsidRDefault="00F7509E" w:rsidP="00F7509E">
      <w:pPr>
        <w:pStyle w:val="Default"/>
        <w:numPr>
          <w:ilvl w:val="0"/>
          <w:numId w:val="15"/>
        </w:numPr>
        <w:rPr>
          <w:color w:val="auto"/>
          <w:sz w:val="22"/>
          <w:szCs w:val="22"/>
        </w:rPr>
      </w:pPr>
      <w:r>
        <w:rPr>
          <w:color w:val="auto"/>
          <w:sz w:val="22"/>
          <w:szCs w:val="22"/>
        </w:rPr>
        <w:t>Gain accreditation in the FFT model &amp; ensure your practice adheres to model fidelity</w:t>
      </w:r>
    </w:p>
    <w:p w:rsidR="005113B9" w:rsidRDefault="005113B9" w:rsidP="00F7509E">
      <w:pPr>
        <w:pStyle w:val="Default"/>
        <w:rPr>
          <w:color w:val="auto"/>
          <w:sz w:val="22"/>
          <w:szCs w:val="22"/>
        </w:rPr>
      </w:pPr>
    </w:p>
    <w:p w:rsidR="005113B9" w:rsidRDefault="005113B9" w:rsidP="00F7509E">
      <w:pPr>
        <w:pStyle w:val="Default"/>
        <w:numPr>
          <w:ilvl w:val="0"/>
          <w:numId w:val="15"/>
        </w:numPr>
        <w:rPr>
          <w:color w:val="auto"/>
          <w:sz w:val="22"/>
          <w:szCs w:val="22"/>
        </w:rPr>
      </w:pPr>
      <w:r>
        <w:rPr>
          <w:color w:val="auto"/>
          <w:sz w:val="22"/>
          <w:szCs w:val="22"/>
        </w:rPr>
        <w:t>Complete all case notes</w:t>
      </w:r>
      <w:r w:rsidR="003E1B97">
        <w:rPr>
          <w:color w:val="auto"/>
          <w:sz w:val="22"/>
          <w:szCs w:val="22"/>
        </w:rPr>
        <w:t xml:space="preserve">, reporting requirements </w:t>
      </w:r>
      <w:r>
        <w:rPr>
          <w:color w:val="auto"/>
          <w:sz w:val="22"/>
          <w:szCs w:val="22"/>
        </w:rPr>
        <w:t xml:space="preserve"> and data entry as required</w:t>
      </w:r>
    </w:p>
    <w:p w:rsidR="00D64AE5" w:rsidRPr="00D64AE5" w:rsidRDefault="00D64AE5" w:rsidP="00F7509E">
      <w:pPr>
        <w:pStyle w:val="Default"/>
        <w:rPr>
          <w:color w:val="auto"/>
          <w:sz w:val="22"/>
          <w:szCs w:val="22"/>
        </w:rPr>
      </w:pPr>
    </w:p>
    <w:p w:rsidR="00D64AE5" w:rsidRDefault="00D64AE5" w:rsidP="00F7509E">
      <w:pPr>
        <w:pStyle w:val="Default"/>
        <w:numPr>
          <w:ilvl w:val="0"/>
          <w:numId w:val="15"/>
        </w:numPr>
        <w:rPr>
          <w:color w:val="auto"/>
          <w:sz w:val="22"/>
          <w:szCs w:val="22"/>
        </w:rPr>
      </w:pPr>
      <w:r w:rsidRPr="00D64AE5">
        <w:rPr>
          <w:color w:val="auto"/>
          <w:sz w:val="22"/>
          <w:szCs w:val="22"/>
        </w:rPr>
        <w:t>Provide direct engagement and motivation using methods compatible with principles and practices of the specified model.</w:t>
      </w:r>
    </w:p>
    <w:p w:rsidR="00D64AE5" w:rsidRDefault="00D64AE5" w:rsidP="00386E9B">
      <w:pPr>
        <w:pStyle w:val="Default"/>
        <w:rPr>
          <w:color w:val="auto"/>
          <w:sz w:val="22"/>
          <w:szCs w:val="22"/>
        </w:rPr>
      </w:pPr>
    </w:p>
    <w:p w:rsidR="00386E9B" w:rsidRPr="001E5751" w:rsidRDefault="00386E9B" w:rsidP="00386E9B">
      <w:pPr>
        <w:pStyle w:val="Default"/>
        <w:ind w:left="360"/>
        <w:rPr>
          <w:color w:val="auto"/>
          <w:sz w:val="22"/>
          <w:szCs w:val="22"/>
        </w:rPr>
      </w:pPr>
    </w:p>
    <w:p w:rsidR="00386E9B" w:rsidRPr="00386E9B" w:rsidRDefault="00386E9B" w:rsidP="00386E9B">
      <w:pPr>
        <w:jc w:val="both"/>
        <w:rPr>
          <w:rFonts w:ascii="Arial" w:hAnsi="Arial" w:cs="Arial"/>
        </w:rPr>
      </w:pPr>
    </w:p>
    <w:p w:rsidR="0028037E" w:rsidRDefault="0028037E">
      <w:r>
        <w:br w:type="page"/>
      </w:r>
    </w:p>
    <w:p w:rsidR="00A82496" w:rsidRDefault="00BE5133"/>
    <w:p w:rsidR="00386E9B" w:rsidRDefault="00386E9B"/>
    <w:p w:rsidR="00386E9B" w:rsidRDefault="00386E9B"/>
    <w:p w:rsidR="00386E9B" w:rsidRDefault="00386E9B"/>
    <w:p w:rsidR="00386E9B" w:rsidRPr="00386E9B" w:rsidRDefault="00386E9B" w:rsidP="00386E9B">
      <w:pPr>
        <w:rPr>
          <w:rFonts w:ascii="Arial" w:hAnsi="Arial" w:cs="Arial"/>
          <w:b/>
          <w:sz w:val="32"/>
          <w:szCs w:val="32"/>
        </w:rPr>
      </w:pPr>
      <w:r w:rsidRPr="00386E9B">
        <w:rPr>
          <w:rFonts w:ascii="Arial" w:hAnsi="Arial" w:cs="Arial"/>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p w:rsidR="00386E9B" w:rsidRPr="001E5751" w:rsidRDefault="00386E9B" w:rsidP="00386E9B">
      <w:pPr>
        <w:pStyle w:val="Default"/>
        <w:rPr>
          <w:sz w:val="22"/>
          <w:szCs w:val="22"/>
        </w:rPr>
      </w:pPr>
    </w:p>
    <w:tbl>
      <w:tblPr>
        <w:tblStyle w:val="TableGrid"/>
        <w:tblW w:w="0" w:type="auto"/>
        <w:tblLook w:val="04A0" w:firstRow="1" w:lastRow="0" w:firstColumn="1" w:lastColumn="0" w:noHBand="0" w:noVBand="1"/>
      </w:tblPr>
      <w:tblGrid>
        <w:gridCol w:w="846"/>
        <w:gridCol w:w="7713"/>
      </w:tblGrid>
      <w:tr w:rsidR="00386E9B" w:rsidRPr="001E5751" w:rsidTr="005D43C4">
        <w:tc>
          <w:tcPr>
            <w:tcW w:w="846" w:type="dxa"/>
            <w:shd w:val="clear" w:color="auto" w:fill="A097C3"/>
          </w:tcPr>
          <w:p w:rsidR="00386E9B" w:rsidRPr="001E5751" w:rsidRDefault="00386E9B" w:rsidP="005D43C4">
            <w:pPr>
              <w:rPr>
                <w:rFonts w:ascii="Arial" w:hAnsi="Arial" w:cs="Arial"/>
                <w:b/>
                <w:color w:val="FFFFFF" w:themeColor="background1"/>
                <w:sz w:val="22"/>
                <w:szCs w:val="22"/>
              </w:rPr>
            </w:pPr>
          </w:p>
          <w:p w:rsidR="00386E9B" w:rsidRPr="001E5751" w:rsidRDefault="00386E9B" w:rsidP="00386E9B">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386E9B" w:rsidRDefault="00386E9B" w:rsidP="005D43C4">
            <w:pPr>
              <w:pStyle w:val="Default"/>
              <w:rPr>
                <w:b/>
                <w:sz w:val="22"/>
                <w:szCs w:val="22"/>
              </w:rPr>
            </w:pPr>
          </w:p>
          <w:p w:rsidR="00FB3FCA" w:rsidRPr="00FB3FCA" w:rsidRDefault="00FB3FCA" w:rsidP="005D43C4">
            <w:pPr>
              <w:pStyle w:val="Default"/>
              <w:rPr>
                <w:sz w:val="22"/>
                <w:szCs w:val="22"/>
              </w:rPr>
            </w:pPr>
            <w:r w:rsidRPr="00FB3FCA">
              <w:rPr>
                <w:sz w:val="22"/>
                <w:szCs w:val="22"/>
              </w:rPr>
              <w:t>Conduct assessment including review of referral information, identifying and engaging key participants, identifying systemic risks and protective factors and developing an analysis of the problem behaviours within the ecological context and model process</w:t>
            </w:r>
            <w:r>
              <w:rPr>
                <w:sz w:val="22"/>
                <w:szCs w:val="22"/>
              </w:rPr>
              <w:t>.</w:t>
            </w:r>
          </w:p>
          <w:p w:rsidR="00FB3FCA" w:rsidRPr="001E5751" w:rsidRDefault="00FB3FCA" w:rsidP="005D43C4">
            <w:pPr>
              <w:pStyle w:val="Default"/>
              <w:rPr>
                <w:b/>
                <w:sz w:val="22"/>
                <w:szCs w:val="22"/>
              </w:rPr>
            </w:pPr>
          </w:p>
        </w:tc>
      </w:tr>
      <w:tr w:rsidR="00386E9B" w:rsidRPr="001E5751" w:rsidTr="005D43C4">
        <w:tc>
          <w:tcPr>
            <w:tcW w:w="846" w:type="dxa"/>
            <w:shd w:val="clear" w:color="auto" w:fill="A097C3"/>
          </w:tcPr>
          <w:p w:rsidR="00386E9B" w:rsidRPr="001E5751" w:rsidRDefault="00386E9B" w:rsidP="005D43C4">
            <w:pPr>
              <w:jc w:val="center"/>
              <w:rPr>
                <w:rFonts w:ascii="Arial" w:hAnsi="Arial" w:cs="Arial"/>
                <w:b/>
                <w:color w:val="FFFFFF" w:themeColor="background1"/>
                <w:sz w:val="22"/>
                <w:szCs w:val="22"/>
              </w:rPr>
            </w:pPr>
          </w:p>
          <w:p w:rsidR="00386E9B" w:rsidRPr="001E5751" w:rsidRDefault="00386E9B" w:rsidP="00386E9B">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386E9B" w:rsidRDefault="00386E9B" w:rsidP="005D43C4">
            <w:pPr>
              <w:jc w:val="both"/>
              <w:rPr>
                <w:rFonts w:ascii="Arial" w:hAnsi="Arial" w:cs="Arial"/>
                <w:sz w:val="22"/>
                <w:szCs w:val="22"/>
              </w:rPr>
            </w:pPr>
          </w:p>
          <w:p w:rsidR="00FB3FCA" w:rsidRDefault="00FB3FCA" w:rsidP="005D43C4">
            <w:pPr>
              <w:jc w:val="both"/>
              <w:rPr>
                <w:rFonts w:ascii="Arial" w:hAnsi="Arial" w:cs="Arial"/>
                <w:sz w:val="22"/>
                <w:szCs w:val="22"/>
              </w:rPr>
            </w:pPr>
            <w:r w:rsidRPr="00FB3FCA">
              <w:rPr>
                <w:rFonts w:ascii="Arial" w:hAnsi="Arial" w:cs="Arial"/>
                <w:sz w:val="22"/>
                <w:szCs w:val="22"/>
              </w:rPr>
              <w:t xml:space="preserve">Create written phase </w:t>
            </w:r>
            <w:r>
              <w:rPr>
                <w:rFonts w:ascii="Arial" w:hAnsi="Arial" w:cs="Arial"/>
                <w:sz w:val="22"/>
                <w:szCs w:val="22"/>
              </w:rPr>
              <w:t xml:space="preserve">and session </w:t>
            </w:r>
            <w:r w:rsidRPr="00FB3FCA">
              <w:rPr>
                <w:rFonts w:ascii="Arial" w:hAnsi="Arial" w:cs="Arial"/>
                <w:sz w:val="22"/>
                <w:szCs w:val="22"/>
              </w:rPr>
              <w:t>plans tailored to the specific family (including linking plans to safety risks and referral behaviours and anticipated session frequency during phase).</w:t>
            </w:r>
          </w:p>
          <w:p w:rsidR="00FB3FCA" w:rsidRPr="001E5751" w:rsidRDefault="00FB3FCA" w:rsidP="005D43C4">
            <w:pPr>
              <w:jc w:val="both"/>
              <w:rPr>
                <w:rFonts w:ascii="Arial" w:hAnsi="Arial" w:cs="Arial"/>
                <w:sz w:val="22"/>
                <w:szCs w:val="22"/>
              </w:rPr>
            </w:pPr>
          </w:p>
        </w:tc>
      </w:tr>
      <w:tr w:rsidR="00386E9B" w:rsidRPr="001E5751" w:rsidTr="005D43C4">
        <w:tc>
          <w:tcPr>
            <w:tcW w:w="846" w:type="dxa"/>
            <w:shd w:val="clear" w:color="auto" w:fill="A097C3"/>
          </w:tcPr>
          <w:p w:rsidR="00386E9B" w:rsidRPr="001E5751" w:rsidRDefault="00386E9B" w:rsidP="005D43C4">
            <w:pPr>
              <w:rPr>
                <w:rFonts w:ascii="Arial" w:hAnsi="Arial" w:cs="Arial"/>
                <w:b/>
                <w:color w:val="FFFFFF" w:themeColor="background1"/>
                <w:sz w:val="22"/>
                <w:szCs w:val="22"/>
              </w:rPr>
            </w:pPr>
          </w:p>
          <w:p w:rsidR="00386E9B" w:rsidRPr="001E5751" w:rsidRDefault="00386E9B" w:rsidP="00386E9B">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386E9B" w:rsidRDefault="00386E9B" w:rsidP="005D43C4">
            <w:pPr>
              <w:autoSpaceDE w:val="0"/>
              <w:autoSpaceDN w:val="0"/>
              <w:adjustRightInd w:val="0"/>
              <w:jc w:val="both"/>
              <w:rPr>
                <w:rFonts w:ascii="Arial" w:hAnsi="Arial" w:cs="Arial"/>
                <w:sz w:val="22"/>
                <w:szCs w:val="22"/>
              </w:rPr>
            </w:pPr>
          </w:p>
          <w:p w:rsidR="00FB3FCA" w:rsidRDefault="00FB3FCA" w:rsidP="00FB3FCA">
            <w:pPr>
              <w:autoSpaceDE w:val="0"/>
              <w:autoSpaceDN w:val="0"/>
              <w:adjustRightInd w:val="0"/>
              <w:jc w:val="both"/>
              <w:rPr>
                <w:rFonts w:ascii="Arial" w:hAnsi="Arial" w:cs="Arial"/>
                <w:sz w:val="22"/>
                <w:szCs w:val="22"/>
              </w:rPr>
            </w:pPr>
            <w:r w:rsidRPr="00FB3FCA">
              <w:rPr>
                <w:rFonts w:ascii="Arial" w:hAnsi="Arial" w:cs="Arial"/>
                <w:sz w:val="22"/>
                <w:szCs w:val="22"/>
              </w:rPr>
              <w:t>Work with the team to identify and overcome barriers to engagement/motivation in families who have been referred</w:t>
            </w:r>
            <w:r w:rsidR="00B73333">
              <w:rPr>
                <w:rFonts w:ascii="Arial" w:hAnsi="Arial" w:cs="Arial"/>
                <w:sz w:val="22"/>
                <w:szCs w:val="22"/>
              </w:rPr>
              <w:t xml:space="preserve"> to the service.</w:t>
            </w:r>
          </w:p>
          <w:p w:rsidR="00FB3FCA" w:rsidRPr="001E5751" w:rsidRDefault="00FB3FCA" w:rsidP="00FB3FCA">
            <w:pPr>
              <w:autoSpaceDE w:val="0"/>
              <w:autoSpaceDN w:val="0"/>
              <w:adjustRightInd w:val="0"/>
              <w:jc w:val="both"/>
              <w:rPr>
                <w:rFonts w:ascii="Arial" w:hAnsi="Arial" w:cs="Arial"/>
                <w:sz w:val="22"/>
                <w:szCs w:val="22"/>
              </w:rPr>
            </w:pPr>
          </w:p>
        </w:tc>
      </w:tr>
      <w:tr w:rsidR="00386E9B" w:rsidRPr="001E5751" w:rsidTr="005D43C4">
        <w:tc>
          <w:tcPr>
            <w:tcW w:w="846" w:type="dxa"/>
            <w:shd w:val="clear" w:color="auto" w:fill="A097C3"/>
          </w:tcPr>
          <w:p w:rsidR="00386E9B" w:rsidRPr="001E5751" w:rsidRDefault="00386E9B" w:rsidP="005D43C4">
            <w:pPr>
              <w:rPr>
                <w:rFonts w:ascii="Arial" w:hAnsi="Arial" w:cs="Arial"/>
                <w:b/>
                <w:color w:val="FFFFFF" w:themeColor="background1"/>
                <w:sz w:val="22"/>
                <w:szCs w:val="22"/>
              </w:rPr>
            </w:pPr>
          </w:p>
          <w:p w:rsidR="00386E9B" w:rsidRPr="001E5751" w:rsidRDefault="00386E9B" w:rsidP="00386E9B">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B40AAE" w:rsidRDefault="00B40AAE" w:rsidP="00FB3FCA">
            <w:pPr>
              <w:autoSpaceDE w:val="0"/>
              <w:autoSpaceDN w:val="0"/>
              <w:adjustRightInd w:val="0"/>
              <w:jc w:val="both"/>
              <w:rPr>
                <w:rFonts w:ascii="Arial" w:hAnsi="Arial" w:cs="Arial"/>
                <w:sz w:val="22"/>
                <w:szCs w:val="22"/>
              </w:rPr>
            </w:pPr>
          </w:p>
          <w:p w:rsidR="00B40AAE" w:rsidRDefault="00B40AAE" w:rsidP="00B40AAE">
            <w:pPr>
              <w:rPr>
                <w:rFonts w:ascii="Arial" w:hAnsi="Arial" w:cs="Arial"/>
                <w:color w:val="1F497D"/>
              </w:rPr>
            </w:pPr>
            <w:r w:rsidRPr="00B40AAE">
              <w:rPr>
                <w:rFonts w:ascii="Arial" w:hAnsi="Arial" w:cs="Arial"/>
                <w:sz w:val="22"/>
                <w:szCs w:val="22"/>
              </w:rPr>
              <w:t>Participate in FFT coaching and be receptive to receiving and acting upon feedback</w:t>
            </w:r>
            <w:r>
              <w:rPr>
                <w:rFonts w:ascii="Arial" w:hAnsi="Arial" w:cs="Arial"/>
                <w:sz w:val="22"/>
                <w:szCs w:val="22"/>
              </w:rPr>
              <w:t>.</w:t>
            </w:r>
          </w:p>
          <w:p w:rsidR="00FB3FCA" w:rsidRPr="001E5751" w:rsidRDefault="00FB3FCA" w:rsidP="00FB3FCA">
            <w:pPr>
              <w:autoSpaceDE w:val="0"/>
              <w:autoSpaceDN w:val="0"/>
              <w:adjustRightInd w:val="0"/>
              <w:jc w:val="both"/>
              <w:rPr>
                <w:rFonts w:ascii="Arial" w:hAnsi="Arial" w:cs="Arial"/>
                <w:sz w:val="22"/>
                <w:szCs w:val="22"/>
              </w:rPr>
            </w:pPr>
          </w:p>
        </w:tc>
      </w:tr>
      <w:tr w:rsidR="00B40AAE" w:rsidRPr="001E5751" w:rsidTr="005D43C4">
        <w:tc>
          <w:tcPr>
            <w:tcW w:w="846" w:type="dxa"/>
            <w:shd w:val="clear" w:color="auto" w:fill="A097C3"/>
          </w:tcPr>
          <w:p w:rsidR="00B40AAE" w:rsidRPr="001E5751" w:rsidRDefault="00B40AAE" w:rsidP="00B40AAE">
            <w:pPr>
              <w:rPr>
                <w:rFonts w:ascii="Arial" w:hAnsi="Arial" w:cs="Arial"/>
                <w:b/>
                <w:color w:val="FFFFFF" w:themeColor="background1"/>
                <w:sz w:val="22"/>
                <w:szCs w:val="22"/>
              </w:rPr>
            </w:pPr>
          </w:p>
          <w:p w:rsidR="00B40AAE" w:rsidRPr="001E5751" w:rsidRDefault="00B40AAE" w:rsidP="00B40AAE">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B40AAE" w:rsidRDefault="00B40AAE" w:rsidP="00B40AAE">
            <w:pPr>
              <w:autoSpaceDE w:val="0"/>
              <w:autoSpaceDN w:val="0"/>
              <w:adjustRightInd w:val="0"/>
              <w:jc w:val="both"/>
              <w:rPr>
                <w:rFonts w:ascii="Arial" w:hAnsi="Arial" w:cs="Arial"/>
                <w:sz w:val="22"/>
                <w:szCs w:val="22"/>
              </w:rPr>
            </w:pPr>
          </w:p>
          <w:p w:rsidR="00B40AAE" w:rsidRDefault="00B40AAE" w:rsidP="00B40AAE">
            <w:pPr>
              <w:autoSpaceDE w:val="0"/>
              <w:autoSpaceDN w:val="0"/>
              <w:adjustRightInd w:val="0"/>
              <w:jc w:val="both"/>
              <w:rPr>
                <w:rFonts w:ascii="Arial" w:hAnsi="Arial" w:cs="Arial"/>
                <w:sz w:val="22"/>
                <w:szCs w:val="22"/>
              </w:rPr>
            </w:pPr>
            <w:r w:rsidRPr="00FB3FCA">
              <w:rPr>
                <w:rFonts w:ascii="Arial" w:hAnsi="Arial" w:cs="Arial"/>
                <w:sz w:val="22"/>
                <w:szCs w:val="22"/>
              </w:rPr>
              <w:t>Record and update outcomes and data management system</w:t>
            </w:r>
            <w:r>
              <w:rPr>
                <w:rFonts w:ascii="Arial" w:hAnsi="Arial" w:cs="Arial"/>
                <w:sz w:val="22"/>
                <w:szCs w:val="22"/>
              </w:rPr>
              <w:t xml:space="preserve">s to meet </w:t>
            </w:r>
            <w:r w:rsidRPr="00FB3FCA">
              <w:rPr>
                <w:rFonts w:ascii="Arial" w:hAnsi="Arial" w:cs="Arial"/>
                <w:sz w:val="22"/>
                <w:szCs w:val="22"/>
              </w:rPr>
              <w:t>guidelines and statutory requirements.</w:t>
            </w:r>
            <w:r>
              <w:rPr>
                <w:rFonts w:ascii="Arial" w:hAnsi="Arial" w:cs="Arial"/>
                <w:sz w:val="22"/>
                <w:szCs w:val="22"/>
              </w:rPr>
              <w:t xml:space="preserve"> </w:t>
            </w:r>
          </w:p>
          <w:p w:rsidR="00B40AAE" w:rsidRPr="001E5751" w:rsidRDefault="00B40AAE" w:rsidP="00B40AAE">
            <w:pPr>
              <w:autoSpaceDE w:val="0"/>
              <w:autoSpaceDN w:val="0"/>
              <w:adjustRightInd w:val="0"/>
              <w:jc w:val="both"/>
              <w:rPr>
                <w:rFonts w:ascii="Arial" w:hAnsi="Arial" w:cs="Arial"/>
                <w:sz w:val="22"/>
                <w:szCs w:val="22"/>
              </w:rPr>
            </w:pPr>
          </w:p>
        </w:tc>
      </w:tr>
      <w:tr w:rsidR="00B40AAE" w:rsidRPr="001E5751" w:rsidTr="005D43C4">
        <w:tc>
          <w:tcPr>
            <w:tcW w:w="846" w:type="dxa"/>
            <w:shd w:val="clear" w:color="auto" w:fill="A097C3"/>
          </w:tcPr>
          <w:p w:rsidR="00B40AAE" w:rsidRPr="001E5751" w:rsidRDefault="00B40AAE" w:rsidP="00B40AAE">
            <w:pPr>
              <w:rPr>
                <w:rFonts w:ascii="Arial" w:hAnsi="Arial" w:cs="Arial"/>
                <w:b/>
                <w:color w:val="FFFFFF" w:themeColor="background1"/>
                <w:sz w:val="22"/>
                <w:szCs w:val="22"/>
              </w:rPr>
            </w:pPr>
          </w:p>
          <w:p w:rsidR="00B40AAE" w:rsidRPr="001E5751" w:rsidRDefault="00B40AAE" w:rsidP="00B40AAE">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B40AAE" w:rsidRDefault="00B40AAE" w:rsidP="00B40AAE">
            <w:pPr>
              <w:jc w:val="both"/>
              <w:rPr>
                <w:rFonts w:ascii="Arial" w:hAnsi="Arial" w:cs="Arial"/>
                <w:sz w:val="22"/>
                <w:szCs w:val="22"/>
              </w:rPr>
            </w:pPr>
          </w:p>
          <w:p w:rsidR="00B40AAE" w:rsidRDefault="00B40AAE" w:rsidP="00B40AAE">
            <w:pPr>
              <w:jc w:val="both"/>
              <w:rPr>
                <w:rFonts w:ascii="Arial" w:hAnsi="Arial" w:cs="Arial"/>
                <w:sz w:val="22"/>
                <w:szCs w:val="22"/>
              </w:rPr>
            </w:pPr>
            <w:r w:rsidRPr="00FB3FCA">
              <w:rPr>
                <w:rFonts w:ascii="Arial" w:hAnsi="Arial" w:cs="Arial"/>
                <w:sz w:val="22"/>
                <w:szCs w:val="22"/>
              </w:rPr>
              <w:t xml:space="preserve">Work </w:t>
            </w:r>
            <w:r>
              <w:rPr>
                <w:rFonts w:ascii="Arial" w:hAnsi="Arial" w:cs="Arial"/>
                <w:sz w:val="22"/>
                <w:szCs w:val="22"/>
              </w:rPr>
              <w:t xml:space="preserve">with </w:t>
            </w:r>
            <w:r w:rsidRPr="00FB3FCA">
              <w:rPr>
                <w:rFonts w:ascii="Arial" w:hAnsi="Arial" w:cs="Arial"/>
                <w:sz w:val="22"/>
                <w:szCs w:val="22"/>
              </w:rPr>
              <w:t>relevant stakeholders to enable continual improvement to the design and implementation of our service delivery model to further extend our commitment to improving the lives of children, young people and their families.</w:t>
            </w:r>
          </w:p>
          <w:p w:rsidR="00B40AAE" w:rsidRPr="001E5751" w:rsidRDefault="00B40AAE" w:rsidP="00B40AAE">
            <w:pPr>
              <w:jc w:val="both"/>
              <w:rPr>
                <w:rFonts w:ascii="Arial" w:hAnsi="Arial" w:cs="Arial"/>
                <w:sz w:val="22"/>
                <w:szCs w:val="22"/>
              </w:rPr>
            </w:pPr>
          </w:p>
        </w:tc>
      </w:tr>
      <w:tr w:rsidR="00B40AAE" w:rsidRPr="001E5751" w:rsidTr="005D43C4">
        <w:tc>
          <w:tcPr>
            <w:tcW w:w="846" w:type="dxa"/>
            <w:shd w:val="clear" w:color="auto" w:fill="A097C3"/>
          </w:tcPr>
          <w:p w:rsidR="00B40AAE" w:rsidRPr="001E5751" w:rsidRDefault="00B40AAE" w:rsidP="00B40AAE">
            <w:pPr>
              <w:rPr>
                <w:rFonts w:ascii="Arial" w:hAnsi="Arial" w:cs="Arial"/>
                <w:b/>
                <w:color w:val="FFFFFF" w:themeColor="background1"/>
                <w:sz w:val="22"/>
                <w:szCs w:val="22"/>
              </w:rPr>
            </w:pPr>
          </w:p>
          <w:p w:rsidR="00B40AAE" w:rsidRPr="001E5751" w:rsidRDefault="00B40AAE" w:rsidP="00B40AAE">
            <w:pPr>
              <w:pStyle w:val="ListParagraph"/>
              <w:numPr>
                <w:ilvl w:val="0"/>
                <w:numId w:val="3"/>
              </w:numPr>
              <w:jc w:val="center"/>
              <w:rPr>
                <w:rFonts w:ascii="Arial" w:hAnsi="Arial" w:cs="Arial"/>
                <w:b/>
                <w:color w:val="FFFFFF" w:themeColor="background1"/>
                <w:sz w:val="22"/>
                <w:szCs w:val="22"/>
              </w:rPr>
            </w:pPr>
          </w:p>
        </w:tc>
        <w:tc>
          <w:tcPr>
            <w:tcW w:w="7713" w:type="dxa"/>
            <w:shd w:val="clear" w:color="auto" w:fill="D9E2F3" w:themeFill="accent5" w:themeFillTint="33"/>
          </w:tcPr>
          <w:p w:rsidR="00B40AAE" w:rsidRDefault="00B40AAE" w:rsidP="00B40AAE">
            <w:pPr>
              <w:autoSpaceDE w:val="0"/>
              <w:autoSpaceDN w:val="0"/>
              <w:adjustRightInd w:val="0"/>
              <w:jc w:val="both"/>
              <w:rPr>
                <w:rFonts w:ascii="Arial" w:hAnsi="Arial" w:cs="Arial"/>
                <w:sz w:val="22"/>
                <w:szCs w:val="22"/>
              </w:rPr>
            </w:pPr>
          </w:p>
          <w:p w:rsidR="00B40AAE" w:rsidRDefault="00B40AAE" w:rsidP="00B40AAE">
            <w:pPr>
              <w:autoSpaceDE w:val="0"/>
              <w:autoSpaceDN w:val="0"/>
              <w:adjustRightInd w:val="0"/>
              <w:jc w:val="both"/>
              <w:rPr>
                <w:rFonts w:ascii="Arial" w:hAnsi="Arial" w:cs="Arial"/>
                <w:sz w:val="22"/>
                <w:szCs w:val="22"/>
              </w:rPr>
            </w:pPr>
            <w:r w:rsidRPr="00D64AE5">
              <w:rPr>
                <w:rFonts w:ascii="Arial" w:hAnsi="Arial" w:cs="Arial"/>
                <w:sz w:val="22"/>
                <w:szCs w:val="22"/>
              </w:rPr>
              <w:t>Develop good working relationships with Aboriginal lead agencies to ensure cultural safety in our practice and good outcomes for aboriginal children and young people.</w:t>
            </w:r>
          </w:p>
          <w:p w:rsidR="00B40AAE" w:rsidRPr="001E5751" w:rsidRDefault="00B40AAE" w:rsidP="00B40AAE">
            <w:pPr>
              <w:autoSpaceDE w:val="0"/>
              <w:autoSpaceDN w:val="0"/>
              <w:adjustRightInd w:val="0"/>
              <w:jc w:val="both"/>
              <w:rPr>
                <w:rFonts w:ascii="Arial" w:hAnsi="Arial" w:cs="Arial"/>
                <w:sz w:val="22"/>
                <w:szCs w:val="22"/>
              </w:rPr>
            </w:pPr>
          </w:p>
        </w:tc>
      </w:tr>
      <w:tr w:rsidR="00B40AAE" w:rsidRPr="001E5751" w:rsidTr="005D43C4">
        <w:tc>
          <w:tcPr>
            <w:tcW w:w="846" w:type="dxa"/>
            <w:shd w:val="clear" w:color="auto" w:fill="A097C3"/>
          </w:tcPr>
          <w:p w:rsidR="00B40AAE" w:rsidRDefault="00B40AAE" w:rsidP="00B40AAE">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   </w:t>
            </w:r>
          </w:p>
          <w:p w:rsidR="00B40AAE" w:rsidRDefault="00B40AAE" w:rsidP="00B40AAE">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Pr="00FB3FCA">
              <w:rPr>
                <w:rFonts w:ascii="Arial" w:hAnsi="Arial" w:cs="Arial"/>
                <w:b/>
                <w:color w:val="FFFFFF" w:themeColor="background1"/>
                <w:sz w:val="22"/>
                <w:szCs w:val="22"/>
              </w:rPr>
              <w:t>8.</w:t>
            </w:r>
          </w:p>
          <w:p w:rsidR="00B40AAE" w:rsidRPr="00FB3FCA" w:rsidRDefault="00B40AAE" w:rsidP="00B40AAE">
            <w:pPr>
              <w:jc w:val="center"/>
              <w:rPr>
                <w:rFonts w:ascii="Arial" w:hAnsi="Arial" w:cs="Arial"/>
                <w:b/>
                <w:color w:val="FFFFFF" w:themeColor="background1"/>
                <w:sz w:val="22"/>
                <w:szCs w:val="22"/>
              </w:rPr>
            </w:pPr>
          </w:p>
        </w:tc>
        <w:tc>
          <w:tcPr>
            <w:tcW w:w="7713" w:type="dxa"/>
            <w:shd w:val="clear" w:color="auto" w:fill="D9E2F3" w:themeFill="accent5" w:themeFillTint="33"/>
          </w:tcPr>
          <w:p w:rsidR="00B40AAE" w:rsidRDefault="00B40AAE" w:rsidP="00B40AAE">
            <w:pPr>
              <w:autoSpaceDE w:val="0"/>
              <w:autoSpaceDN w:val="0"/>
              <w:adjustRightInd w:val="0"/>
              <w:jc w:val="both"/>
              <w:rPr>
                <w:rFonts w:ascii="Arial" w:hAnsi="Arial" w:cs="Arial"/>
                <w:sz w:val="22"/>
                <w:szCs w:val="22"/>
              </w:rPr>
            </w:pPr>
          </w:p>
          <w:p w:rsidR="00B40AAE" w:rsidRDefault="00B40AAE" w:rsidP="00B40AAE">
            <w:pPr>
              <w:autoSpaceDE w:val="0"/>
              <w:autoSpaceDN w:val="0"/>
              <w:adjustRightInd w:val="0"/>
              <w:jc w:val="both"/>
              <w:rPr>
                <w:rFonts w:ascii="Arial" w:hAnsi="Arial" w:cs="Arial"/>
                <w:sz w:val="22"/>
                <w:szCs w:val="22"/>
              </w:rPr>
            </w:pPr>
            <w:r w:rsidRPr="00D64AE5">
              <w:rPr>
                <w:rFonts w:ascii="Arial" w:hAnsi="Arial" w:cs="Arial"/>
                <w:sz w:val="22"/>
                <w:szCs w:val="22"/>
              </w:rPr>
              <w:t xml:space="preserve">Maintain stakeholder relationships with referral sources. Coordinate services within </w:t>
            </w:r>
            <w:r>
              <w:rPr>
                <w:rFonts w:ascii="Arial" w:hAnsi="Arial" w:cs="Arial"/>
                <w:sz w:val="22"/>
                <w:szCs w:val="22"/>
              </w:rPr>
              <w:t xml:space="preserve">Anglicare Victoria </w:t>
            </w:r>
            <w:r w:rsidRPr="00D64AE5">
              <w:rPr>
                <w:rFonts w:ascii="Arial" w:hAnsi="Arial" w:cs="Arial"/>
                <w:sz w:val="22"/>
                <w:szCs w:val="22"/>
              </w:rPr>
              <w:t>and with other community providers.</w:t>
            </w:r>
          </w:p>
          <w:p w:rsidR="00B40AAE" w:rsidRPr="001E5751" w:rsidRDefault="00B40AAE" w:rsidP="00B40AAE">
            <w:pPr>
              <w:autoSpaceDE w:val="0"/>
              <w:autoSpaceDN w:val="0"/>
              <w:adjustRightInd w:val="0"/>
              <w:jc w:val="both"/>
              <w:rPr>
                <w:rFonts w:ascii="Arial" w:hAnsi="Arial" w:cs="Arial"/>
                <w:sz w:val="22"/>
                <w:szCs w:val="22"/>
              </w:rPr>
            </w:pPr>
          </w:p>
        </w:tc>
      </w:tr>
      <w:tr w:rsidR="00B40AAE" w:rsidRPr="001E5751" w:rsidTr="005D43C4">
        <w:tc>
          <w:tcPr>
            <w:tcW w:w="846" w:type="dxa"/>
            <w:shd w:val="clear" w:color="auto" w:fill="A097C3"/>
          </w:tcPr>
          <w:p w:rsidR="00B40AAE" w:rsidRDefault="00B40AAE" w:rsidP="00B40AAE">
            <w:pPr>
              <w:jc w:val="center"/>
              <w:rPr>
                <w:rFonts w:ascii="Arial" w:hAnsi="Arial" w:cs="Arial"/>
                <w:b/>
                <w:color w:val="FFFFFF" w:themeColor="background1"/>
              </w:rPr>
            </w:pPr>
          </w:p>
          <w:p w:rsidR="00B40AAE" w:rsidRDefault="00B40AAE" w:rsidP="00B40AAE">
            <w:pPr>
              <w:jc w:val="center"/>
              <w:rPr>
                <w:rFonts w:ascii="Arial" w:hAnsi="Arial" w:cs="Arial"/>
                <w:b/>
                <w:color w:val="FFFFFF" w:themeColor="background1"/>
              </w:rPr>
            </w:pPr>
            <w:r>
              <w:rPr>
                <w:rFonts w:ascii="Arial" w:hAnsi="Arial" w:cs="Arial"/>
                <w:b/>
                <w:color w:val="FFFFFF" w:themeColor="background1"/>
              </w:rPr>
              <w:t>9.</w:t>
            </w:r>
          </w:p>
        </w:tc>
        <w:tc>
          <w:tcPr>
            <w:tcW w:w="7713" w:type="dxa"/>
            <w:shd w:val="clear" w:color="auto" w:fill="D9E2F3" w:themeFill="accent5" w:themeFillTint="33"/>
          </w:tcPr>
          <w:p w:rsidR="00B40AAE" w:rsidRDefault="00B40AAE" w:rsidP="00B40AAE">
            <w:pPr>
              <w:autoSpaceDE w:val="0"/>
              <w:autoSpaceDN w:val="0"/>
              <w:adjustRightInd w:val="0"/>
              <w:jc w:val="both"/>
              <w:rPr>
                <w:rFonts w:ascii="Arial" w:hAnsi="Arial" w:cs="Arial"/>
                <w:sz w:val="22"/>
                <w:szCs w:val="22"/>
              </w:rPr>
            </w:pPr>
          </w:p>
          <w:p w:rsidR="00B40AAE" w:rsidRDefault="00B40AAE" w:rsidP="00B40AAE">
            <w:pPr>
              <w:autoSpaceDE w:val="0"/>
              <w:autoSpaceDN w:val="0"/>
              <w:adjustRightInd w:val="0"/>
              <w:jc w:val="both"/>
              <w:rPr>
                <w:rFonts w:ascii="Arial" w:hAnsi="Arial" w:cs="Arial"/>
                <w:sz w:val="22"/>
                <w:szCs w:val="22"/>
              </w:rPr>
            </w:pPr>
            <w:r w:rsidRPr="00FB3FCA">
              <w:rPr>
                <w:rFonts w:ascii="Arial" w:hAnsi="Arial" w:cs="Arial"/>
                <w:sz w:val="22"/>
                <w:szCs w:val="22"/>
              </w:rPr>
              <w:t>Identify performance trends, best practices, and opportunities for improvement.</w:t>
            </w:r>
          </w:p>
          <w:p w:rsidR="00B40AAE" w:rsidRDefault="00B40AAE" w:rsidP="00B40AAE">
            <w:pPr>
              <w:autoSpaceDE w:val="0"/>
              <w:autoSpaceDN w:val="0"/>
              <w:adjustRightInd w:val="0"/>
              <w:jc w:val="both"/>
              <w:rPr>
                <w:rFonts w:ascii="Arial" w:hAnsi="Arial" w:cs="Arial"/>
              </w:rPr>
            </w:pPr>
          </w:p>
        </w:tc>
      </w:tr>
    </w:tbl>
    <w:p w:rsidR="00386E9B" w:rsidRPr="00386E9B" w:rsidRDefault="00386E9B" w:rsidP="00386E9B">
      <w:pPr>
        <w:pStyle w:val="Default"/>
      </w:pPr>
    </w:p>
    <w:p w:rsidR="00B40AAE" w:rsidRDefault="00B40AAE" w:rsidP="00B40AAE">
      <w:pPr>
        <w:jc w:val="both"/>
        <w:rPr>
          <w:rFonts w:ascii="Arial" w:hAnsi="Arial" w:cs="Arial"/>
        </w:rPr>
      </w:pPr>
    </w:p>
    <w:p w:rsidR="00B40AAE" w:rsidRDefault="00B40AAE" w:rsidP="00B40AAE">
      <w:pPr>
        <w:jc w:val="both"/>
        <w:rPr>
          <w:rFonts w:ascii="Arial" w:hAnsi="Arial" w:cs="Arial"/>
        </w:rPr>
      </w:pPr>
    </w:p>
    <w:p w:rsidR="00B40AAE" w:rsidRDefault="00B40AAE" w:rsidP="00B40AAE">
      <w:pPr>
        <w:jc w:val="both"/>
        <w:rPr>
          <w:rFonts w:ascii="Arial" w:hAnsi="Arial" w:cs="Arial"/>
        </w:rPr>
      </w:pPr>
    </w:p>
    <w:p w:rsidR="00386E9B" w:rsidRPr="00B40AAE" w:rsidRDefault="00386E9B" w:rsidP="00B40AAE">
      <w:pPr>
        <w:jc w:val="both"/>
        <w:rPr>
          <w:rFonts w:ascii="Arial" w:hAnsi="Arial" w:cs="Arial"/>
        </w:rPr>
      </w:pPr>
      <w:r w:rsidRPr="00386E9B">
        <w:rPr>
          <w:b/>
          <w:sz w:val="32"/>
          <w:szCs w:val="32"/>
        </w:rPr>
        <w:t>What we look for - the key selection criteria</w:t>
      </w:r>
    </w:p>
    <w:p w:rsidR="00386E9B" w:rsidRDefault="00386E9B" w:rsidP="00386E9B">
      <w:pPr>
        <w:pStyle w:val="Default"/>
      </w:pPr>
    </w:p>
    <w:p w:rsidR="00386E9B" w:rsidRPr="001E5751" w:rsidRDefault="00386E9B" w:rsidP="001D4E63">
      <w:pPr>
        <w:pStyle w:val="Default"/>
        <w:jc w:val="both"/>
        <w:rPr>
          <w:sz w:val="22"/>
          <w:szCs w:val="22"/>
        </w:rPr>
      </w:pPr>
      <w:r w:rsidRPr="001E5751">
        <w:rPr>
          <w:sz w:val="22"/>
          <w:szCs w:val="22"/>
        </w:rPr>
        <w:t xml:space="preserve">The Key Selection Criteria are based on role specific requirements and the Anglicare Victoria Capability Framework. </w:t>
      </w:r>
    </w:p>
    <w:p w:rsidR="00386E9B" w:rsidRPr="001E5751" w:rsidRDefault="00386E9B" w:rsidP="001D4E63">
      <w:pPr>
        <w:pStyle w:val="Default"/>
        <w:jc w:val="both"/>
        <w:rPr>
          <w:sz w:val="22"/>
          <w:szCs w:val="22"/>
        </w:rPr>
      </w:pPr>
    </w:p>
    <w:p w:rsidR="00386E9B" w:rsidRPr="001E5751" w:rsidRDefault="00386E9B" w:rsidP="001D4E63">
      <w:pPr>
        <w:pStyle w:val="Default"/>
        <w:jc w:val="both"/>
        <w:rPr>
          <w:sz w:val="22"/>
          <w:szCs w:val="22"/>
        </w:rPr>
      </w:pPr>
      <w:r w:rsidRPr="001E5751">
        <w:rPr>
          <w:sz w:val="22"/>
          <w:szCs w:val="22"/>
        </w:rPr>
        <w:t>Applicants are required to provide a written response to:</w:t>
      </w:r>
    </w:p>
    <w:p w:rsidR="00386E9B" w:rsidRPr="001E5751" w:rsidRDefault="00386E9B" w:rsidP="001D4E63">
      <w:pPr>
        <w:pStyle w:val="Default"/>
        <w:jc w:val="both"/>
        <w:rPr>
          <w:sz w:val="22"/>
          <w:szCs w:val="22"/>
        </w:rPr>
      </w:pPr>
    </w:p>
    <w:p w:rsidR="00386E9B" w:rsidRPr="001E5751" w:rsidRDefault="00386E9B" w:rsidP="001D4E63">
      <w:pPr>
        <w:pStyle w:val="Default"/>
        <w:numPr>
          <w:ilvl w:val="0"/>
          <w:numId w:val="4"/>
        </w:numPr>
        <w:jc w:val="both"/>
        <w:rPr>
          <w:sz w:val="22"/>
          <w:szCs w:val="22"/>
        </w:rPr>
      </w:pPr>
      <w:r w:rsidRPr="001E5751">
        <w:rPr>
          <w:sz w:val="22"/>
          <w:szCs w:val="22"/>
        </w:rPr>
        <w:t xml:space="preserve">The </w:t>
      </w:r>
      <w:r w:rsidRPr="001E5751">
        <w:rPr>
          <w:b/>
          <w:sz w:val="22"/>
          <w:szCs w:val="22"/>
        </w:rPr>
        <w:t>role specific</w:t>
      </w:r>
      <w:r w:rsidRPr="001E5751">
        <w:rPr>
          <w:sz w:val="22"/>
          <w:szCs w:val="22"/>
        </w:rPr>
        <w:t xml:space="preserve"> requirements.  The five criteria are to be addressed individually (no more than 2 pages in total).</w:t>
      </w:r>
    </w:p>
    <w:p w:rsidR="00386E9B" w:rsidRPr="001E5751" w:rsidRDefault="00386E9B" w:rsidP="001D4E63">
      <w:pPr>
        <w:pStyle w:val="Default"/>
        <w:ind w:left="360"/>
        <w:jc w:val="both"/>
        <w:rPr>
          <w:sz w:val="22"/>
          <w:szCs w:val="22"/>
        </w:rPr>
      </w:pPr>
    </w:p>
    <w:p w:rsidR="00386E9B" w:rsidRPr="001E5751" w:rsidRDefault="00386E9B" w:rsidP="001D4E63">
      <w:pPr>
        <w:pStyle w:val="Default"/>
        <w:numPr>
          <w:ilvl w:val="0"/>
          <w:numId w:val="4"/>
        </w:numPr>
        <w:jc w:val="both"/>
        <w:rPr>
          <w:sz w:val="22"/>
          <w:szCs w:val="22"/>
        </w:rPr>
      </w:pPr>
      <w:r w:rsidRPr="001E5751">
        <w:rPr>
          <w:sz w:val="22"/>
          <w:szCs w:val="22"/>
        </w:rPr>
        <w:t xml:space="preserve">Anglicare Victoria Capability Framework.  Applicants are to describe how they demonstrate the characteristics in each of the </w:t>
      </w:r>
      <w:r w:rsidR="00EE5E05">
        <w:rPr>
          <w:sz w:val="22"/>
          <w:szCs w:val="22"/>
        </w:rPr>
        <w:t xml:space="preserve">two </w:t>
      </w:r>
      <w:r w:rsidRPr="001E5751">
        <w:rPr>
          <w:sz w:val="22"/>
          <w:szCs w:val="22"/>
        </w:rPr>
        <w:t xml:space="preserve">capability groups; </w:t>
      </w:r>
      <w:r w:rsidRPr="001E5751">
        <w:rPr>
          <w:b/>
          <w:sz w:val="22"/>
          <w:szCs w:val="22"/>
        </w:rPr>
        <w:t>Personal Qualities</w:t>
      </w:r>
      <w:r w:rsidR="00043181">
        <w:rPr>
          <w:b/>
          <w:sz w:val="22"/>
          <w:szCs w:val="22"/>
        </w:rPr>
        <w:t xml:space="preserve"> and</w:t>
      </w:r>
      <w:r w:rsidRPr="001E5751">
        <w:rPr>
          <w:sz w:val="22"/>
          <w:szCs w:val="22"/>
        </w:rPr>
        <w:t xml:space="preserve"> </w:t>
      </w:r>
      <w:r w:rsidRPr="001E5751">
        <w:rPr>
          <w:b/>
          <w:sz w:val="22"/>
          <w:szCs w:val="22"/>
        </w:rPr>
        <w:t>Relationship and Outcomes</w:t>
      </w:r>
      <w:r w:rsidR="00043181">
        <w:rPr>
          <w:b/>
          <w:sz w:val="22"/>
          <w:szCs w:val="22"/>
        </w:rPr>
        <w:t>.</w:t>
      </w:r>
      <w:r w:rsidRPr="001E5751">
        <w:rPr>
          <w:sz w:val="22"/>
          <w:szCs w:val="22"/>
        </w:rPr>
        <w:t xml:space="preserve"> (no more than 1 page in total).</w:t>
      </w:r>
    </w:p>
    <w:p w:rsidR="00386E9B" w:rsidRDefault="00386E9B" w:rsidP="001D4E63">
      <w:pPr>
        <w:jc w:val="both"/>
      </w:pPr>
    </w:p>
    <w:p w:rsidR="00386E9B" w:rsidRPr="001E5751" w:rsidRDefault="00386E9B" w:rsidP="00386E9B">
      <w:pPr>
        <w:pStyle w:val="Default"/>
        <w:rPr>
          <w:b/>
          <w:color w:val="auto"/>
          <w:sz w:val="32"/>
          <w:szCs w:val="32"/>
        </w:rPr>
      </w:pPr>
      <w:r w:rsidRPr="001E5751">
        <w:rPr>
          <w:b/>
          <w:color w:val="auto"/>
          <w:sz w:val="32"/>
          <w:szCs w:val="32"/>
        </w:rPr>
        <w:t>Key Selection Criteria</w:t>
      </w:r>
    </w:p>
    <w:p w:rsidR="00386E9B" w:rsidRDefault="00386E9B" w:rsidP="00386E9B">
      <w:pPr>
        <w:pStyle w:val="Default"/>
        <w:rPr>
          <w:sz w:val="22"/>
          <w:szCs w:val="22"/>
        </w:rPr>
      </w:pPr>
    </w:p>
    <w:p w:rsidR="00386E9B" w:rsidRDefault="00386E9B" w:rsidP="00386E9B">
      <w:pPr>
        <w:pStyle w:val="Default"/>
        <w:rPr>
          <w:sz w:val="22"/>
          <w:szCs w:val="22"/>
        </w:rPr>
      </w:pPr>
    </w:p>
    <w:p w:rsidR="00386E9B" w:rsidRDefault="00386E9B" w:rsidP="00386E9B">
      <w:pPr>
        <w:pStyle w:val="Default"/>
        <w:numPr>
          <w:ilvl w:val="0"/>
          <w:numId w:val="5"/>
        </w:numPr>
        <w:rPr>
          <w:b/>
          <w:sz w:val="22"/>
          <w:szCs w:val="22"/>
        </w:rPr>
      </w:pPr>
      <w:r w:rsidRPr="003A0E56">
        <w:rPr>
          <w:b/>
          <w:sz w:val="22"/>
          <w:szCs w:val="22"/>
        </w:rPr>
        <w:t xml:space="preserve">Role </w:t>
      </w:r>
      <w:r>
        <w:rPr>
          <w:b/>
          <w:sz w:val="22"/>
          <w:szCs w:val="22"/>
        </w:rPr>
        <w:t>s</w:t>
      </w:r>
      <w:r w:rsidRPr="003A0E56">
        <w:rPr>
          <w:b/>
          <w:sz w:val="22"/>
          <w:szCs w:val="22"/>
        </w:rPr>
        <w:t>pecific requirements</w:t>
      </w:r>
      <w:r>
        <w:rPr>
          <w:b/>
          <w:sz w:val="22"/>
          <w:szCs w:val="22"/>
        </w:rPr>
        <w:t xml:space="preserve">. </w:t>
      </w:r>
    </w:p>
    <w:p w:rsidR="00386E9B" w:rsidRDefault="00386E9B"/>
    <w:tbl>
      <w:tblPr>
        <w:tblStyle w:val="TableGrid"/>
        <w:tblW w:w="9209" w:type="dxa"/>
        <w:tblLayout w:type="fixed"/>
        <w:tblLook w:val="04A0" w:firstRow="1" w:lastRow="0" w:firstColumn="1" w:lastColumn="0" w:noHBand="0" w:noVBand="1"/>
      </w:tblPr>
      <w:tblGrid>
        <w:gridCol w:w="2263"/>
        <w:gridCol w:w="6946"/>
      </w:tblGrid>
      <w:tr w:rsidR="001E5751" w:rsidTr="00C15657">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6946" w:type="dxa"/>
            <w:shd w:val="clear" w:color="auto" w:fill="D9E2F3" w:themeFill="accent5" w:themeFillTint="33"/>
          </w:tcPr>
          <w:p w:rsidR="001E5751" w:rsidRDefault="001E5751" w:rsidP="005D43C4">
            <w:pPr>
              <w:pStyle w:val="Default"/>
              <w:rPr>
                <w:sz w:val="22"/>
                <w:szCs w:val="22"/>
              </w:rPr>
            </w:pPr>
          </w:p>
          <w:p w:rsidR="001E5751" w:rsidRPr="001E5751" w:rsidRDefault="001E5751" w:rsidP="001D4E63">
            <w:pPr>
              <w:pStyle w:val="Default"/>
              <w:numPr>
                <w:ilvl w:val="0"/>
                <w:numId w:val="6"/>
              </w:numPr>
              <w:jc w:val="both"/>
              <w:rPr>
                <w:sz w:val="22"/>
                <w:szCs w:val="22"/>
              </w:rPr>
            </w:pPr>
            <w:r w:rsidRPr="001E5751">
              <w:rPr>
                <w:sz w:val="22"/>
                <w:szCs w:val="22"/>
              </w:rPr>
              <w:t>Tertiary qualifications, preferably in social work, psychology or behavioural sciences or equivalent.</w:t>
            </w:r>
          </w:p>
          <w:p w:rsidR="001E5751" w:rsidRPr="001E5751" w:rsidRDefault="001E5751" w:rsidP="001D4E63">
            <w:pPr>
              <w:pStyle w:val="Default"/>
              <w:jc w:val="both"/>
              <w:rPr>
                <w:sz w:val="22"/>
                <w:szCs w:val="22"/>
              </w:rPr>
            </w:pPr>
          </w:p>
          <w:p w:rsidR="001E5751" w:rsidRPr="001E5751" w:rsidRDefault="001E5751" w:rsidP="001D4E63">
            <w:pPr>
              <w:pStyle w:val="Default"/>
              <w:numPr>
                <w:ilvl w:val="0"/>
                <w:numId w:val="6"/>
              </w:numPr>
              <w:jc w:val="both"/>
              <w:rPr>
                <w:sz w:val="22"/>
                <w:szCs w:val="22"/>
              </w:rPr>
            </w:pPr>
            <w:r w:rsidRPr="001E5751">
              <w:rPr>
                <w:sz w:val="22"/>
                <w:szCs w:val="22"/>
              </w:rPr>
              <w:t>Excellent understanding of the child and family service system, including legislative and policy frameworks.</w:t>
            </w:r>
          </w:p>
          <w:p w:rsidR="001E5751" w:rsidRPr="001E5751" w:rsidRDefault="001E5751" w:rsidP="001D4E63">
            <w:pPr>
              <w:pStyle w:val="Default"/>
              <w:jc w:val="both"/>
              <w:rPr>
                <w:sz w:val="22"/>
                <w:szCs w:val="22"/>
              </w:rPr>
            </w:pPr>
          </w:p>
          <w:p w:rsidR="001E5751" w:rsidRPr="001E5751" w:rsidRDefault="001E5751" w:rsidP="001D4E63">
            <w:pPr>
              <w:pStyle w:val="Default"/>
              <w:numPr>
                <w:ilvl w:val="0"/>
                <w:numId w:val="6"/>
              </w:numPr>
              <w:jc w:val="both"/>
              <w:rPr>
                <w:sz w:val="22"/>
                <w:szCs w:val="22"/>
              </w:rPr>
            </w:pPr>
            <w:r w:rsidRPr="001E5751">
              <w:rPr>
                <w:sz w:val="22"/>
                <w:szCs w:val="22"/>
              </w:rPr>
              <w:t>Excellent knowledge of, and experience in the application of relevant theoretical approaches that underpin casework practice to vulnerable children, young people and families.</w:t>
            </w:r>
          </w:p>
          <w:p w:rsidR="001E5751" w:rsidRPr="001E5751" w:rsidRDefault="001E5751" w:rsidP="001D4E63">
            <w:pPr>
              <w:pStyle w:val="ListParagraph"/>
              <w:jc w:val="both"/>
              <w:rPr>
                <w:sz w:val="22"/>
                <w:szCs w:val="22"/>
              </w:rPr>
            </w:pPr>
          </w:p>
          <w:p w:rsidR="001E5751" w:rsidRPr="001E5751" w:rsidRDefault="001E5751" w:rsidP="001D4E63">
            <w:pPr>
              <w:pStyle w:val="Default"/>
              <w:numPr>
                <w:ilvl w:val="0"/>
                <w:numId w:val="6"/>
              </w:numPr>
              <w:jc w:val="both"/>
              <w:rPr>
                <w:sz w:val="22"/>
                <w:szCs w:val="22"/>
              </w:rPr>
            </w:pPr>
            <w:r w:rsidRPr="001E5751">
              <w:rPr>
                <w:sz w:val="22"/>
                <w:szCs w:val="22"/>
              </w:rPr>
              <w:t xml:space="preserve">Excellent skills in providing expert case consultation and advice to complex cases, particularly around </w:t>
            </w:r>
            <w:r w:rsidR="00043181">
              <w:rPr>
                <w:sz w:val="22"/>
                <w:szCs w:val="22"/>
              </w:rPr>
              <w:t xml:space="preserve">risk, </w:t>
            </w:r>
            <w:r w:rsidRPr="001E5751">
              <w:rPr>
                <w:sz w:val="22"/>
                <w:szCs w:val="22"/>
              </w:rPr>
              <w:t>safety and wellbeing assessments.</w:t>
            </w:r>
          </w:p>
          <w:p w:rsidR="001E5751" w:rsidRPr="001E5751" w:rsidRDefault="001E5751" w:rsidP="001D4E63">
            <w:pPr>
              <w:pStyle w:val="ListParagraph"/>
              <w:jc w:val="both"/>
              <w:rPr>
                <w:sz w:val="22"/>
                <w:szCs w:val="22"/>
              </w:rPr>
            </w:pPr>
          </w:p>
          <w:p w:rsidR="00043181" w:rsidRDefault="001A00EA" w:rsidP="001A00EA">
            <w:pPr>
              <w:pStyle w:val="Default"/>
              <w:numPr>
                <w:ilvl w:val="0"/>
                <w:numId w:val="6"/>
              </w:numPr>
              <w:jc w:val="both"/>
              <w:rPr>
                <w:sz w:val="22"/>
                <w:szCs w:val="22"/>
              </w:rPr>
            </w:pPr>
            <w:r w:rsidRPr="001A00EA">
              <w:rPr>
                <w:sz w:val="22"/>
                <w:szCs w:val="22"/>
              </w:rPr>
              <w:t>Sound understanding of culturally sensitive practice and is able to establish rapport and relate sensitively with Aboriginal and culturally diverse groups</w:t>
            </w:r>
            <w:r>
              <w:rPr>
                <w:sz w:val="22"/>
                <w:szCs w:val="22"/>
              </w:rPr>
              <w:t>.</w:t>
            </w:r>
          </w:p>
          <w:p w:rsidR="001E5751" w:rsidRPr="00C91A0A" w:rsidRDefault="001E5751" w:rsidP="00043181">
            <w:pPr>
              <w:pStyle w:val="Default"/>
              <w:ind w:left="720"/>
              <w:jc w:val="both"/>
              <w:rPr>
                <w:sz w:val="22"/>
                <w:szCs w:val="22"/>
              </w:rPr>
            </w:pPr>
          </w:p>
        </w:tc>
      </w:tr>
    </w:tbl>
    <w:p w:rsidR="001E5751" w:rsidRDefault="001E5751"/>
    <w:p w:rsidR="001E5751" w:rsidRDefault="001E5751">
      <w:r>
        <w:br w:type="page"/>
      </w:r>
    </w:p>
    <w:p w:rsidR="001E5751" w:rsidRDefault="001E5751"/>
    <w:p w:rsidR="001E5751" w:rsidRDefault="001E5751"/>
    <w:p w:rsidR="001E5751" w:rsidRDefault="001E5751"/>
    <w:p w:rsidR="001E5751" w:rsidRDefault="001E5751"/>
    <w:p w:rsidR="001E5751" w:rsidRDefault="001E5751" w:rsidP="00936051">
      <w:pPr>
        <w:pStyle w:val="Default"/>
        <w:numPr>
          <w:ilvl w:val="0"/>
          <w:numId w:val="5"/>
        </w:numPr>
        <w:rPr>
          <w:b/>
          <w:sz w:val="22"/>
          <w:szCs w:val="22"/>
        </w:rPr>
      </w:pPr>
      <w:r w:rsidRPr="00C218ED">
        <w:rPr>
          <w:b/>
          <w:sz w:val="22"/>
          <w:szCs w:val="22"/>
        </w:rPr>
        <w:t>Anglicare</w:t>
      </w:r>
      <w:r w:rsidRPr="00C63E1B">
        <w:rPr>
          <w:b/>
          <w:sz w:val="22"/>
          <w:szCs w:val="22"/>
        </w:rPr>
        <w:t xml:space="preserve"> Victoria Capability Framework</w:t>
      </w:r>
    </w:p>
    <w:p w:rsidR="001E5751" w:rsidRDefault="001E5751" w:rsidP="001E5751">
      <w:pPr>
        <w:pStyle w:val="Default"/>
        <w:ind w:left="360"/>
        <w:rPr>
          <w:sz w:val="22"/>
          <w:szCs w:val="22"/>
        </w:rPr>
      </w:pPr>
    </w:p>
    <w:p w:rsidR="001E5751" w:rsidRDefault="001E5751" w:rsidP="001D4E63">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1D4E63">
      <w:pPr>
        <w:pStyle w:val="Default"/>
        <w:jc w:val="both"/>
        <w:rPr>
          <w:sz w:val="22"/>
          <w:szCs w:val="22"/>
        </w:rPr>
      </w:pPr>
    </w:p>
    <w:p w:rsidR="001E5751" w:rsidRDefault="001E5751" w:rsidP="001D4E63">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p w:rsidR="001E5751" w:rsidRDefault="001E5751">
      <w:pPr>
        <w:rPr>
          <w:rFonts w:ascii="Arial" w:hAnsi="Arial" w:cs="Arial"/>
          <w:b/>
          <w:color w:val="000000"/>
          <w:sz w:val="32"/>
          <w:szCs w:val="32"/>
        </w:rPr>
      </w:pPr>
      <w:r>
        <w:rPr>
          <w:rFonts w:ascii="Arial" w:hAnsi="Arial" w:cs="Arial"/>
          <w:b/>
          <w:color w:val="000000"/>
          <w:sz w:val="32"/>
          <w:szCs w:val="32"/>
        </w:rPr>
        <w:br w:type="page"/>
      </w:r>
    </w:p>
    <w:p w:rsidR="001E5751" w:rsidRDefault="001E5751" w:rsidP="001E5751">
      <w:pPr>
        <w:rPr>
          <w:rFonts w:ascii="Arial" w:hAnsi="Arial" w:cs="Arial"/>
          <w:b/>
          <w:color w:val="000000"/>
          <w:sz w:val="32"/>
          <w:szCs w:val="32"/>
        </w:rPr>
      </w:pPr>
    </w:p>
    <w:p w:rsidR="001E5751" w:rsidRDefault="001E5751" w:rsidP="001E5751">
      <w:pPr>
        <w:rPr>
          <w:rFonts w:ascii="Arial" w:hAnsi="Arial" w:cs="Arial"/>
          <w:b/>
          <w:color w:val="000000"/>
          <w:sz w:val="32"/>
          <w:szCs w:val="32"/>
        </w:rPr>
      </w:pPr>
    </w:p>
    <w:p w:rsidR="001E5751" w:rsidRDefault="001E5751" w:rsidP="001E5751">
      <w:pPr>
        <w:rPr>
          <w:rFonts w:ascii="Arial" w:hAnsi="Arial" w:cs="Arial"/>
          <w:b/>
          <w:color w:val="000000"/>
          <w:sz w:val="32"/>
          <w:szCs w:val="32"/>
        </w:rPr>
      </w:pPr>
    </w:p>
    <w:p w:rsidR="001E5751" w:rsidRPr="001E5751" w:rsidRDefault="001E5751" w:rsidP="001E5751">
      <w:pPr>
        <w:rPr>
          <w:rFonts w:ascii="Arial" w:hAnsi="Arial" w:cs="Arial"/>
          <w:b/>
          <w:color w:val="000000"/>
          <w:sz w:val="32"/>
          <w:szCs w:val="32"/>
        </w:rPr>
      </w:pPr>
      <w:r w:rsidRPr="001E5751">
        <w:rPr>
          <w:rFonts w:ascii="Arial" w:hAnsi="Arial" w:cs="Arial"/>
          <w:b/>
          <w:color w:val="000000"/>
          <w:sz w:val="32"/>
          <w:szCs w:val="32"/>
        </w:rPr>
        <w:t>Cultural Safety in the Workplace</w:t>
      </w:r>
    </w:p>
    <w:p w:rsidR="001E5751" w:rsidRPr="005C3ABF" w:rsidRDefault="001E5751" w:rsidP="001E5751">
      <w:pPr>
        <w:jc w:val="both"/>
        <w:rPr>
          <w:rFonts w:ascii="Arial" w:hAnsi="Arial" w:cs="Arial"/>
        </w:rPr>
      </w:pPr>
      <w:r w:rsidRPr="005C3ABF">
        <w:rPr>
          <w:rFonts w:ascii="Arial" w:hAnsi="Arial" w:cs="Arial"/>
        </w:rPr>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1E5751">
      <w:pPr>
        <w:jc w:val="both"/>
        <w:rPr>
          <w:rFonts w:ascii="Arial" w:hAnsi="Arial" w:cs="Arial"/>
        </w:rPr>
      </w:pPr>
      <w:r>
        <w:rPr>
          <w:rFonts w:ascii="Arial" w:hAnsi="Arial" w:cs="Arial"/>
        </w:rPr>
        <w:t xml:space="preserve">Our Reconciliation Action Plan (RAP) and </w:t>
      </w:r>
      <w:r w:rsidRPr="005C3ABF">
        <w:rPr>
          <w:rFonts w:ascii="Arial" w:hAnsi="Arial" w:cs="Arial"/>
        </w:rPr>
        <w:t>Workforce Strategy outlines Anglicare Victoria’s commitment to leading and facilitating sustainable employment, training, retention and career development opportunities for Aboriginal and Torres Strait Islanders people</w:t>
      </w:r>
      <w:r>
        <w:rPr>
          <w:rFonts w:ascii="Arial" w:hAnsi="Arial" w:cs="Arial"/>
        </w:rPr>
        <w:t>.</w:t>
      </w:r>
    </w:p>
    <w:p w:rsidR="001E5751" w:rsidRDefault="001E5751" w:rsidP="001E5751">
      <w:pPr>
        <w:jc w:val="both"/>
        <w:rPr>
          <w:rFonts w:ascii="Arial" w:hAnsi="Arial" w:cs="Arial"/>
        </w:rPr>
      </w:pPr>
    </w:p>
    <w:p w:rsidR="001E5751" w:rsidRPr="00613A6B" w:rsidRDefault="001E5751" w:rsidP="001E5751">
      <w:pPr>
        <w:pStyle w:val="Default"/>
        <w:rPr>
          <w:b/>
          <w:sz w:val="32"/>
          <w:szCs w:val="32"/>
        </w:rPr>
      </w:pPr>
      <w:r w:rsidRPr="00613A6B">
        <w:rPr>
          <w:b/>
          <w:sz w:val="32"/>
          <w:szCs w:val="32"/>
        </w:rPr>
        <w:t>Conditions of employment</w:t>
      </w:r>
    </w:p>
    <w:p w:rsidR="001E5751" w:rsidRPr="001A2740" w:rsidRDefault="001E5751" w:rsidP="001E5751">
      <w:pPr>
        <w:pStyle w:val="Default"/>
        <w:rPr>
          <w:b/>
          <w:sz w:val="22"/>
          <w:szCs w:val="22"/>
        </w:rPr>
      </w:pPr>
    </w:p>
    <w:p w:rsidR="001E5751" w:rsidRPr="00B554F2" w:rsidRDefault="001E5751" w:rsidP="001E5751">
      <w:pPr>
        <w:pStyle w:val="NormalWeb"/>
        <w:numPr>
          <w:ilvl w:val="0"/>
          <w:numId w:val="8"/>
        </w:numPr>
        <w:spacing w:before="0" w:beforeAutospacing="0" w:after="80" w:afterAutospacing="0"/>
        <w:rPr>
          <w:rFonts w:ascii="Arial" w:hAnsi="Arial" w:cs="Arial"/>
          <w:color w:val="000000"/>
          <w:sz w:val="22"/>
          <w:szCs w:val="22"/>
        </w:rPr>
      </w:pPr>
      <w:r w:rsidRPr="00B554F2">
        <w:rPr>
          <w:rFonts w:ascii="Arial" w:hAnsi="Arial" w:cs="Arial"/>
          <w:color w:val="000000"/>
          <w:sz w:val="22"/>
          <w:szCs w:val="22"/>
        </w:rPr>
        <w:t>Salary and conditions are in accordance with the Social, Community, Home Care and Disability Services Industry Award 2010. Salary packaging is offered with the position</w:t>
      </w:r>
    </w:p>
    <w:p w:rsidR="001E5751" w:rsidRPr="00B554F2" w:rsidRDefault="001E5751" w:rsidP="001E5751">
      <w:pPr>
        <w:pStyle w:val="NormalWeb"/>
        <w:numPr>
          <w:ilvl w:val="0"/>
          <w:numId w:val="8"/>
        </w:numPr>
        <w:spacing w:before="0" w:beforeAutospacing="0" w:after="80" w:afterAutospacing="0"/>
        <w:rPr>
          <w:rFonts w:ascii="Arial" w:hAnsi="Arial" w:cs="Arial"/>
          <w:color w:val="000000"/>
          <w:sz w:val="22"/>
          <w:szCs w:val="22"/>
        </w:rPr>
      </w:pPr>
      <w:r w:rsidRPr="00B554F2">
        <w:rPr>
          <w:rFonts w:ascii="Arial" w:hAnsi="Arial" w:cs="Arial"/>
          <w:color w:val="000000"/>
          <w:sz w:val="22"/>
          <w:szCs w:val="22"/>
        </w:rPr>
        <w:t>All offers of employment are subject to a satisfactory Criminal History Check and must provide a Working with Children Check prior to commencement.</w:t>
      </w:r>
    </w:p>
    <w:p w:rsidR="001E5751" w:rsidRPr="00F3441C" w:rsidRDefault="001E5751" w:rsidP="001E5751">
      <w:pPr>
        <w:pStyle w:val="ListParagraph"/>
        <w:numPr>
          <w:ilvl w:val="0"/>
          <w:numId w:val="8"/>
        </w:numPr>
        <w:spacing w:after="200" w:line="276" w:lineRule="auto"/>
        <w:jc w:val="both"/>
        <w:rPr>
          <w:rFonts w:ascii="Arial" w:hAnsi="Arial" w:cs="Arial"/>
        </w:rPr>
      </w:pPr>
      <w:r w:rsidRPr="00613A6B">
        <w:rPr>
          <w:rFonts w:ascii="Arial" w:hAnsi="Arial" w:cs="Arial"/>
          <w:color w:val="000000"/>
        </w:rPr>
        <w:t>A current Victorian Driver’s license is essential</w:t>
      </w:r>
    </w:p>
    <w:p w:rsidR="00F3441C" w:rsidRPr="00F3441C" w:rsidRDefault="00F3441C" w:rsidP="00F3441C">
      <w:pPr>
        <w:pStyle w:val="ListParagraph"/>
        <w:numPr>
          <w:ilvl w:val="0"/>
          <w:numId w:val="8"/>
        </w:numPr>
        <w:rPr>
          <w:rFonts w:ascii="Arial" w:hAnsi="Arial" w:cs="Arial"/>
        </w:rPr>
      </w:pPr>
      <w:r w:rsidRPr="00F3441C">
        <w:rPr>
          <w:rFonts w:ascii="Arial" w:hAnsi="Arial" w:cs="Arial"/>
        </w:rPr>
        <w:t>All offers of employment at Anglicare Victoria are subject to a six month probationary period. The staff member will be asked to participate in an annual performance review linked to objectives set out for the position.</w:t>
      </w:r>
    </w:p>
    <w:p w:rsidR="00F3441C" w:rsidRPr="00613A6B" w:rsidRDefault="00F3441C" w:rsidP="00F3441C">
      <w:pPr>
        <w:pStyle w:val="ListParagraph"/>
        <w:spacing w:after="200" w:line="276" w:lineRule="auto"/>
        <w:jc w:val="both"/>
        <w:rPr>
          <w:rFonts w:ascii="Arial" w:hAnsi="Arial" w:cs="Arial"/>
        </w:rPr>
      </w:pPr>
    </w:p>
    <w:p w:rsidR="001E5751" w:rsidRDefault="001E5751" w:rsidP="001E5751">
      <w:pPr>
        <w:jc w:val="both"/>
        <w:rPr>
          <w:rFonts w:ascii="Arial" w:hAnsi="Arial" w:cs="Arial"/>
        </w:rPr>
      </w:pPr>
    </w:p>
    <w:p w:rsidR="001E5751" w:rsidRDefault="001E5751"/>
    <w:sectPr w:rsidR="001E5751" w:rsidSect="00190CAF">
      <w:headerReference w:type="default" r:id="rId13"/>
      <w:head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53" w:rsidRDefault="005D1F53" w:rsidP="0028037E">
      <w:pPr>
        <w:spacing w:after="0" w:line="240" w:lineRule="auto"/>
      </w:pPr>
      <w:r>
        <w:separator/>
      </w:r>
    </w:p>
  </w:endnote>
  <w:endnote w:type="continuationSeparator" w:id="0">
    <w:p w:rsidR="005D1F53" w:rsidRDefault="005D1F53" w:rsidP="0028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4B6E21" w:rsidRDefault="004B6E21">
    <w:pPr>
      <w:pStyle w:val="Footer"/>
      <w:rPr>
        <w:rFonts w:ascii="Arial" w:hAnsi="Arial" w:cs="Arial"/>
        <w:sz w:val="18"/>
        <w:szCs w:val="18"/>
      </w:rPr>
    </w:pPr>
    <w:r w:rsidRPr="004B6E21">
      <w:rPr>
        <w:rFonts w:ascii="Arial" w:hAnsi="Arial" w:cs="Arial"/>
        <w:sz w:val="18"/>
        <w:szCs w:val="18"/>
      </w:rPr>
      <w:t xml:space="preserve">Page </w:t>
    </w:r>
    <w:sdt>
      <w:sdtPr>
        <w:rPr>
          <w:rFonts w:ascii="Arial" w:hAnsi="Arial" w:cs="Arial"/>
          <w:b/>
          <w:sz w:val="18"/>
          <w:szCs w:val="18"/>
        </w:rPr>
        <w:id w:val="382535732"/>
        <w:docPartObj>
          <w:docPartGallery w:val="Page Numbers (Bottom of Page)"/>
          <w:docPartUnique/>
        </w:docPartObj>
      </w:sdtPr>
      <w:sdtEndPr>
        <w:rPr>
          <w:noProof/>
        </w:rPr>
      </w:sdtEndPr>
      <w:sdtContent>
        <w:r w:rsidRPr="004B6E21">
          <w:rPr>
            <w:rFonts w:ascii="Arial" w:hAnsi="Arial" w:cs="Arial"/>
            <w:b/>
            <w:sz w:val="18"/>
            <w:szCs w:val="18"/>
          </w:rPr>
          <w:fldChar w:fldCharType="begin"/>
        </w:r>
        <w:r w:rsidRPr="004B6E21">
          <w:rPr>
            <w:rFonts w:ascii="Arial" w:hAnsi="Arial" w:cs="Arial"/>
            <w:b/>
            <w:sz w:val="18"/>
            <w:szCs w:val="18"/>
          </w:rPr>
          <w:instrText xml:space="preserve"> PAGE   \* MERGEFORMAT </w:instrText>
        </w:r>
        <w:r w:rsidRPr="004B6E21">
          <w:rPr>
            <w:rFonts w:ascii="Arial" w:hAnsi="Arial" w:cs="Arial"/>
            <w:b/>
            <w:sz w:val="18"/>
            <w:szCs w:val="18"/>
          </w:rPr>
          <w:fldChar w:fldCharType="separate"/>
        </w:r>
        <w:r w:rsidR="00BE5133">
          <w:rPr>
            <w:rFonts w:ascii="Arial" w:hAnsi="Arial" w:cs="Arial"/>
            <w:b/>
            <w:noProof/>
            <w:sz w:val="18"/>
            <w:szCs w:val="18"/>
          </w:rPr>
          <w:t>7</w:t>
        </w:r>
        <w:r w:rsidRPr="004B6E21">
          <w:rPr>
            <w:rFonts w:ascii="Arial" w:hAnsi="Arial" w:cs="Arial"/>
            <w:b/>
            <w:noProof/>
            <w:sz w:val="18"/>
            <w:szCs w:val="18"/>
          </w:rPr>
          <w:fldChar w:fldCharType="end"/>
        </w:r>
      </w:sdtContent>
    </w:sdt>
  </w:p>
  <w:p w:rsidR="00190CAF" w:rsidRDefault="00190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pPr>
      <w:pStyle w:val="Footer"/>
    </w:pPr>
    <w:r w:rsidRPr="004B6E21">
      <w:rPr>
        <w:rFonts w:ascii="Arial" w:hAnsi="Arial" w:cs="Arial"/>
        <w:sz w:val="18"/>
        <w:szCs w:val="18"/>
      </w:rPr>
      <w:t xml:space="preserve">Page </w:t>
    </w:r>
    <w:sdt>
      <w:sdtPr>
        <w:rPr>
          <w:rFonts w:ascii="Arial" w:hAnsi="Arial" w:cs="Arial"/>
          <w:b/>
          <w:sz w:val="18"/>
          <w:szCs w:val="18"/>
        </w:rPr>
        <w:id w:val="-2134325447"/>
        <w:docPartObj>
          <w:docPartGallery w:val="Page Numbers (Bottom of Page)"/>
          <w:docPartUnique/>
        </w:docPartObj>
      </w:sdtPr>
      <w:sdtEndPr>
        <w:rPr>
          <w:noProof/>
        </w:rPr>
      </w:sdtEndPr>
      <w:sdtContent>
        <w:r w:rsidRPr="004B6E21">
          <w:rPr>
            <w:rFonts w:ascii="Arial" w:hAnsi="Arial" w:cs="Arial"/>
            <w:b/>
            <w:sz w:val="18"/>
            <w:szCs w:val="18"/>
          </w:rPr>
          <w:fldChar w:fldCharType="begin"/>
        </w:r>
        <w:r w:rsidRPr="004B6E21">
          <w:rPr>
            <w:rFonts w:ascii="Arial" w:hAnsi="Arial" w:cs="Arial"/>
            <w:b/>
            <w:sz w:val="18"/>
            <w:szCs w:val="18"/>
          </w:rPr>
          <w:instrText xml:space="preserve"> PAGE   \* MERGEFORMAT </w:instrText>
        </w:r>
        <w:r w:rsidRPr="004B6E21">
          <w:rPr>
            <w:rFonts w:ascii="Arial" w:hAnsi="Arial" w:cs="Arial"/>
            <w:b/>
            <w:sz w:val="18"/>
            <w:szCs w:val="18"/>
          </w:rPr>
          <w:fldChar w:fldCharType="separate"/>
        </w:r>
        <w:r w:rsidR="00BE5133">
          <w:rPr>
            <w:rFonts w:ascii="Arial" w:hAnsi="Arial" w:cs="Arial"/>
            <w:b/>
            <w:noProof/>
            <w:sz w:val="18"/>
            <w:szCs w:val="18"/>
          </w:rPr>
          <w:t>2</w:t>
        </w:r>
        <w:r w:rsidRPr="004B6E21">
          <w:rPr>
            <w:rFonts w:ascii="Arial" w:hAnsi="Arial" w:cs="Arial"/>
            <w:b/>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53" w:rsidRDefault="005D1F53" w:rsidP="0028037E">
      <w:pPr>
        <w:spacing w:after="0" w:line="240" w:lineRule="auto"/>
      </w:pPr>
      <w:r>
        <w:separator/>
      </w:r>
    </w:p>
  </w:footnote>
  <w:footnote w:type="continuationSeparator" w:id="0">
    <w:p w:rsidR="005D1F53" w:rsidRDefault="005D1F53" w:rsidP="00280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BE5133">
    <w:pPr>
      <w:pStyle w:val="Header"/>
    </w:pPr>
    <w:sdt>
      <w:sdtPr>
        <w:id w:val="-1484854522"/>
        <w:docPartObj>
          <w:docPartGallery w:val="Page Numbers (Margins)"/>
          <w:docPartUnique/>
        </w:docPartObj>
      </w:sdtPr>
      <w:sdtEndPr/>
      <w:sdtContent/>
    </w:sdt>
    <w:r w:rsidR="0028037E">
      <w:rPr>
        <w:noProof/>
        <w:lang w:val="en-AU" w:eastAsia="en-AU"/>
      </w:rPr>
      <w:drawing>
        <wp:anchor distT="0" distB="0" distL="114300" distR="114300" simplePos="0" relativeHeight="251659264" behindDoc="1" locked="0" layoutInCell="1" allowOverlap="1" wp14:anchorId="03E46F4D" wp14:editId="6D8E856E">
          <wp:simplePos x="0" y="0"/>
          <wp:positionH relativeFrom="page">
            <wp:align>right</wp:align>
          </wp:positionH>
          <wp:positionV relativeFrom="page">
            <wp:align>top</wp:align>
          </wp:positionV>
          <wp:extent cx="7558405" cy="10691495"/>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2_CapabilityFramework_PositionTemplate_pg7NEW_V2.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174"/>
    <w:multiLevelType w:val="hybridMultilevel"/>
    <w:tmpl w:val="73D8C398"/>
    <w:lvl w:ilvl="0" w:tplc="79F8A5B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47757"/>
    <w:multiLevelType w:val="hybridMultilevel"/>
    <w:tmpl w:val="7B946624"/>
    <w:lvl w:ilvl="0" w:tplc="38A46DF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94C03"/>
    <w:multiLevelType w:val="hybridMultilevel"/>
    <w:tmpl w:val="9A46E9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C0D"/>
    <w:multiLevelType w:val="hybridMultilevel"/>
    <w:tmpl w:val="3550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95B59"/>
    <w:multiLevelType w:val="hybridMultilevel"/>
    <w:tmpl w:val="53E4B468"/>
    <w:lvl w:ilvl="0" w:tplc="38A46DF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F7B88"/>
    <w:multiLevelType w:val="hybridMultilevel"/>
    <w:tmpl w:val="813ECB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D5C3D"/>
    <w:multiLevelType w:val="hybridMultilevel"/>
    <w:tmpl w:val="8F4A7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74740E"/>
    <w:multiLevelType w:val="hybridMultilevel"/>
    <w:tmpl w:val="853E2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872E52"/>
    <w:multiLevelType w:val="hybridMultilevel"/>
    <w:tmpl w:val="76FAF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2106ED"/>
    <w:multiLevelType w:val="hybridMultilevel"/>
    <w:tmpl w:val="A42255CE"/>
    <w:lvl w:ilvl="0" w:tplc="38A46DF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4"/>
  </w:num>
  <w:num w:numId="5">
    <w:abstractNumId w:val="8"/>
  </w:num>
  <w:num w:numId="6">
    <w:abstractNumId w:val="5"/>
  </w:num>
  <w:num w:numId="7">
    <w:abstractNumId w:val="2"/>
  </w:num>
  <w:num w:numId="8">
    <w:abstractNumId w:val="9"/>
  </w:num>
  <w:num w:numId="9">
    <w:abstractNumId w:val="11"/>
  </w:num>
  <w:num w:numId="10">
    <w:abstractNumId w:val="6"/>
  </w:num>
  <w:num w:numId="11">
    <w:abstractNumId w:val="3"/>
  </w:num>
  <w:num w:numId="12">
    <w:abstractNumId w:val="14"/>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3181"/>
    <w:rsid w:val="00047CC4"/>
    <w:rsid w:val="000714A0"/>
    <w:rsid w:val="00090999"/>
    <w:rsid w:val="000C178B"/>
    <w:rsid w:val="0010672B"/>
    <w:rsid w:val="00160483"/>
    <w:rsid w:val="00167AB7"/>
    <w:rsid w:val="00190CAF"/>
    <w:rsid w:val="001A00EA"/>
    <w:rsid w:val="001D31BD"/>
    <w:rsid w:val="001D4E63"/>
    <w:rsid w:val="001E5751"/>
    <w:rsid w:val="001F072B"/>
    <w:rsid w:val="001F304F"/>
    <w:rsid w:val="00220F16"/>
    <w:rsid w:val="0028037E"/>
    <w:rsid w:val="00283210"/>
    <w:rsid w:val="002F77CA"/>
    <w:rsid w:val="002F787A"/>
    <w:rsid w:val="00310B7E"/>
    <w:rsid w:val="003240F3"/>
    <w:rsid w:val="00386E9B"/>
    <w:rsid w:val="00393F3C"/>
    <w:rsid w:val="003E1B97"/>
    <w:rsid w:val="003E79FD"/>
    <w:rsid w:val="003F4DBC"/>
    <w:rsid w:val="00433BA8"/>
    <w:rsid w:val="004B408B"/>
    <w:rsid w:val="004B6E21"/>
    <w:rsid w:val="005113B9"/>
    <w:rsid w:val="005335F9"/>
    <w:rsid w:val="00542794"/>
    <w:rsid w:val="005D1F53"/>
    <w:rsid w:val="005E0A83"/>
    <w:rsid w:val="00604DF4"/>
    <w:rsid w:val="00652AD2"/>
    <w:rsid w:val="006C3E32"/>
    <w:rsid w:val="0076375F"/>
    <w:rsid w:val="007A66A6"/>
    <w:rsid w:val="007D190E"/>
    <w:rsid w:val="007F7E6B"/>
    <w:rsid w:val="00835A1C"/>
    <w:rsid w:val="00862875"/>
    <w:rsid w:val="008C0D77"/>
    <w:rsid w:val="00906536"/>
    <w:rsid w:val="00936051"/>
    <w:rsid w:val="009A3161"/>
    <w:rsid w:val="009C7C86"/>
    <w:rsid w:val="00A34AD9"/>
    <w:rsid w:val="00AD0479"/>
    <w:rsid w:val="00AE7886"/>
    <w:rsid w:val="00B27BEC"/>
    <w:rsid w:val="00B40AAE"/>
    <w:rsid w:val="00B472AA"/>
    <w:rsid w:val="00B73333"/>
    <w:rsid w:val="00BC1D6C"/>
    <w:rsid w:val="00BE3B3F"/>
    <w:rsid w:val="00BE5133"/>
    <w:rsid w:val="00C15657"/>
    <w:rsid w:val="00C3428A"/>
    <w:rsid w:val="00C77E19"/>
    <w:rsid w:val="00C96E18"/>
    <w:rsid w:val="00CB4C35"/>
    <w:rsid w:val="00CC2647"/>
    <w:rsid w:val="00D6485F"/>
    <w:rsid w:val="00D64AE5"/>
    <w:rsid w:val="00DB72CD"/>
    <w:rsid w:val="00E018BB"/>
    <w:rsid w:val="00E25830"/>
    <w:rsid w:val="00E3709F"/>
    <w:rsid w:val="00EE5E05"/>
    <w:rsid w:val="00EE7D55"/>
    <w:rsid w:val="00F21A29"/>
    <w:rsid w:val="00F3441C"/>
    <w:rsid w:val="00F613AB"/>
    <w:rsid w:val="00F7509E"/>
    <w:rsid w:val="00FB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Clare Waldron</cp:lastModifiedBy>
  <cp:revision>2</cp:revision>
  <cp:lastPrinted>2018-01-16T03:03:00Z</cp:lastPrinted>
  <dcterms:created xsi:type="dcterms:W3CDTF">2019-10-07T01:53:00Z</dcterms:created>
  <dcterms:modified xsi:type="dcterms:W3CDTF">2019-10-07T01:53:00Z</dcterms:modified>
</cp:coreProperties>
</file>