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Content>
        <w:p w14:paraId="02402857" w14:textId="5E74AF6C" w:rsidR="00644F9F" w:rsidRPr="00190B67" w:rsidRDefault="007D32F6" w:rsidP="00644F9F">
          <w:pPr>
            <w:pStyle w:val="Title"/>
            <w:rPr>
              <w:color w:val="011947"/>
            </w:rPr>
          </w:pPr>
          <w:r w:rsidRPr="007D32F6">
            <w:rPr>
              <w:sz w:val="48"/>
              <w:szCs w:val="48"/>
            </w:rPr>
            <w:t>Case Management Coordinator</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5D05D8DE" w:rsidR="006F6682" w:rsidRPr="0057614B" w:rsidRDefault="007D32F6"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JULY 2014</w:t>
            </w:r>
          </w:p>
        </w:tc>
      </w:tr>
      <w:tr w:rsidR="007D32F6"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7D32F6" w:rsidRPr="006F6682" w:rsidRDefault="007D32F6" w:rsidP="007D32F6">
            <w:pPr>
              <w:rPr>
                <w:sz w:val="24"/>
                <w:szCs w:val="24"/>
              </w:rPr>
            </w:pPr>
            <w:r w:rsidRPr="006F6682">
              <w:rPr>
                <w:sz w:val="24"/>
                <w:szCs w:val="24"/>
              </w:rPr>
              <w:t>Number</w:t>
            </w:r>
          </w:p>
        </w:tc>
        <w:tc>
          <w:tcPr>
            <w:tcW w:w="6458" w:type="dxa"/>
            <w:gridSpan w:val="2"/>
            <w:vAlign w:val="top"/>
          </w:tcPr>
          <w:p w14:paraId="40C273E1" w14:textId="297E596D" w:rsidR="007D32F6" w:rsidRPr="00B103A8" w:rsidRDefault="007D32F6" w:rsidP="007D32F6">
            <w:pPr>
              <w:cnfStyle w:val="000000100000" w:firstRow="0" w:lastRow="0" w:firstColumn="0" w:lastColumn="0" w:oddVBand="0" w:evenVBand="0" w:oddHBand="1" w:evenHBand="0" w:firstRowFirstColumn="0" w:firstRowLastColumn="0" w:lastRowFirstColumn="0" w:lastRowLastColumn="0"/>
            </w:pPr>
            <w:r w:rsidRPr="00F51631">
              <w:rPr>
                <w:rFonts w:eastAsia="Times New Roman" w:cs="Arial"/>
                <w:bCs/>
                <w:sz w:val="24"/>
                <w:szCs w:val="24"/>
              </w:rPr>
              <w:t>513515</w:t>
            </w:r>
          </w:p>
        </w:tc>
      </w:tr>
      <w:tr w:rsidR="007D32F6"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7D32F6" w:rsidRPr="006F6682" w:rsidRDefault="007D32F6" w:rsidP="007D32F6">
            <w:pPr>
              <w:rPr>
                <w:b w:val="0"/>
                <w:sz w:val="24"/>
                <w:szCs w:val="24"/>
              </w:rPr>
            </w:pPr>
            <w:r w:rsidRPr="006F6682">
              <w:rPr>
                <w:sz w:val="24"/>
                <w:szCs w:val="24"/>
              </w:rPr>
              <w:t>Portfolio</w:t>
            </w:r>
          </w:p>
        </w:tc>
        <w:tc>
          <w:tcPr>
            <w:tcW w:w="6458" w:type="dxa"/>
            <w:gridSpan w:val="2"/>
            <w:vAlign w:val="top"/>
          </w:tcPr>
          <w:p w14:paraId="6C07E303" w14:textId="0B305EA8" w:rsidR="007D32F6" w:rsidRPr="00B103A8" w:rsidRDefault="007D32F6" w:rsidP="007D32F6">
            <w:pPr>
              <w:cnfStyle w:val="000000000000" w:firstRow="0" w:lastRow="0" w:firstColumn="0" w:lastColumn="0" w:oddVBand="0" w:evenVBand="0" w:oddHBand="0" w:evenHBand="0" w:firstRowFirstColumn="0" w:firstRowLastColumn="0" w:lastRowFirstColumn="0" w:lastRowLastColumn="0"/>
            </w:pPr>
            <w:r w:rsidRPr="00F51631">
              <w:rPr>
                <w:rFonts w:eastAsia="Times New Roman" w:cs="Arial"/>
                <w:bCs/>
                <w:sz w:val="24"/>
                <w:szCs w:val="24"/>
              </w:rPr>
              <w:t>Youth Justice</w:t>
            </w:r>
          </w:p>
        </w:tc>
      </w:tr>
      <w:tr w:rsidR="007D32F6"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7D32F6" w:rsidRPr="006F6682" w:rsidRDefault="007D32F6" w:rsidP="007D32F6">
            <w:pPr>
              <w:rPr>
                <w:b w:val="0"/>
                <w:sz w:val="24"/>
                <w:szCs w:val="24"/>
              </w:rPr>
            </w:pPr>
            <w:r w:rsidRPr="006F6682">
              <w:rPr>
                <w:sz w:val="24"/>
                <w:szCs w:val="24"/>
              </w:rPr>
              <w:t>Branch</w:t>
            </w:r>
          </w:p>
        </w:tc>
        <w:tc>
          <w:tcPr>
            <w:tcW w:w="6458" w:type="dxa"/>
            <w:gridSpan w:val="2"/>
            <w:vAlign w:val="top"/>
          </w:tcPr>
          <w:p w14:paraId="40F61C2C" w14:textId="3A84D83D" w:rsidR="007D32F6" w:rsidRPr="00B103A8" w:rsidRDefault="007D32F6" w:rsidP="007D32F6">
            <w:pPr>
              <w:cnfStyle w:val="000000100000" w:firstRow="0" w:lastRow="0" w:firstColumn="0" w:lastColumn="0" w:oddVBand="0" w:evenVBand="0" w:oddHBand="1" w:evenHBand="0" w:firstRowFirstColumn="0" w:firstRowLastColumn="0" w:lastRowFirstColumn="0" w:lastRowLastColumn="0"/>
            </w:pPr>
            <w:r w:rsidRPr="00F51631">
              <w:rPr>
                <w:rFonts w:eastAsia="Times New Roman" w:cs="Arial"/>
                <w:bCs/>
                <w:sz w:val="24"/>
                <w:szCs w:val="24"/>
              </w:rPr>
              <w:t>Ashely Youth Detention Centre</w:t>
            </w:r>
          </w:p>
        </w:tc>
      </w:tr>
      <w:tr w:rsidR="007D32F6"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7D32F6" w:rsidRPr="006F6682" w:rsidRDefault="007D32F6" w:rsidP="007D32F6">
            <w:pPr>
              <w:rPr>
                <w:sz w:val="24"/>
                <w:szCs w:val="24"/>
              </w:rPr>
            </w:pPr>
            <w:r w:rsidRPr="006F6682">
              <w:rPr>
                <w:sz w:val="24"/>
                <w:szCs w:val="24"/>
              </w:rPr>
              <w:t>Section</w:t>
            </w:r>
          </w:p>
        </w:tc>
        <w:tc>
          <w:tcPr>
            <w:tcW w:w="6458" w:type="dxa"/>
            <w:gridSpan w:val="2"/>
            <w:vAlign w:val="top"/>
          </w:tcPr>
          <w:p w14:paraId="561EA7C6" w14:textId="64A8E27B" w:rsidR="007D32F6" w:rsidRPr="00B103A8" w:rsidRDefault="007D32F6" w:rsidP="007D32F6">
            <w:pPr>
              <w:cnfStyle w:val="000000000000" w:firstRow="0" w:lastRow="0" w:firstColumn="0" w:lastColumn="0" w:oddVBand="0" w:evenVBand="0" w:oddHBand="0" w:evenHBand="0" w:firstRowFirstColumn="0" w:firstRowLastColumn="0" w:lastRowFirstColumn="0" w:lastRowLastColumn="0"/>
            </w:pPr>
            <w:r w:rsidRPr="00F51631">
              <w:rPr>
                <w:rFonts w:eastAsia="Times New Roman" w:cs="Arial"/>
                <w:bCs/>
                <w:sz w:val="24"/>
                <w:szCs w:val="24"/>
              </w:rPr>
              <w:t>N/A</w:t>
            </w:r>
          </w:p>
        </w:tc>
      </w:tr>
      <w:tr w:rsidR="007D32F6"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7D32F6" w:rsidRPr="006F6682" w:rsidRDefault="007D32F6" w:rsidP="007D32F6">
            <w:pPr>
              <w:rPr>
                <w:sz w:val="24"/>
                <w:szCs w:val="24"/>
              </w:rPr>
            </w:pPr>
            <w:r w:rsidRPr="006F6682">
              <w:rPr>
                <w:sz w:val="24"/>
                <w:szCs w:val="24"/>
              </w:rPr>
              <w:t>Sub-Section/Unit/School</w:t>
            </w:r>
          </w:p>
        </w:tc>
        <w:tc>
          <w:tcPr>
            <w:tcW w:w="6458" w:type="dxa"/>
            <w:gridSpan w:val="2"/>
            <w:vAlign w:val="top"/>
          </w:tcPr>
          <w:p w14:paraId="0AF51446" w14:textId="6FCF7E48" w:rsidR="007D32F6" w:rsidRPr="00B103A8" w:rsidRDefault="007D32F6" w:rsidP="007D32F6">
            <w:pPr>
              <w:cnfStyle w:val="000000100000" w:firstRow="0" w:lastRow="0" w:firstColumn="0" w:lastColumn="0" w:oddVBand="0" w:evenVBand="0" w:oddHBand="1" w:evenHBand="0" w:firstRowFirstColumn="0" w:firstRowLastColumn="0" w:lastRowFirstColumn="0" w:lastRowLastColumn="0"/>
            </w:pPr>
            <w:r w:rsidRPr="00F51631">
              <w:rPr>
                <w:rFonts w:eastAsia="Times New Roman" w:cs="Arial"/>
                <w:bCs/>
                <w:sz w:val="24"/>
                <w:szCs w:val="24"/>
              </w:rPr>
              <w:t>N/A</w:t>
            </w:r>
          </w:p>
        </w:tc>
      </w:tr>
      <w:tr w:rsidR="007D32F6"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7D32F6" w:rsidRPr="006F6682" w:rsidRDefault="007D32F6" w:rsidP="007D32F6">
            <w:pPr>
              <w:rPr>
                <w:sz w:val="24"/>
                <w:szCs w:val="24"/>
              </w:rPr>
            </w:pPr>
            <w:r w:rsidRPr="006F6682">
              <w:rPr>
                <w:sz w:val="24"/>
                <w:szCs w:val="24"/>
              </w:rPr>
              <w:t>Supervisor</w:t>
            </w:r>
          </w:p>
        </w:tc>
        <w:tc>
          <w:tcPr>
            <w:tcW w:w="6458" w:type="dxa"/>
            <w:gridSpan w:val="2"/>
            <w:vAlign w:val="top"/>
          </w:tcPr>
          <w:p w14:paraId="2F473510" w14:textId="48D3687F" w:rsidR="007D32F6" w:rsidRPr="001D6CDC" w:rsidRDefault="001D6CDC" w:rsidP="007D32F6">
            <w:pPr>
              <w:cnfStyle w:val="000000000000" w:firstRow="0" w:lastRow="0" w:firstColumn="0" w:lastColumn="0" w:oddVBand="0" w:evenVBand="0" w:oddHBand="0" w:evenHBand="0" w:firstRowFirstColumn="0" w:firstRowLastColumn="0" w:lastRowFirstColumn="0" w:lastRowLastColumn="0"/>
              <w:rPr>
                <w:rFonts w:eastAsia="Times New Roman" w:cs="Arial"/>
                <w:bCs/>
                <w:sz w:val="24"/>
                <w:szCs w:val="24"/>
              </w:rPr>
            </w:pPr>
            <w:r w:rsidRPr="001D6CDC">
              <w:rPr>
                <w:rFonts w:eastAsia="Times New Roman" w:cs="Arial"/>
                <w:bCs/>
                <w:sz w:val="24"/>
                <w:szCs w:val="24"/>
              </w:rPr>
              <w:t>Manager Case Management and Programs</w:t>
            </w:r>
          </w:p>
        </w:tc>
      </w:tr>
      <w:tr w:rsidR="007D32F6"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7D32F6" w:rsidRPr="006F6682" w:rsidRDefault="007D32F6" w:rsidP="007D32F6">
            <w:pPr>
              <w:rPr>
                <w:sz w:val="24"/>
                <w:szCs w:val="24"/>
              </w:rPr>
            </w:pPr>
            <w:r w:rsidRPr="006F6682">
              <w:rPr>
                <w:sz w:val="24"/>
                <w:szCs w:val="24"/>
              </w:rPr>
              <w:t>Award/Agreement</w:t>
            </w:r>
          </w:p>
        </w:tc>
        <w:tc>
          <w:tcPr>
            <w:tcW w:w="6458" w:type="dxa"/>
            <w:gridSpan w:val="2"/>
            <w:vAlign w:val="top"/>
          </w:tcPr>
          <w:p w14:paraId="3E694C01" w14:textId="2E712B74" w:rsidR="007D32F6" w:rsidRPr="00B103A8" w:rsidRDefault="007D32F6" w:rsidP="007D32F6">
            <w:pPr>
              <w:cnfStyle w:val="000000100000" w:firstRow="0" w:lastRow="0" w:firstColumn="0" w:lastColumn="0" w:oddVBand="0" w:evenVBand="0" w:oddHBand="1" w:evenHBand="0" w:firstRowFirstColumn="0" w:firstRowLastColumn="0" w:lastRowFirstColumn="0" w:lastRowLastColumn="0"/>
            </w:pPr>
            <w:r w:rsidRPr="00F51631">
              <w:rPr>
                <w:rFonts w:eastAsia="Times New Roman" w:cs="Arial"/>
                <w:bCs/>
                <w:sz w:val="24"/>
                <w:szCs w:val="24"/>
              </w:rPr>
              <w:t>Allied Health Professionals Public Sector Unions Wages Agreement</w:t>
            </w:r>
          </w:p>
        </w:tc>
      </w:tr>
      <w:tr w:rsidR="007D32F6"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7D32F6" w:rsidRPr="006F6682" w:rsidRDefault="007D32F6" w:rsidP="007D32F6">
            <w:pPr>
              <w:rPr>
                <w:b w:val="0"/>
                <w:sz w:val="24"/>
                <w:szCs w:val="24"/>
              </w:rPr>
            </w:pPr>
            <w:r w:rsidRPr="006F6682">
              <w:rPr>
                <w:sz w:val="24"/>
                <w:szCs w:val="24"/>
              </w:rPr>
              <w:t>Classification</w:t>
            </w:r>
          </w:p>
        </w:tc>
        <w:tc>
          <w:tcPr>
            <w:tcW w:w="6458" w:type="dxa"/>
            <w:gridSpan w:val="2"/>
            <w:vAlign w:val="top"/>
          </w:tcPr>
          <w:p w14:paraId="40BA5B5D" w14:textId="0A672269" w:rsidR="007D32F6" w:rsidRPr="00B103A8" w:rsidRDefault="007D32F6" w:rsidP="007D32F6">
            <w:pPr>
              <w:cnfStyle w:val="000000000000" w:firstRow="0" w:lastRow="0" w:firstColumn="0" w:lastColumn="0" w:oddVBand="0" w:evenVBand="0" w:oddHBand="0" w:evenHBand="0" w:firstRowFirstColumn="0" w:firstRowLastColumn="0" w:lastRowFirstColumn="0" w:lastRowLastColumn="0"/>
            </w:pPr>
            <w:r w:rsidRPr="00F51631">
              <w:rPr>
                <w:rFonts w:eastAsia="Times New Roman" w:cs="Arial"/>
                <w:bCs/>
                <w:sz w:val="24"/>
                <w:szCs w:val="24"/>
              </w:rPr>
              <w:t>Allie Health Professional Level 3</w:t>
            </w:r>
          </w:p>
        </w:tc>
      </w:tr>
      <w:tr w:rsidR="007D32F6"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7D32F6" w:rsidRPr="006F6682" w:rsidRDefault="007D32F6" w:rsidP="007D32F6">
            <w:pPr>
              <w:rPr>
                <w:b w:val="0"/>
                <w:sz w:val="24"/>
                <w:szCs w:val="24"/>
              </w:rPr>
            </w:pPr>
            <w:r w:rsidRPr="006F6682">
              <w:rPr>
                <w:sz w:val="24"/>
                <w:szCs w:val="24"/>
              </w:rPr>
              <w:t>Employment Conditions</w:t>
            </w:r>
          </w:p>
        </w:tc>
        <w:tc>
          <w:tcPr>
            <w:tcW w:w="6458" w:type="dxa"/>
            <w:gridSpan w:val="2"/>
            <w:vAlign w:val="top"/>
          </w:tcPr>
          <w:p w14:paraId="7AD6A1BD" w14:textId="5B9ED811" w:rsidR="007D32F6" w:rsidRPr="00B103A8" w:rsidRDefault="007D32F6" w:rsidP="007D32F6">
            <w:pPr>
              <w:cnfStyle w:val="000000100000" w:firstRow="0" w:lastRow="0" w:firstColumn="0" w:lastColumn="0" w:oddVBand="0" w:evenVBand="0" w:oddHBand="1" w:evenHBand="0" w:firstRowFirstColumn="0" w:firstRowLastColumn="0" w:lastRowFirstColumn="0" w:lastRowLastColumn="0"/>
            </w:pPr>
            <w:r w:rsidRPr="00F51631">
              <w:rPr>
                <w:bCs/>
                <w:sz w:val="24"/>
                <w:szCs w:val="24"/>
              </w:rPr>
              <w:t>Permanent, full time</w:t>
            </w:r>
          </w:p>
        </w:tc>
      </w:tr>
      <w:tr w:rsidR="007D32F6"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7D32F6" w:rsidRPr="006F6682" w:rsidRDefault="007D32F6" w:rsidP="007D32F6">
            <w:pPr>
              <w:rPr>
                <w:b w:val="0"/>
                <w:sz w:val="24"/>
                <w:szCs w:val="24"/>
              </w:rPr>
            </w:pPr>
            <w:r w:rsidRPr="006F6682">
              <w:rPr>
                <w:sz w:val="24"/>
                <w:szCs w:val="24"/>
              </w:rPr>
              <w:t>Location</w:t>
            </w:r>
          </w:p>
        </w:tc>
        <w:tc>
          <w:tcPr>
            <w:tcW w:w="6458" w:type="dxa"/>
            <w:gridSpan w:val="2"/>
            <w:vAlign w:val="top"/>
          </w:tcPr>
          <w:p w14:paraId="032570CD" w14:textId="1A31E080" w:rsidR="007D32F6" w:rsidRPr="00B103A8" w:rsidRDefault="007D32F6" w:rsidP="007D32F6">
            <w:pPr>
              <w:cnfStyle w:val="000000000000" w:firstRow="0" w:lastRow="0" w:firstColumn="0" w:lastColumn="0" w:oddVBand="0" w:evenVBand="0" w:oddHBand="0" w:evenHBand="0" w:firstRowFirstColumn="0" w:firstRowLastColumn="0" w:lastRowFirstColumn="0" w:lastRowLastColumn="0"/>
            </w:pPr>
            <w:r w:rsidRPr="00F51631">
              <w:rPr>
                <w:rFonts w:eastAsia="Times New Roman"/>
                <w:sz w:val="24"/>
                <w:szCs w:val="24"/>
              </w:rPr>
              <w:t>North</w:t>
            </w:r>
          </w:p>
        </w:tc>
      </w:tr>
      <w:tr w:rsidR="007D32F6" w14:paraId="5C4E8C44"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0328A29" w14:textId="7A535E78" w:rsidR="007D32F6" w:rsidRPr="006F6682" w:rsidRDefault="007D32F6" w:rsidP="007D32F6">
            <w:pPr>
              <w:rPr>
                <w:sz w:val="24"/>
                <w:szCs w:val="24"/>
              </w:rPr>
            </w:pPr>
            <w:r w:rsidRPr="006F6682">
              <w:rPr>
                <w:sz w:val="24"/>
                <w:szCs w:val="24"/>
              </w:rPr>
              <w:t>Check Type</w:t>
            </w:r>
          </w:p>
        </w:tc>
        <w:tc>
          <w:tcPr>
            <w:tcW w:w="6458" w:type="dxa"/>
            <w:gridSpan w:val="2"/>
            <w:vAlign w:val="top"/>
          </w:tcPr>
          <w:p w14:paraId="1DEB05E9" w14:textId="382B3DA9" w:rsidR="007D32F6" w:rsidRPr="00B103A8" w:rsidRDefault="007D32F6" w:rsidP="007D32F6">
            <w:pPr>
              <w:cnfStyle w:val="000000100000" w:firstRow="0" w:lastRow="0" w:firstColumn="0" w:lastColumn="0" w:oddVBand="0" w:evenVBand="0" w:oddHBand="1" w:evenHBand="0" w:firstRowFirstColumn="0" w:firstRowLastColumn="0" w:lastRowFirstColumn="0" w:lastRowLastColumn="0"/>
            </w:pPr>
            <w:r w:rsidRPr="00F51631">
              <w:rPr>
                <w:rFonts w:eastAsia="Times New Roman"/>
                <w:sz w:val="24"/>
                <w:szCs w:val="24"/>
              </w:rPr>
              <w:t>Schedule 1</w:t>
            </w:r>
          </w:p>
        </w:tc>
      </w:tr>
      <w:tr w:rsidR="007D32F6" w14:paraId="78087E14"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4C67F7A0" w14:textId="2990E227" w:rsidR="007D32F6" w:rsidRPr="006F6682" w:rsidRDefault="007D32F6" w:rsidP="007D32F6">
            <w:pPr>
              <w:rPr>
                <w:sz w:val="24"/>
                <w:szCs w:val="24"/>
              </w:rPr>
            </w:pPr>
            <w:r w:rsidRPr="006F6682">
              <w:rPr>
                <w:sz w:val="24"/>
                <w:szCs w:val="24"/>
              </w:rPr>
              <w:t>Check Frequency</w:t>
            </w:r>
          </w:p>
        </w:tc>
        <w:tc>
          <w:tcPr>
            <w:tcW w:w="6458" w:type="dxa"/>
            <w:gridSpan w:val="2"/>
            <w:vAlign w:val="top"/>
          </w:tcPr>
          <w:p w14:paraId="4B9396AE" w14:textId="2B0E53F0" w:rsidR="007D32F6" w:rsidRPr="00B103A8" w:rsidRDefault="007D32F6" w:rsidP="007D32F6">
            <w:pPr>
              <w:cnfStyle w:val="000000000000" w:firstRow="0" w:lastRow="0" w:firstColumn="0" w:lastColumn="0" w:oddVBand="0" w:evenVBand="0" w:oddHBand="0" w:evenHBand="0" w:firstRowFirstColumn="0" w:firstRowLastColumn="0" w:lastRowFirstColumn="0" w:lastRowLastColumn="0"/>
            </w:pPr>
            <w:r w:rsidRPr="00F51631">
              <w:rPr>
                <w:rFonts w:eastAsia="Times New Roman"/>
                <w:sz w:val="24"/>
                <w:szCs w:val="24"/>
              </w:rPr>
              <w:t>Pre-employment</w:t>
            </w:r>
          </w:p>
        </w:tc>
      </w:tr>
    </w:tbl>
    <w:p w14:paraId="32ECC708" w14:textId="77777777" w:rsidR="00360CDB" w:rsidRPr="00190B67" w:rsidRDefault="00360CDB" w:rsidP="00360CDB">
      <w:pPr>
        <w:pStyle w:val="Heading2"/>
        <w:rPr>
          <w:color w:val="011947"/>
        </w:rPr>
      </w:pPr>
      <w:r w:rsidRPr="00190B67">
        <w:rPr>
          <w:color w:val="011947"/>
        </w:rPr>
        <w:t>Context</w:t>
      </w:r>
    </w:p>
    <w:p w14:paraId="116A7E5D" w14:textId="77777777" w:rsidR="007D32F6" w:rsidRPr="00F51631" w:rsidRDefault="007D32F6" w:rsidP="00280FBB">
      <w:pPr>
        <w:rPr>
          <w:sz w:val="24"/>
          <w:szCs w:val="24"/>
        </w:rPr>
      </w:pPr>
      <w:r>
        <w:rPr>
          <w:sz w:val="24"/>
          <w:szCs w:val="24"/>
        </w:rPr>
        <w:t>Department for Education Children and Young People</w:t>
      </w:r>
      <w:r w:rsidRPr="00F51631">
        <w:rPr>
          <w:sz w:val="24"/>
          <w:szCs w:val="24"/>
        </w:rPr>
        <w:t xml:space="preserve"> brings together a range of functions, programs and initiatives aimed at enhancing and improving the lives of all Tasmanians. To create strong, inclusive, and proud communities the Department will collaborate with our community-based partners to empower individuals and families throughout Tasmania to lead fulfilling lives. </w:t>
      </w:r>
    </w:p>
    <w:p w14:paraId="3D7E5D7F" w14:textId="77777777" w:rsidR="007D32F6" w:rsidRPr="00F51631" w:rsidRDefault="007D32F6" w:rsidP="00280FBB">
      <w:pPr>
        <w:rPr>
          <w:sz w:val="24"/>
          <w:szCs w:val="24"/>
        </w:rPr>
      </w:pPr>
      <w:r>
        <w:rPr>
          <w:sz w:val="24"/>
          <w:szCs w:val="24"/>
        </w:rPr>
        <w:t>Department for Education Children and Young People</w:t>
      </w:r>
      <w:r w:rsidRPr="00F51631">
        <w:rPr>
          <w:sz w:val="24"/>
          <w:szCs w:val="24"/>
        </w:rPr>
        <w:t xml:space="preserve"> provides opportunities for all Tasmanians to participate in community life, sport, and recreation; supports, protects, and nurtures vulnerable children, young people, and their families; delivers and facilitates specialist disability services; and provides services to support social and affordable housing. The services of </w:t>
      </w:r>
      <w:r>
        <w:rPr>
          <w:sz w:val="24"/>
          <w:szCs w:val="24"/>
        </w:rPr>
        <w:t>Department for Education Children and Young People</w:t>
      </w:r>
      <w:r w:rsidRPr="00F51631">
        <w:rPr>
          <w:sz w:val="24"/>
          <w:szCs w:val="24"/>
        </w:rPr>
        <w:t xml:space="preserve"> are based in all major centres throughout Tasmania; therefore, some roles may require intrastate travel.</w:t>
      </w:r>
    </w:p>
    <w:p w14:paraId="33D5B551" w14:textId="77777777" w:rsidR="007D32F6" w:rsidRPr="00F51631" w:rsidRDefault="007D32F6" w:rsidP="00280FBB">
      <w:pPr>
        <w:rPr>
          <w:sz w:val="24"/>
          <w:szCs w:val="24"/>
        </w:rPr>
      </w:pPr>
      <w:r>
        <w:rPr>
          <w:sz w:val="24"/>
          <w:szCs w:val="24"/>
        </w:rPr>
        <w:t>Department for Education Children and Young People</w:t>
      </w:r>
      <w:r w:rsidRPr="00F51631">
        <w:rPr>
          <w:sz w:val="24"/>
          <w:szCs w:val="24"/>
        </w:rPr>
        <w:t xml:space="preserve"> creates an environment where children’s safety and wellbeing are the centre of thought, values, and action - we are responsive to the needs of families and communities that we engage with. We are a child safe organisation that puts the safety of children and young people first, creating a culture, adopting strategies, and taking action to promote child wellbeing and prevent harm to children and young people. </w:t>
      </w:r>
    </w:p>
    <w:p w14:paraId="45FC4D4C" w14:textId="60A5CF8D" w:rsidR="00360CDB" w:rsidRPr="00190B67" w:rsidRDefault="005F3B0F" w:rsidP="00360CDB">
      <w:pPr>
        <w:pStyle w:val="Heading2"/>
        <w:rPr>
          <w:color w:val="011947"/>
        </w:rPr>
      </w:pPr>
      <w:r w:rsidRPr="00190B67">
        <w:rPr>
          <w:color w:val="011947"/>
        </w:rPr>
        <w:lastRenderedPageBreak/>
        <w:t>Primary Purpose</w:t>
      </w:r>
    </w:p>
    <w:p w14:paraId="79CBC325" w14:textId="77777777" w:rsidR="007D32F6" w:rsidRPr="00280FBB" w:rsidRDefault="007D32F6" w:rsidP="00280FBB">
      <w:pPr>
        <w:rPr>
          <w:sz w:val="24"/>
          <w:szCs w:val="24"/>
        </w:rPr>
      </w:pPr>
      <w:r w:rsidRPr="00280FBB">
        <w:rPr>
          <w:sz w:val="24"/>
          <w:szCs w:val="24"/>
        </w:rPr>
        <w:t xml:space="preserve">In consultation with the Manager Professional Services and Policy establish, maintain, and develop an effective case management system for Ashley Youth Detention Centre (AYDC). </w:t>
      </w:r>
    </w:p>
    <w:p w14:paraId="190A54C9" w14:textId="77777777" w:rsidR="007D32F6" w:rsidRPr="00280FBB" w:rsidRDefault="007D32F6" w:rsidP="00280FBB">
      <w:pPr>
        <w:rPr>
          <w:sz w:val="24"/>
          <w:szCs w:val="24"/>
        </w:rPr>
      </w:pPr>
      <w:r w:rsidRPr="00280FBB">
        <w:rPr>
          <w:sz w:val="24"/>
          <w:szCs w:val="24"/>
        </w:rPr>
        <w:t xml:space="preserve">As a member of the Case Management Team ensure that all client services and programs under their control conform to Agency principles, practices, and standards relevant to youth custodial services. </w:t>
      </w:r>
    </w:p>
    <w:p w14:paraId="3C635DB0" w14:textId="77777777" w:rsidR="007D32F6" w:rsidRPr="00280FBB" w:rsidRDefault="007D32F6" w:rsidP="00280FBB">
      <w:pPr>
        <w:rPr>
          <w:sz w:val="24"/>
          <w:szCs w:val="24"/>
        </w:rPr>
      </w:pPr>
      <w:r w:rsidRPr="00280FBB">
        <w:rPr>
          <w:sz w:val="24"/>
          <w:szCs w:val="24"/>
        </w:rPr>
        <w:t>Provision of comprehensive, continuing and coordinated services aimed at the reintegration of young people in detention into the community.</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3BEBB2E1" w14:textId="77777777" w:rsidR="008B0FAF" w:rsidRPr="00280FBB" w:rsidRDefault="008B0FAF" w:rsidP="00280FBB">
      <w:pPr>
        <w:rPr>
          <w:sz w:val="24"/>
          <w:szCs w:val="24"/>
        </w:rPr>
      </w:pPr>
      <w:bookmarkStart w:id="1" w:name="_Hlk127543251"/>
      <w:r w:rsidRPr="00280FBB">
        <w:rPr>
          <w:sz w:val="24"/>
          <w:szCs w:val="24"/>
        </w:rPr>
        <w:t>Responsible to the Manager Professional Services and Policy for the establishment and standard of case management for young people in detention.</w:t>
      </w:r>
    </w:p>
    <w:p w14:paraId="5C3A4039" w14:textId="77777777" w:rsidR="008B0FAF" w:rsidRPr="00280FBB" w:rsidRDefault="008B0FAF" w:rsidP="00280FBB">
      <w:pPr>
        <w:rPr>
          <w:sz w:val="24"/>
          <w:szCs w:val="24"/>
        </w:rPr>
      </w:pPr>
      <w:r w:rsidRPr="00280FBB">
        <w:rPr>
          <w:sz w:val="24"/>
          <w:szCs w:val="24"/>
        </w:rPr>
        <w:t>Responsible for the provision of professional direction and support for staff involved in the case management system.</w:t>
      </w:r>
    </w:p>
    <w:p w14:paraId="2A761119" w14:textId="77777777" w:rsidR="00280FBB" w:rsidRDefault="008B0FAF" w:rsidP="00360CDB">
      <w:pPr>
        <w:rPr>
          <w:sz w:val="24"/>
          <w:szCs w:val="24"/>
        </w:rPr>
      </w:pPr>
      <w:r w:rsidRPr="00280FBB">
        <w:rPr>
          <w:sz w:val="24"/>
          <w:szCs w:val="24"/>
        </w:rPr>
        <w:t>Supervise case management staff in an efficient, effective, and safe manner.</w:t>
      </w:r>
    </w:p>
    <w:p w14:paraId="2B0F4C18" w14:textId="0049CE25" w:rsidR="00360CDB" w:rsidRPr="002942F8" w:rsidRDefault="00360CDB" w:rsidP="00360CDB">
      <w:pPr>
        <w:rPr>
          <w:sz w:val="24"/>
          <w:szCs w:val="24"/>
        </w:rPr>
      </w:pPr>
      <w:r w:rsidRPr="002942F8">
        <w:rPr>
          <w:sz w:val="24"/>
          <w:szCs w:val="24"/>
        </w:rPr>
        <w:t xml:space="preserve">The </w:t>
      </w:r>
      <w:r w:rsidR="001906FA" w:rsidRPr="002942F8">
        <w:rPr>
          <w:sz w:val="24"/>
          <w:szCs w:val="24"/>
        </w:rPr>
        <w:t>D</w:t>
      </w:r>
      <w:r w:rsidRPr="002942F8">
        <w:rPr>
          <w:sz w:val="24"/>
          <w:szCs w:val="24"/>
        </w:rPr>
        <w:t>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4FC78E92" w14:textId="2348439D" w:rsidR="008E1563" w:rsidRPr="00190B67" w:rsidRDefault="00360CDB" w:rsidP="008E1563">
      <w:pPr>
        <w:pStyle w:val="Heading2"/>
        <w:rPr>
          <w:color w:val="011947"/>
        </w:rPr>
      </w:pPr>
      <w:r w:rsidRPr="00190B67">
        <w:rPr>
          <w:color w:val="011947"/>
        </w:rPr>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BF330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1862B0A0" w14:textId="77777777" w:rsidR="008B0FAF" w:rsidRPr="00BA3967" w:rsidRDefault="008B0FAF" w:rsidP="00F13B7E">
      <w:pPr>
        <w:pStyle w:val="ListParagraph"/>
        <w:numPr>
          <w:ilvl w:val="0"/>
          <w:numId w:val="40"/>
        </w:numPr>
        <w:jc w:val="both"/>
        <w:rPr>
          <w:sz w:val="24"/>
          <w:szCs w:val="24"/>
        </w:rPr>
      </w:pPr>
      <w:r w:rsidRPr="00BA3967">
        <w:rPr>
          <w:sz w:val="24"/>
          <w:szCs w:val="24"/>
        </w:rPr>
        <w:t>Provide high quality case management services, including assessments and the development of assessment tools, referrals, case plans and the provision of professional advice on case management within AYDC.</w:t>
      </w:r>
    </w:p>
    <w:p w14:paraId="1D1EA3E6" w14:textId="77777777" w:rsidR="008B0FAF" w:rsidRPr="00BA3967" w:rsidRDefault="008B0FAF" w:rsidP="00F13B7E">
      <w:pPr>
        <w:pStyle w:val="ListParagraph"/>
        <w:numPr>
          <w:ilvl w:val="0"/>
          <w:numId w:val="40"/>
        </w:numPr>
        <w:jc w:val="both"/>
        <w:rPr>
          <w:sz w:val="24"/>
          <w:szCs w:val="24"/>
        </w:rPr>
      </w:pPr>
      <w:r w:rsidRPr="00BA3967">
        <w:rPr>
          <w:sz w:val="24"/>
          <w:szCs w:val="24"/>
        </w:rPr>
        <w:t>Assume responsibility for the supervision, training and evaluation of staff involved in the case management system, and for meeting reporting requirements and standards.</w:t>
      </w:r>
    </w:p>
    <w:p w14:paraId="3B8263C1" w14:textId="77777777" w:rsidR="008B0FAF" w:rsidRPr="00BA3967" w:rsidRDefault="008B0FAF" w:rsidP="00F13B7E">
      <w:pPr>
        <w:pStyle w:val="ListParagraph"/>
        <w:numPr>
          <w:ilvl w:val="0"/>
          <w:numId w:val="40"/>
        </w:numPr>
        <w:jc w:val="both"/>
        <w:rPr>
          <w:sz w:val="24"/>
          <w:szCs w:val="24"/>
        </w:rPr>
      </w:pPr>
      <w:r w:rsidRPr="00BA3967">
        <w:rPr>
          <w:sz w:val="24"/>
          <w:szCs w:val="24"/>
        </w:rPr>
        <w:t>Ensure that case management plans are specific, realistic, achievable, and measurable, and that the opportunity for a young person's involvement in their own case management is maximised.</w:t>
      </w:r>
    </w:p>
    <w:p w14:paraId="1439BB9B" w14:textId="77777777" w:rsidR="008B0FAF" w:rsidRPr="00BA3967" w:rsidRDefault="008B0FAF" w:rsidP="00F13B7E">
      <w:pPr>
        <w:pStyle w:val="ListParagraph"/>
        <w:numPr>
          <w:ilvl w:val="0"/>
          <w:numId w:val="40"/>
        </w:numPr>
        <w:jc w:val="both"/>
        <w:rPr>
          <w:sz w:val="24"/>
          <w:szCs w:val="24"/>
        </w:rPr>
      </w:pPr>
      <w:r w:rsidRPr="00BA3967">
        <w:rPr>
          <w:sz w:val="24"/>
          <w:szCs w:val="24"/>
        </w:rPr>
        <w:t>Conduct research and prepare complex correspondence for the Manager Custodial Youth Justice, state-wide managers of Children</w:t>
      </w:r>
      <w:r>
        <w:rPr>
          <w:sz w:val="24"/>
          <w:szCs w:val="24"/>
        </w:rPr>
        <w:t xml:space="preserve">, Youth and Families </w:t>
      </w:r>
      <w:r w:rsidRPr="00BA3967">
        <w:rPr>
          <w:sz w:val="24"/>
          <w:szCs w:val="24"/>
        </w:rPr>
        <w:t>Departmental Executive, and/or the Minister.</w:t>
      </w:r>
    </w:p>
    <w:p w14:paraId="05DEF0A5" w14:textId="77777777" w:rsidR="008B0FAF" w:rsidRPr="00BA3967" w:rsidRDefault="008B0FAF" w:rsidP="00F13B7E">
      <w:pPr>
        <w:pStyle w:val="ListParagraph"/>
        <w:numPr>
          <w:ilvl w:val="0"/>
          <w:numId w:val="40"/>
        </w:numPr>
        <w:jc w:val="both"/>
        <w:rPr>
          <w:sz w:val="24"/>
          <w:szCs w:val="24"/>
        </w:rPr>
      </w:pPr>
      <w:r w:rsidRPr="00BA3967">
        <w:rPr>
          <w:sz w:val="24"/>
          <w:szCs w:val="24"/>
        </w:rPr>
        <w:t>Identify resources to meet the individual needs of young people in custody.</w:t>
      </w:r>
    </w:p>
    <w:p w14:paraId="54C29A6B" w14:textId="77777777" w:rsidR="008B0FAF" w:rsidRPr="00BA3967" w:rsidRDefault="008B0FAF" w:rsidP="00F13B7E">
      <w:pPr>
        <w:pStyle w:val="ListParagraph"/>
        <w:numPr>
          <w:ilvl w:val="0"/>
          <w:numId w:val="40"/>
        </w:numPr>
        <w:jc w:val="both"/>
        <w:rPr>
          <w:sz w:val="24"/>
          <w:szCs w:val="24"/>
        </w:rPr>
      </w:pPr>
      <w:r w:rsidRPr="00BA3967">
        <w:rPr>
          <w:sz w:val="24"/>
          <w:szCs w:val="24"/>
        </w:rPr>
        <w:t xml:space="preserve">Undertake complex client group interventions as required. </w:t>
      </w:r>
    </w:p>
    <w:p w14:paraId="48AAE8B7" w14:textId="77777777" w:rsidR="008B0FAF" w:rsidRPr="00BA3967" w:rsidRDefault="008B0FAF" w:rsidP="00F13B7E">
      <w:pPr>
        <w:pStyle w:val="ListParagraph"/>
        <w:numPr>
          <w:ilvl w:val="0"/>
          <w:numId w:val="40"/>
        </w:numPr>
        <w:jc w:val="both"/>
        <w:rPr>
          <w:sz w:val="24"/>
          <w:szCs w:val="24"/>
        </w:rPr>
      </w:pPr>
      <w:r w:rsidRPr="00BA3967">
        <w:rPr>
          <w:sz w:val="24"/>
          <w:szCs w:val="24"/>
        </w:rPr>
        <w:t xml:space="preserve">Establish and maintain effective communication and information systems for the case management system. </w:t>
      </w:r>
    </w:p>
    <w:p w14:paraId="5FAE9942" w14:textId="77777777" w:rsidR="008B0FAF" w:rsidRPr="00BA3967" w:rsidRDefault="008B0FAF" w:rsidP="00F13B7E">
      <w:pPr>
        <w:pStyle w:val="ListParagraph"/>
        <w:numPr>
          <w:ilvl w:val="0"/>
          <w:numId w:val="40"/>
        </w:numPr>
        <w:jc w:val="both"/>
        <w:rPr>
          <w:sz w:val="24"/>
          <w:szCs w:val="24"/>
        </w:rPr>
      </w:pPr>
      <w:r w:rsidRPr="00BA3967">
        <w:rPr>
          <w:sz w:val="24"/>
          <w:szCs w:val="24"/>
        </w:rPr>
        <w:t>Monitor and evaluate service interventions against set standards, practices, and procedures.</w:t>
      </w:r>
    </w:p>
    <w:p w14:paraId="483A5E94" w14:textId="77777777" w:rsidR="008B0FAF" w:rsidRPr="00BA3967" w:rsidRDefault="008B0FAF" w:rsidP="00F13B7E">
      <w:pPr>
        <w:pStyle w:val="ListParagraph"/>
        <w:numPr>
          <w:ilvl w:val="0"/>
          <w:numId w:val="40"/>
        </w:numPr>
        <w:jc w:val="both"/>
        <w:rPr>
          <w:sz w:val="24"/>
          <w:szCs w:val="24"/>
        </w:rPr>
      </w:pPr>
      <w:r w:rsidRPr="00BA3967">
        <w:rPr>
          <w:sz w:val="24"/>
          <w:szCs w:val="24"/>
        </w:rPr>
        <w:t>Research and maintain knowledge of current and emerging trends and practices concerning youth detention and the delivery of case management and related services and programs.</w:t>
      </w:r>
    </w:p>
    <w:p w14:paraId="024B394C" w14:textId="77777777" w:rsidR="008B0FAF" w:rsidRPr="00BA3967" w:rsidRDefault="008B0FAF" w:rsidP="00F13B7E">
      <w:pPr>
        <w:pStyle w:val="ListParagraph"/>
        <w:numPr>
          <w:ilvl w:val="0"/>
          <w:numId w:val="40"/>
        </w:numPr>
        <w:jc w:val="both"/>
        <w:rPr>
          <w:sz w:val="24"/>
          <w:szCs w:val="24"/>
        </w:rPr>
      </w:pPr>
      <w:r w:rsidRPr="00BA3967">
        <w:rPr>
          <w:sz w:val="24"/>
          <w:szCs w:val="24"/>
        </w:rPr>
        <w:lastRenderedPageBreak/>
        <w:t>Liaise with other government and non-government agencies to ensure the effective coordination and delivery of high-quality case management services for young people at AYDC.</w:t>
      </w:r>
    </w:p>
    <w:p w14:paraId="1AE1D0CF" w14:textId="77777777" w:rsidR="008B0FAF" w:rsidRPr="00BA3967" w:rsidRDefault="008B0FAF" w:rsidP="00F13B7E">
      <w:pPr>
        <w:pStyle w:val="ListParagraph"/>
        <w:numPr>
          <w:ilvl w:val="0"/>
          <w:numId w:val="40"/>
        </w:numPr>
        <w:jc w:val="both"/>
        <w:rPr>
          <w:sz w:val="24"/>
          <w:szCs w:val="24"/>
        </w:rPr>
      </w:pPr>
      <w:r w:rsidRPr="00BA3967">
        <w:rPr>
          <w:sz w:val="24"/>
          <w:szCs w:val="24"/>
        </w:rPr>
        <w:t>Contribute to the AYDC’s case management policy, procedures, and practices, consistent with national standards.</w:t>
      </w:r>
    </w:p>
    <w:p w14:paraId="64145184" w14:textId="77777777" w:rsidR="008B0FAF" w:rsidRDefault="008B0FAF" w:rsidP="00F13B7E">
      <w:pPr>
        <w:pStyle w:val="ListParagraph"/>
        <w:numPr>
          <w:ilvl w:val="0"/>
          <w:numId w:val="40"/>
        </w:numPr>
        <w:jc w:val="both"/>
        <w:rPr>
          <w:sz w:val="24"/>
          <w:szCs w:val="24"/>
        </w:rPr>
      </w:pPr>
      <w:r>
        <w:rPr>
          <w:sz w:val="24"/>
          <w:szCs w:val="24"/>
        </w:rPr>
        <w:t>Ensure the safety and wellbeing of vulnerable people you may be working with (including children and young people) and immediately report any concerns, disclosures, allegations, or suspicions of harm. Actively participate in and contribute to practices that will ensure Department for Education Children and Young People</w:t>
      </w:r>
      <w:r w:rsidRPr="00F51631">
        <w:rPr>
          <w:sz w:val="24"/>
          <w:szCs w:val="24"/>
        </w:rPr>
        <w:t xml:space="preserve"> </w:t>
      </w:r>
      <w:r>
        <w:rPr>
          <w:sz w:val="24"/>
          <w:szCs w:val="24"/>
        </w:rPr>
        <w:t xml:space="preserve">is a child safe organisation including reporting, record keeping and information sharing obligations. </w:t>
      </w:r>
    </w:p>
    <w:p w14:paraId="7A882E42" w14:textId="77777777" w:rsidR="008B0FAF" w:rsidRPr="005B46C8" w:rsidRDefault="008B0FAF" w:rsidP="00F13B7E">
      <w:pPr>
        <w:pStyle w:val="ListParagraph"/>
        <w:numPr>
          <w:ilvl w:val="0"/>
          <w:numId w:val="40"/>
        </w:numPr>
        <w:jc w:val="both"/>
        <w:rPr>
          <w:sz w:val="24"/>
          <w:szCs w:val="24"/>
        </w:rPr>
      </w:pPr>
      <w:r w:rsidRPr="005B46C8">
        <w:rPr>
          <w:sz w:val="24"/>
          <w:szCs w:val="24"/>
        </w:rPr>
        <w:t>Actively participate in and contribute to the organisation’s Quality &amp; Safety and Work Health &amp; Safety processes, including the development and implementation of safety systems, improvement initiatives and related training, ensuring that quality and safety improvement processes are in place and acted upon.</w:t>
      </w:r>
    </w:p>
    <w:p w14:paraId="55639D1A" w14:textId="77777777" w:rsidR="008B0FAF" w:rsidRPr="00F13B7E" w:rsidRDefault="008B0FAF" w:rsidP="008B0FAF">
      <w:pPr>
        <w:pStyle w:val="ListParagraph"/>
        <w:numPr>
          <w:ilvl w:val="0"/>
          <w:numId w:val="40"/>
        </w:numPr>
        <w:jc w:val="both"/>
        <w:rPr>
          <w:sz w:val="24"/>
          <w:szCs w:val="24"/>
        </w:rPr>
      </w:pPr>
      <w:r w:rsidRPr="003A0A35">
        <w:rPr>
          <w:sz w:val="24"/>
          <w:szCs w:val="24"/>
        </w:rPr>
        <w:t>The incumbent can expect to be allocated duties, not specifically mentioned in this document, which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F13B7E">
        <w:rPr>
          <w:rFonts w:eastAsia="Times New Roman"/>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2E258DE7"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550A8F5B" w14:textId="77777777" w:rsidR="008B0FAF" w:rsidRPr="00F13B7E" w:rsidRDefault="008B0FAF" w:rsidP="00F13B7E">
      <w:pPr>
        <w:pStyle w:val="ListParagraph"/>
        <w:numPr>
          <w:ilvl w:val="0"/>
          <w:numId w:val="42"/>
        </w:numPr>
        <w:jc w:val="both"/>
        <w:rPr>
          <w:sz w:val="24"/>
          <w:szCs w:val="24"/>
        </w:rPr>
      </w:pPr>
      <w:r w:rsidRPr="00F13B7E">
        <w:rPr>
          <w:sz w:val="24"/>
          <w:szCs w:val="24"/>
        </w:rPr>
        <w:t>Extensive post graduate experience in a relevant field, and preferably experience within a youth detention setting.</w:t>
      </w:r>
    </w:p>
    <w:p w14:paraId="112A828F" w14:textId="77777777" w:rsidR="008B0FAF" w:rsidRPr="00F13B7E" w:rsidRDefault="008B0FAF" w:rsidP="00F13B7E">
      <w:pPr>
        <w:pStyle w:val="ListParagraph"/>
        <w:numPr>
          <w:ilvl w:val="0"/>
          <w:numId w:val="42"/>
        </w:numPr>
        <w:jc w:val="both"/>
        <w:rPr>
          <w:sz w:val="24"/>
          <w:szCs w:val="24"/>
        </w:rPr>
      </w:pPr>
      <w:r w:rsidRPr="00F13B7E">
        <w:rPr>
          <w:sz w:val="24"/>
          <w:szCs w:val="24"/>
        </w:rPr>
        <w:t>Demonstrated knowledge of the Youth Justice Act 1997, other relevant legislation and national standards, and demonstrated knowledge of contemporary issues, practices and trends in respect to services for young</w:t>
      </w:r>
      <w:r w:rsidRPr="00420C63">
        <w:rPr>
          <w:sz w:val="24"/>
          <w:szCs w:val="24"/>
        </w:rPr>
        <w:t xml:space="preserve"> </w:t>
      </w:r>
      <w:r w:rsidRPr="00F13B7E">
        <w:rPr>
          <w:sz w:val="24"/>
          <w:szCs w:val="24"/>
        </w:rPr>
        <w:t>people who have offended, and their families; together with a commitment to working with young offenders, and sensitivity to and capacity for working closely with young people in detention.</w:t>
      </w:r>
    </w:p>
    <w:p w14:paraId="26DF5C07" w14:textId="77777777" w:rsidR="008B0FAF" w:rsidRPr="00F13B7E" w:rsidRDefault="008B0FAF" w:rsidP="00F13B7E">
      <w:pPr>
        <w:pStyle w:val="ListParagraph"/>
        <w:numPr>
          <w:ilvl w:val="0"/>
          <w:numId w:val="42"/>
        </w:numPr>
        <w:jc w:val="both"/>
        <w:rPr>
          <w:sz w:val="24"/>
          <w:szCs w:val="24"/>
        </w:rPr>
      </w:pPr>
      <w:r w:rsidRPr="00F13B7E">
        <w:rPr>
          <w:sz w:val="24"/>
          <w:szCs w:val="24"/>
        </w:rPr>
        <w:t>Ability to demonstrate high level management experience in a multi-disciplinary environment, including problem-solving, change management and best practice.</w:t>
      </w:r>
    </w:p>
    <w:p w14:paraId="61DA353C" w14:textId="77777777" w:rsidR="008B0FAF" w:rsidRPr="00F13B7E" w:rsidRDefault="008B0FAF" w:rsidP="00F13B7E">
      <w:pPr>
        <w:pStyle w:val="ListParagraph"/>
        <w:numPr>
          <w:ilvl w:val="0"/>
          <w:numId w:val="42"/>
        </w:numPr>
        <w:jc w:val="both"/>
        <w:rPr>
          <w:sz w:val="24"/>
          <w:szCs w:val="24"/>
        </w:rPr>
      </w:pPr>
      <w:r w:rsidRPr="00F13B7E">
        <w:rPr>
          <w:sz w:val="24"/>
          <w:szCs w:val="24"/>
        </w:rPr>
        <w:lastRenderedPageBreak/>
        <w:t>Demonstrated high level communication and interpersonal skills with the ability to establish and maintain staff and client relationships.</w:t>
      </w:r>
    </w:p>
    <w:p w14:paraId="0B391D96" w14:textId="77777777" w:rsidR="008B0FAF" w:rsidRPr="00F13B7E" w:rsidRDefault="008B0FAF" w:rsidP="00F13B7E">
      <w:pPr>
        <w:pStyle w:val="ListParagraph"/>
        <w:numPr>
          <w:ilvl w:val="0"/>
          <w:numId w:val="42"/>
        </w:numPr>
        <w:jc w:val="both"/>
        <w:rPr>
          <w:sz w:val="24"/>
          <w:szCs w:val="24"/>
        </w:rPr>
      </w:pPr>
      <w:r w:rsidRPr="00F13B7E">
        <w:rPr>
          <w:sz w:val="24"/>
          <w:szCs w:val="24"/>
        </w:rPr>
        <w:t>Understanding of, and skills in, staff training, education, and development.</w:t>
      </w:r>
    </w:p>
    <w:p w14:paraId="2930AE5A" w14:textId="77777777" w:rsidR="008B0FAF" w:rsidRPr="00F13B7E" w:rsidRDefault="008B0FAF" w:rsidP="00F13B7E">
      <w:pPr>
        <w:pStyle w:val="ListParagraph"/>
        <w:numPr>
          <w:ilvl w:val="0"/>
          <w:numId w:val="42"/>
        </w:numPr>
        <w:jc w:val="both"/>
        <w:rPr>
          <w:sz w:val="24"/>
          <w:szCs w:val="24"/>
        </w:rPr>
      </w:pPr>
      <w:r w:rsidRPr="00F13B7E">
        <w:rPr>
          <w:sz w:val="24"/>
          <w:szCs w:val="24"/>
        </w:rPr>
        <w:t>Demonstrated ability to recognise and articulate the interests of young people from diverse cultural backgrounds, including the capacity to effectively and sensitively negotiate positive outcomes, together with knowledge and understanding of anti-discrimination and equal employment opportunity principles and practice.</w:t>
      </w:r>
    </w:p>
    <w:p w14:paraId="4B9D88A3" w14:textId="77777777" w:rsidR="008B0FAF" w:rsidRPr="00F13B7E" w:rsidRDefault="008B0FAF" w:rsidP="00F13B7E">
      <w:pPr>
        <w:pStyle w:val="ListParagraph"/>
        <w:numPr>
          <w:ilvl w:val="0"/>
          <w:numId w:val="42"/>
        </w:numPr>
        <w:jc w:val="both"/>
        <w:rPr>
          <w:sz w:val="24"/>
          <w:szCs w:val="24"/>
        </w:rPr>
      </w:pPr>
      <w:r w:rsidRPr="00F13B7E">
        <w:rPr>
          <w:sz w:val="24"/>
          <w:szCs w:val="24"/>
        </w:rPr>
        <w:t>Possess skills and demonstrated ability in case management development, implementation and evaluation, and an ability to make informed, logical decisions coupled with effective planning skills.</w:t>
      </w:r>
    </w:p>
    <w:p w14:paraId="758FBC2A" w14:textId="77777777" w:rsidR="008B0FAF" w:rsidRPr="00F13B7E" w:rsidRDefault="008B0FAF" w:rsidP="00F13B7E">
      <w:pPr>
        <w:pStyle w:val="ListParagraph"/>
        <w:numPr>
          <w:ilvl w:val="0"/>
          <w:numId w:val="42"/>
        </w:numPr>
        <w:jc w:val="both"/>
        <w:rPr>
          <w:sz w:val="24"/>
          <w:szCs w:val="24"/>
        </w:rPr>
      </w:pPr>
      <w:r w:rsidRPr="00F13B7E">
        <w:rPr>
          <w:sz w:val="24"/>
          <w:szCs w:val="24"/>
        </w:rPr>
        <w:t>High level ability to investigate complaints or grievances and to undertake critical case reviews and the ability to promote an abuse-free custodial environment in compliance with government policy.</w:t>
      </w:r>
    </w:p>
    <w:p w14:paraId="26328721" w14:textId="77777777" w:rsidR="008B0FAF" w:rsidRPr="00F13B7E" w:rsidRDefault="008B0FAF" w:rsidP="00F13B7E">
      <w:pPr>
        <w:pStyle w:val="ListParagraph"/>
        <w:numPr>
          <w:ilvl w:val="0"/>
          <w:numId w:val="42"/>
        </w:numPr>
        <w:jc w:val="both"/>
        <w:rPr>
          <w:sz w:val="24"/>
          <w:szCs w:val="24"/>
        </w:rPr>
      </w:pPr>
      <w:r w:rsidRPr="00F13B7E">
        <w:rPr>
          <w:sz w:val="24"/>
          <w:szCs w:val="24"/>
        </w:rPr>
        <w:t>Sound knowledge of all Work Health &amp; Safety (WH&amp;S) legislation and codes of practice related to the work area, together with experience in the implementation of WH&amp;S requirements.</w:t>
      </w:r>
    </w:p>
    <w:p w14:paraId="115BCC76" w14:textId="3934D8F5" w:rsidR="00360CDB" w:rsidRPr="00190B67" w:rsidRDefault="00360CDB" w:rsidP="00360CDB">
      <w:pPr>
        <w:pStyle w:val="Heading2"/>
        <w:rPr>
          <w:color w:val="011947"/>
        </w:rPr>
      </w:pPr>
      <w:r w:rsidRPr="00190B67">
        <w:rPr>
          <w:color w:val="011947"/>
        </w:rPr>
        <w:t>Requirements</w:t>
      </w:r>
    </w:p>
    <w:p w14:paraId="25803F29" w14:textId="77777777" w:rsidR="006C7110" w:rsidRDefault="006C7110" w:rsidP="006C7110">
      <w:pPr>
        <w:spacing w:after="360"/>
        <w:jc w:val="both"/>
        <w:rPr>
          <w:rFonts w:ascii="Calibri" w:hAnsi="Calibri"/>
          <w:spacing w:val="0"/>
          <w:sz w:val="24"/>
          <w:szCs w:val="24"/>
        </w:rPr>
      </w:pPr>
      <w:bookmarkStart w:id="2" w:name="_Hlk119596995"/>
      <w:r>
        <w:rPr>
          <w:sz w:val="24"/>
          <w:szCs w:val="24"/>
        </w:rPr>
        <w:t xml:space="preserve">Registration/licences that are </w:t>
      </w:r>
      <w:bookmarkStart w:id="3" w:name="_Hlk159672510"/>
      <w:r>
        <w:rPr>
          <w:sz w:val="24"/>
          <w:szCs w:val="24"/>
        </w:rPr>
        <w:t xml:space="preserve">essential requirements </w:t>
      </w:r>
      <w:bookmarkEnd w:id="3"/>
      <w:r>
        <w:rPr>
          <w:sz w:val="24"/>
          <w:szCs w:val="24"/>
        </w:rPr>
        <w:t>of this role must remain current and valid at all times by the occupant who is assigned these duties.  The status of these essential requirements may be checked at any time during employment. It is the employee’s responsibility to ensure that registration/licences remain current and to advise the Department if their circumstances change. This includes notifying the Department of any new criminal charges or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2"/>
          <w:p w14:paraId="6775FCED" w14:textId="79C53E72" w:rsidR="006373A0" w:rsidRPr="007F138A" w:rsidRDefault="004E5DAC" w:rsidP="006373A0">
            <w:pPr>
              <w:rPr>
                <w:b/>
                <w:sz w:val="24"/>
                <w:szCs w:val="24"/>
              </w:rPr>
            </w:pPr>
            <w:r w:rsidRPr="00A65F3B">
              <w:rPr>
                <w:b/>
                <w:sz w:val="24"/>
                <w:szCs w:val="24"/>
              </w:rPr>
              <w:t>Essential</w:t>
            </w:r>
          </w:p>
        </w:tc>
        <w:tc>
          <w:tcPr>
            <w:tcW w:w="7820" w:type="dxa"/>
          </w:tcPr>
          <w:p w14:paraId="41665A52" w14:textId="77777777" w:rsidR="004B06B8" w:rsidRPr="0063261F" w:rsidRDefault="004B06B8" w:rsidP="005514C7">
            <w:pPr>
              <w:numPr>
                <w:ilvl w:val="0"/>
                <w:numId w:val="32"/>
              </w:numPr>
              <w:spacing w:before="60" w:after="60"/>
              <w:ind w:left="168" w:hanging="357"/>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requires persons undertaking work in a regulated activity to be registered. A regulated activity is a child related service or activity defined in the Registration to Work with Vulnerable People Regulations 2014. This registration must remain current and valid at all times whilst employed in this role and the status of this may be checked at any time during employment.</w:t>
            </w:r>
          </w:p>
          <w:p w14:paraId="41B26A4B" w14:textId="6FD946B2" w:rsidR="00280FBB" w:rsidRPr="00280FBB" w:rsidRDefault="004B06B8" w:rsidP="00280FBB">
            <w:pPr>
              <w:numPr>
                <w:ilvl w:val="1"/>
                <w:numId w:val="32"/>
              </w:numPr>
              <w:spacing w:before="0" w:after="0"/>
              <w:ind w:left="1019" w:hanging="357"/>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p>
          <w:p w14:paraId="0E99F4E4" w14:textId="77777777" w:rsidR="00280FBB" w:rsidRPr="00280FBB" w:rsidRDefault="008B0FAF" w:rsidP="00395A95">
            <w:pPr>
              <w:pStyle w:val="ListParagraph"/>
              <w:numPr>
                <w:ilvl w:val="0"/>
                <w:numId w:val="32"/>
              </w:numPr>
              <w:spacing w:before="60" w:after="840"/>
              <w:ind w:left="164" w:hanging="357"/>
              <w:contextualSpacing/>
              <w:jc w:val="both"/>
              <w:rPr>
                <w:rFonts w:eastAsia="Times New Roman" w:cs="Arial"/>
                <w:bCs/>
                <w:sz w:val="24"/>
                <w:szCs w:val="24"/>
              </w:rPr>
            </w:pPr>
            <w:r w:rsidRPr="00280FBB">
              <w:rPr>
                <w:rFonts w:eastAsia="Times New Roman"/>
                <w:sz w:val="24"/>
                <w:szCs w:val="24"/>
              </w:rPr>
              <w:t>Satisfactory completion of an appropriate course of study at a recognised tertiary institution.</w:t>
            </w:r>
          </w:p>
          <w:p w14:paraId="6BC09690" w14:textId="196D3BC0" w:rsidR="004B06B8" w:rsidRPr="00280FBB" w:rsidRDefault="004B06B8" w:rsidP="00395A95">
            <w:pPr>
              <w:pStyle w:val="ListParagraph"/>
              <w:numPr>
                <w:ilvl w:val="0"/>
                <w:numId w:val="32"/>
              </w:numPr>
              <w:spacing w:before="60" w:after="840"/>
              <w:ind w:left="164" w:hanging="357"/>
              <w:contextualSpacing/>
              <w:jc w:val="both"/>
              <w:rPr>
                <w:rFonts w:eastAsia="Times New Roman" w:cs="Arial"/>
                <w:bCs/>
                <w:sz w:val="24"/>
                <w:szCs w:val="24"/>
              </w:rPr>
            </w:pPr>
            <w:r w:rsidRPr="00280FBB">
              <w:rPr>
                <w:rFonts w:eastAsia="Times New Roman" w:cs="Arial"/>
                <w:bCs/>
                <w:sz w:val="24"/>
                <w:szCs w:val="24"/>
              </w:rPr>
              <w:t xml:space="preserve">The Head of the State Service has determined that the person nominated for this job is to satisfy a pre-employment check before taking up the appointment, on promotion or transfer. The following checks are to be conducted: </w:t>
            </w:r>
          </w:p>
          <w:p w14:paraId="565CF691" w14:textId="7965DE0B" w:rsidR="004B06B8" w:rsidRPr="00A573FF" w:rsidRDefault="004B06B8" w:rsidP="00847537">
            <w:pPr>
              <w:pStyle w:val="ListParagraph"/>
              <w:numPr>
                <w:ilvl w:val="0"/>
                <w:numId w:val="45"/>
              </w:numPr>
              <w:ind w:hanging="487"/>
              <w:jc w:val="both"/>
              <w:rPr>
                <w:rFonts w:eastAsia="Times New Roman" w:cs="Arial"/>
                <w:bCs/>
                <w:sz w:val="24"/>
                <w:szCs w:val="24"/>
              </w:rPr>
            </w:pPr>
            <w:r w:rsidRPr="00A573FF">
              <w:rPr>
                <w:rFonts w:eastAsia="Times New Roman" w:cs="Arial"/>
                <w:bCs/>
                <w:sz w:val="24"/>
                <w:szCs w:val="24"/>
              </w:rPr>
              <w:t>Conviction checks in the following areas:</w:t>
            </w:r>
          </w:p>
          <w:p w14:paraId="476BF403" w14:textId="5610244E" w:rsidR="004B06B8" w:rsidRPr="00A573FF" w:rsidRDefault="004B06B8" w:rsidP="00847537">
            <w:pPr>
              <w:pStyle w:val="ListParagraph"/>
              <w:numPr>
                <w:ilvl w:val="1"/>
                <w:numId w:val="45"/>
              </w:numPr>
              <w:ind w:hanging="498"/>
              <w:jc w:val="both"/>
              <w:rPr>
                <w:rFonts w:eastAsia="Times New Roman" w:cs="Arial"/>
                <w:bCs/>
                <w:sz w:val="24"/>
                <w:szCs w:val="24"/>
              </w:rPr>
            </w:pPr>
            <w:r w:rsidRPr="00A573FF">
              <w:rPr>
                <w:rFonts w:eastAsia="Times New Roman" w:cs="Arial"/>
                <w:bCs/>
                <w:sz w:val="24"/>
                <w:szCs w:val="24"/>
              </w:rPr>
              <w:t>crimes of violence</w:t>
            </w:r>
          </w:p>
          <w:p w14:paraId="137D010B" w14:textId="3A7D300B" w:rsidR="004B06B8" w:rsidRPr="00A573FF" w:rsidRDefault="004B06B8" w:rsidP="00847537">
            <w:pPr>
              <w:pStyle w:val="ListParagraph"/>
              <w:numPr>
                <w:ilvl w:val="1"/>
                <w:numId w:val="45"/>
              </w:numPr>
              <w:ind w:hanging="498"/>
              <w:jc w:val="both"/>
              <w:rPr>
                <w:rFonts w:eastAsia="Times New Roman" w:cs="Arial"/>
                <w:bCs/>
                <w:sz w:val="24"/>
                <w:szCs w:val="24"/>
              </w:rPr>
            </w:pPr>
            <w:r w:rsidRPr="00A573FF">
              <w:rPr>
                <w:rFonts w:eastAsia="Times New Roman" w:cs="Arial"/>
                <w:bCs/>
                <w:sz w:val="24"/>
                <w:szCs w:val="24"/>
              </w:rPr>
              <w:lastRenderedPageBreak/>
              <w:t>sex related offences</w:t>
            </w:r>
          </w:p>
          <w:p w14:paraId="3D9DB054" w14:textId="5E46041E" w:rsidR="004B06B8" w:rsidRPr="00A573FF" w:rsidRDefault="004B06B8" w:rsidP="00847537">
            <w:pPr>
              <w:pStyle w:val="ListParagraph"/>
              <w:numPr>
                <w:ilvl w:val="1"/>
                <w:numId w:val="45"/>
              </w:numPr>
              <w:ind w:hanging="498"/>
              <w:jc w:val="both"/>
              <w:rPr>
                <w:rFonts w:eastAsia="Times New Roman" w:cs="Arial"/>
                <w:bCs/>
                <w:sz w:val="24"/>
                <w:szCs w:val="24"/>
              </w:rPr>
            </w:pPr>
            <w:r w:rsidRPr="00A573FF">
              <w:rPr>
                <w:rFonts w:eastAsia="Times New Roman" w:cs="Arial"/>
                <w:bCs/>
                <w:sz w:val="24"/>
                <w:szCs w:val="24"/>
              </w:rPr>
              <w:t>serious drug offences</w:t>
            </w:r>
          </w:p>
          <w:p w14:paraId="65825C3B" w14:textId="4EA69FF8" w:rsidR="004B06B8" w:rsidRDefault="004B06B8" w:rsidP="00847537">
            <w:pPr>
              <w:pStyle w:val="ListParagraph"/>
              <w:numPr>
                <w:ilvl w:val="1"/>
                <w:numId w:val="45"/>
              </w:numPr>
              <w:ind w:hanging="498"/>
              <w:jc w:val="both"/>
              <w:rPr>
                <w:rFonts w:eastAsia="Times New Roman" w:cs="Arial"/>
                <w:bCs/>
                <w:sz w:val="24"/>
                <w:szCs w:val="24"/>
              </w:rPr>
            </w:pPr>
            <w:r w:rsidRPr="00A573FF">
              <w:rPr>
                <w:rFonts w:eastAsia="Times New Roman" w:cs="Arial"/>
                <w:bCs/>
                <w:sz w:val="24"/>
                <w:szCs w:val="24"/>
              </w:rPr>
              <w:t>crimes involving dishonesty</w:t>
            </w:r>
          </w:p>
          <w:p w14:paraId="590D9FE7" w14:textId="3BFF1BEA" w:rsidR="00A573FF" w:rsidRPr="00A573FF" w:rsidRDefault="00A573FF" w:rsidP="00847537">
            <w:pPr>
              <w:pStyle w:val="ListParagraph"/>
              <w:numPr>
                <w:ilvl w:val="1"/>
                <w:numId w:val="45"/>
              </w:numPr>
              <w:ind w:hanging="498"/>
              <w:jc w:val="both"/>
              <w:rPr>
                <w:rFonts w:eastAsia="Times New Roman" w:cs="Arial"/>
                <w:bCs/>
                <w:sz w:val="24"/>
                <w:szCs w:val="24"/>
              </w:rPr>
            </w:pPr>
            <w:r>
              <w:rPr>
                <w:rFonts w:eastAsia="Times New Roman" w:cs="Arial"/>
                <w:bCs/>
                <w:sz w:val="24"/>
                <w:szCs w:val="24"/>
              </w:rPr>
              <w:t>serious traffic</w:t>
            </w:r>
            <w:r w:rsidR="00847537">
              <w:rPr>
                <w:rFonts w:eastAsia="Times New Roman" w:cs="Arial"/>
                <w:bCs/>
                <w:sz w:val="24"/>
                <w:szCs w:val="24"/>
              </w:rPr>
              <w:t xml:space="preserve"> offences</w:t>
            </w:r>
          </w:p>
          <w:p w14:paraId="0309036F" w14:textId="77777777" w:rsidR="00847537" w:rsidRDefault="004B06B8" w:rsidP="00847537">
            <w:pPr>
              <w:pStyle w:val="ListParagraph"/>
              <w:numPr>
                <w:ilvl w:val="0"/>
                <w:numId w:val="45"/>
              </w:numPr>
              <w:ind w:hanging="487"/>
              <w:jc w:val="both"/>
              <w:rPr>
                <w:rFonts w:eastAsia="Times New Roman" w:cs="Arial"/>
                <w:bCs/>
                <w:sz w:val="24"/>
                <w:szCs w:val="24"/>
              </w:rPr>
            </w:pPr>
            <w:r w:rsidRPr="00A573FF">
              <w:rPr>
                <w:rFonts w:eastAsia="Times New Roman" w:cs="Arial"/>
                <w:bCs/>
                <w:sz w:val="24"/>
                <w:szCs w:val="24"/>
              </w:rPr>
              <w:t>Identification check</w:t>
            </w:r>
          </w:p>
          <w:p w14:paraId="34750463" w14:textId="409DDBE0" w:rsidR="00E432FB" w:rsidRPr="00847537" w:rsidRDefault="004B06B8" w:rsidP="00847537">
            <w:pPr>
              <w:pStyle w:val="ListParagraph"/>
              <w:numPr>
                <w:ilvl w:val="0"/>
                <w:numId w:val="45"/>
              </w:numPr>
              <w:ind w:hanging="487"/>
              <w:jc w:val="both"/>
              <w:rPr>
                <w:rFonts w:eastAsia="Times New Roman" w:cs="Arial"/>
                <w:bCs/>
                <w:sz w:val="24"/>
                <w:szCs w:val="24"/>
              </w:rPr>
            </w:pPr>
            <w:r w:rsidRPr="00847537">
              <w:rPr>
                <w:rFonts w:eastAsia="Times New Roman" w:cs="Arial"/>
                <w:bCs/>
                <w:sz w:val="24"/>
                <w:szCs w:val="24"/>
              </w:rPr>
              <w:t>Disciplinary actions in previous employment check.</w:t>
            </w:r>
            <w:r w:rsidRPr="00847537">
              <w:rPr>
                <w:rFonts w:eastAsia="Times New Roman"/>
                <w:color w:val="ED7D31"/>
                <w:sz w:val="24"/>
                <w:szCs w:val="24"/>
              </w:rPr>
              <w:t xml:space="preserve"> </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lastRenderedPageBreak/>
              <w:t>Desirable</w:t>
            </w:r>
          </w:p>
        </w:tc>
        <w:tc>
          <w:tcPr>
            <w:tcW w:w="7820" w:type="dxa"/>
            <w:tcBorders>
              <w:top w:val="nil"/>
            </w:tcBorders>
          </w:tcPr>
          <w:p w14:paraId="0829FD4C" w14:textId="28FBE3E4" w:rsidR="0026062E" w:rsidRPr="0006642C" w:rsidRDefault="00653BB7" w:rsidP="00A13B2E">
            <w:pPr>
              <w:pStyle w:val="ListParagraph"/>
              <w:numPr>
                <w:ilvl w:val="0"/>
                <w:numId w:val="32"/>
              </w:numPr>
              <w:spacing w:line="259" w:lineRule="auto"/>
              <w:ind w:left="180"/>
              <w:contextualSpacing/>
              <w:rPr>
                <w:rFonts w:eastAsia="Times New Roman"/>
              </w:rPr>
            </w:pPr>
            <w:r w:rsidRPr="0063261F">
              <w:rPr>
                <w:rFonts w:eastAsia="Times New Roman"/>
                <w:sz w:val="24"/>
                <w:szCs w:val="20"/>
              </w:rPr>
              <w:t>Nil</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The Department is responsible for the following areas within Tasmania</w:t>
      </w:r>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ultimate goal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280FBB">
      <w:pPr>
        <w:spacing w:before="840"/>
        <w:jc w:val="both"/>
        <w:rPr>
          <w:sz w:val="24"/>
          <w:szCs w:val="24"/>
        </w:rPr>
      </w:pPr>
      <w:r>
        <w:rPr>
          <w:sz w:val="24"/>
          <w:szCs w:val="24"/>
        </w:rPr>
        <w:lastRenderedPageBreak/>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B657C7">
      <w:pPr>
        <w:numPr>
          <w:ilvl w:val="0"/>
          <w:numId w:val="25"/>
        </w:numPr>
        <w:spacing w:before="0" w:after="0" w:line="480" w:lineRule="auto"/>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lastRenderedPageBreak/>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0FCCF013" w14:textId="169D922B" w:rsidR="00FC6EE1" w:rsidRPr="00CA664C" w:rsidRDefault="001906FA" w:rsidP="001906FA">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13616C34" w:rsidR="0037723F" w:rsidRPr="00D720EC" w:rsidRDefault="0037723F" w:rsidP="006D6A31">
            <w:pPr>
              <w:spacing w:before="240" w:after="240"/>
              <w:rPr>
                <w:color w:val="000000"/>
                <w:lang w:val="en-US"/>
              </w:rPr>
            </w:pPr>
            <w:bookmarkStart w:id="4" w:name="_Hlk119598056"/>
            <w:bookmarkEnd w:id="0"/>
            <w:r w:rsidRPr="00D720EC">
              <w:rPr>
                <w:rFonts w:cs="Arial"/>
                <w:b/>
                <w:bCs/>
              </w:rPr>
              <w:t>Category/funding/restrictions:</w:t>
            </w:r>
            <w:r w:rsidRPr="00D720EC">
              <w:rPr>
                <w:rFonts w:cs="Arial"/>
              </w:rPr>
              <w:t xml:space="preserve"> </w:t>
            </w:r>
            <w:r w:rsidRPr="00D720EC">
              <w:t>Permanent or Fixed Term</w:t>
            </w:r>
            <w:r w:rsidR="008B0FAF">
              <w:t xml:space="preserve"> </w:t>
            </w:r>
            <w:proofErr w:type="gramStart"/>
            <w:r w:rsidR="008B0FAF">
              <w:t>As</w:t>
            </w:r>
            <w:proofErr w:type="gramEnd"/>
            <w:r w:rsidR="008B0FAF">
              <w:t xml:space="preserve"> Specified</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42BF95F2" w14:textId="77777777" w:rsidR="008B0FAF" w:rsidRPr="00376A30" w:rsidRDefault="0037723F" w:rsidP="008B0FAF">
            <w:pPr>
              <w:tabs>
                <w:tab w:val="left" w:pos="180"/>
              </w:tabs>
              <w:rPr>
                <w:rFonts w:cs="Arial"/>
              </w:rPr>
            </w:pPr>
            <w:r w:rsidRPr="00D720EC">
              <w:rPr>
                <w:rFonts w:cs="Arial"/>
                <w:b/>
              </w:rPr>
              <w:t xml:space="preserve">APPROVED BY HRM DELEGATE: </w:t>
            </w:r>
            <w:r w:rsidR="008B0FAF" w:rsidRPr="00376A30">
              <w:rPr>
                <w:rFonts w:cs="Arial"/>
              </w:rPr>
              <w:t>973874 – Assistant Director Strategic Recruitment and Payroll Operations – JULY 2014</w:t>
            </w:r>
          </w:p>
          <w:p w14:paraId="14D9AF34" w14:textId="4AE84AF7" w:rsidR="0037723F" w:rsidRPr="00D720EC" w:rsidRDefault="0037723F" w:rsidP="006D6A31">
            <w:pPr>
              <w:tabs>
                <w:tab w:val="left" w:pos="180"/>
              </w:tabs>
              <w:rPr>
                <w:rFonts w:cs="Arial"/>
              </w:rPr>
            </w:pPr>
            <w:r w:rsidRPr="00D720EC">
              <w:rPr>
                <w:rFonts w:cs="Arial"/>
              </w:rPr>
              <w:t xml:space="preserve">Request: </w:t>
            </w:r>
          </w:p>
          <w:p w14:paraId="7E230FA4" w14:textId="35FD3E88" w:rsidR="0037723F" w:rsidRPr="00D720EC" w:rsidRDefault="0037723F" w:rsidP="006D6A31">
            <w:pPr>
              <w:rPr>
                <w:rFonts w:cs="Arial"/>
                <w:sz w:val="16"/>
                <w:szCs w:val="16"/>
              </w:rPr>
            </w:pPr>
            <w:r w:rsidRPr="00D720EC">
              <w:rPr>
                <w:rFonts w:cs="Arial"/>
              </w:rPr>
              <w:t xml:space="preserve">Date Duties and Selection Criteria Last Reviewed:  </w:t>
            </w:r>
          </w:p>
        </w:tc>
      </w:tr>
      <w:bookmarkEnd w:id="4"/>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A1E8F" w14:textId="77777777" w:rsidR="003A59CE" w:rsidRDefault="003A59CE" w:rsidP="00E93B9E">
      <w:pPr>
        <w:spacing w:after="0"/>
      </w:pPr>
      <w:r>
        <w:separator/>
      </w:r>
    </w:p>
  </w:endnote>
  <w:endnote w:type="continuationSeparator" w:id="0">
    <w:p w14:paraId="0DE99AC7" w14:textId="77777777" w:rsidR="003A59CE" w:rsidRDefault="003A59CE"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15149" w14:textId="77777777" w:rsidR="003A59CE" w:rsidRDefault="003A59CE" w:rsidP="00E93B9E">
      <w:pPr>
        <w:spacing w:after="0"/>
      </w:pPr>
      <w:r>
        <w:separator/>
      </w:r>
    </w:p>
  </w:footnote>
  <w:footnote w:type="continuationSeparator" w:id="0">
    <w:p w14:paraId="6A30FDAB" w14:textId="77777777" w:rsidR="003A59CE" w:rsidRDefault="003A59CE"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5743D8F"/>
    <w:multiLevelType w:val="multilevel"/>
    <w:tmpl w:val="6986BA54"/>
    <w:lvl w:ilvl="0">
      <w:start w:val="1"/>
      <w:numFmt w:val="bullet"/>
      <w:pStyle w:val="BulletedListLevel1"/>
      <w:lvlText w:val=""/>
      <w:lvlJc w:val="left"/>
      <w:pPr>
        <w:tabs>
          <w:tab w:val="num" w:pos="927"/>
        </w:tabs>
        <w:ind w:left="927" w:hanging="567"/>
      </w:pPr>
      <w:rPr>
        <w:rFonts w:ascii="Symbol" w:hAnsi="Symbol" w:hint="default"/>
        <w:color w:val="auto"/>
      </w:rPr>
    </w:lvl>
    <w:lvl w:ilvl="1">
      <w:start w:val="1"/>
      <w:numFmt w:val="bullet"/>
      <w:lvlText w:val="o"/>
      <w:lvlJc w:val="left"/>
      <w:pPr>
        <w:tabs>
          <w:tab w:val="num" w:pos="1494"/>
        </w:tabs>
        <w:ind w:left="1494" w:hanging="567"/>
      </w:pPr>
      <w:rPr>
        <w:rFonts w:ascii="Courier New" w:hAnsi="Courier New" w:hint="default"/>
      </w:rPr>
    </w:lvl>
    <w:lvl w:ilvl="2">
      <w:start w:val="1"/>
      <w:numFmt w:val="bullet"/>
      <w:lvlText w:val=""/>
      <w:lvlJc w:val="left"/>
      <w:pPr>
        <w:tabs>
          <w:tab w:val="num" w:pos="2061"/>
        </w:tabs>
        <w:ind w:left="2061" w:hanging="567"/>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2" w15:restartNumberingAfterBreak="0">
    <w:nsid w:val="19AE5928"/>
    <w:multiLevelType w:val="multilevel"/>
    <w:tmpl w:val="82C6609A"/>
    <w:numStyleLink w:val="Numbers"/>
  </w:abstractNum>
  <w:abstractNum w:abstractNumId="13" w15:restartNumberingAfterBreak="0">
    <w:nsid w:val="19D52919"/>
    <w:multiLevelType w:val="multilevel"/>
    <w:tmpl w:val="9D52E4C8"/>
    <w:numStyleLink w:val="Headings"/>
  </w:abstractNum>
  <w:abstractNum w:abstractNumId="14"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7CB3EBF"/>
    <w:multiLevelType w:val="multilevel"/>
    <w:tmpl w:val="CA3C0B58"/>
    <w:numStyleLink w:val="Bullets"/>
  </w:abstractNum>
  <w:abstractNum w:abstractNumId="19"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C950C45"/>
    <w:multiLevelType w:val="hybridMultilevel"/>
    <w:tmpl w:val="FFAAC1F4"/>
    <w:lvl w:ilvl="0" w:tplc="22E28466">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05460C"/>
    <w:multiLevelType w:val="multilevel"/>
    <w:tmpl w:val="CA3C0B58"/>
    <w:numStyleLink w:val="Bullets"/>
  </w:abstractNum>
  <w:abstractNum w:abstractNumId="24"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48966D00"/>
    <w:multiLevelType w:val="multilevel"/>
    <w:tmpl w:val="9D52E4C8"/>
    <w:numStyleLink w:val="Headings"/>
  </w:abstractNum>
  <w:abstractNum w:abstractNumId="26"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9"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2" w15:restartNumberingAfterBreak="0">
    <w:nsid w:val="5B341973"/>
    <w:multiLevelType w:val="hybridMultilevel"/>
    <w:tmpl w:val="0ED425A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7"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4"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3"/>
  </w:num>
  <w:num w:numId="12" w16cid:durableId="695428067">
    <w:abstractNumId w:val="31"/>
  </w:num>
  <w:num w:numId="13" w16cid:durableId="1743428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8"/>
  </w:num>
  <w:num w:numId="16" w16cid:durableId="782194662">
    <w:abstractNumId w:val="23"/>
  </w:num>
  <w:num w:numId="17" w16cid:durableId="1736200038">
    <w:abstractNumId w:val="21"/>
  </w:num>
  <w:num w:numId="18" w16cid:durableId="307515164">
    <w:abstractNumId w:val="13"/>
  </w:num>
  <w:num w:numId="19" w16cid:durableId="1335958894">
    <w:abstractNumId w:val="12"/>
  </w:num>
  <w:num w:numId="20" w16cid:durableId="14172440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2"/>
  </w:num>
  <w:num w:numId="22" w16cid:durableId="667290187">
    <w:abstractNumId w:val="25"/>
  </w:num>
  <w:num w:numId="23" w16cid:durableId="1440754403">
    <w:abstractNumId w:val="26"/>
  </w:num>
  <w:num w:numId="24" w16cid:durableId="118502479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5"/>
  </w:num>
  <w:num w:numId="26" w16cid:durableId="583146408">
    <w:abstractNumId w:val="27"/>
  </w:num>
  <w:num w:numId="27" w16cid:durableId="624771717">
    <w:abstractNumId w:val="19"/>
  </w:num>
  <w:num w:numId="28" w16cid:durableId="1393381672">
    <w:abstractNumId w:val="24"/>
  </w:num>
  <w:num w:numId="29" w16cid:durableId="1463189167">
    <w:abstractNumId w:val="33"/>
  </w:num>
  <w:num w:numId="30" w16cid:durableId="61105151">
    <w:abstractNumId w:val="28"/>
  </w:num>
  <w:num w:numId="31" w16cid:durableId="1648896647">
    <w:abstractNumId w:val="36"/>
  </w:num>
  <w:num w:numId="32" w16cid:durableId="133329015">
    <w:abstractNumId w:val="20"/>
  </w:num>
  <w:num w:numId="33" w16cid:durableId="22365621">
    <w:abstractNumId w:val="39"/>
  </w:num>
  <w:num w:numId="34" w16cid:durableId="1222055391">
    <w:abstractNumId w:val="40"/>
  </w:num>
  <w:num w:numId="35" w16cid:durableId="1836727596">
    <w:abstractNumId w:val="22"/>
  </w:num>
  <w:num w:numId="36" w16cid:durableId="319891238">
    <w:abstractNumId w:val="29"/>
  </w:num>
  <w:num w:numId="37" w16cid:durableId="1559319133">
    <w:abstractNumId w:val="38"/>
  </w:num>
  <w:num w:numId="38" w16cid:durableId="1009992410">
    <w:abstractNumId w:val="34"/>
  </w:num>
  <w:num w:numId="39" w16cid:durableId="1422800328">
    <w:abstractNumId w:val="41"/>
  </w:num>
  <w:num w:numId="40" w16cid:durableId="2147239570">
    <w:abstractNumId w:val="15"/>
  </w:num>
  <w:num w:numId="41" w16cid:durableId="1395589379">
    <w:abstractNumId w:val="16"/>
  </w:num>
  <w:num w:numId="42" w16cid:durableId="457382409">
    <w:abstractNumId w:val="14"/>
  </w:num>
  <w:num w:numId="43" w16cid:durableId="2059281428">
    <w:abstractNumId w:val="30"/>
  </w:num>
  <w:num w:numId="44" w16cid:durableId="1755395588">
    <w:abstractNumId w:val="44"/>
  </w:num>
  <w:num w:numId="45" w16cid:durableId="281304752">
    <w:abstractNumId w:val="37"/>
  </w:num>
  <w:num w:numId="46" w16cid:durableId="1915047604">
    <w:abstractNumId w:val="11"/>
  </w:num>
  <w:num w:numId="47" w16cid:durableId="21431865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3297E"/>
    <w:rsid w:val="000520E4"/>
    <w:rsid w:val="000527AA"/>
    <w:rsid w:val="000559B6"/>
    <w:rsid w:val="00057666"/>
    <w:rsid w:val="00064CEF"/>
    <w:rsid w:val="0006642C"/>
    <w:rsid w:val="00082A0F"/>
    <w:rsid w:val="000953A7"/>
    <w:rsid w:val="000A0B42"/>
    <w:rsid w:val="000B2CD2"/>
    <w:rsid w:val="000C360B"/>
    <w:rsid w:val="000D4346"/>
    <w:rsid w:val="000E3179"/>
    <w:rsid w:val="000E3AF7"/>
    <w:rsid w:val="000F10FB"/>
    <w:rsid w:val="00102C39"/>
    <w:rsid w:val="001033DF"/>
    <w:rsid w:val="00116589"/>
    <w:rsid w:val="00121369"/>
    <w:rsid w:val="00131297"/>
    <w:rsid w:val="001360D0"/>
    <w:rsid w:val="00140B20"/>
    <w:rsid w:val="00141559"/>
    <w:rsid w:val="00155415"/>
    <w:rsid w:val="00156E6B"/>
    <w:rsid w:val="00176F7F"/>
    <w:rsid w:val="00177840"/>
    <w:rsid w:val="00180228"/>
    <w:rsid w:val="00180EA2"/>
    <w:rsid w:val="001870EB"/>
    <w:rsid w:val="001879E8"/>
    <w:rsid w:val="001906FA"/>
    <w:rsid w:val="00190B67"/>
    <w:rsid w:val="001A1165"/>
    <w:rsid w:val="001A4AC4"/>
    <w:rsid w:val="001A4EAE"/>
    <w:rsid w:val="001A6658"/>
    <w:rsid w:val="001C3BFB"/>
    <w:rsid w:val="001D2DD4"/>
    <w:rsid w:val="001D4CC6"/>
    <w:rsid w:val="001D6CDC"/>
    <w:rsid w:val="00202E3E"/>
    <w:rsid w:val="00206DE5"/>
    <w:rsid w:val="0021036E"/>
    <w:rsid w:val="0022330D"/>
    <w:rsid w:val="00224BDC"/>
    <w:rsid w:val="00232460"/>
    <w:rsid w:val="00232539"/>
    <w:rsid w:val="00243DF2"/>
    <w:rsid w:val="0026062E"/>
    <w:rsid w:val="00280FBB"/>
    <w:rsid w:val="0028795E"/>
    <w:rsid w:val="002900B1"/>
    <w:rsid w:val="00291D7A"/>
    <w:rsid w:val="002942F8"/>
    <w:rsid w:val="002A1F80"/>
    <w:rsid w:val="002B6301"/>
    <w:rsid w:val="002B786E"/>
    <w:rsid w:val="002C3A0D"/>
    <w:rsid w:val="002D16CD"/>
    <w:rsid w:val="002D2CAE"/>
    <w:rsid w:val="002E1B02"/>
    <w:rsid w:val="002E66DC"/>
    <w:rsid w:val="002F35BB"/>
    <w:rsid w:val="002F49C3"/>
    <w:rsid w:val="002F6671"/>
    <w:rsid w:val="00307663"/>
    <w:rsid w:val="00307F78"/>
    <w:rsid w:val="00314E39"/>
    <w:rsid w:val="00323304"/>
    <w:rsid w:val="003271F5"/>
    <w:rsid w:val="0033592B"/>
    <w:rsid w:val="00340C14"/>
    <w:rsid w:val="00340C2F"/>
    <w:rsid w:val="00360CDB"/>
    <w:rsid w:val="00365591"/>
    <w:rsid w:val="00370004"/>
    <w:rsid w:val="00370327"/>
    <w:rsid w:val="00376A30"/>
    <w:rsid w:val="0037723F"/>
    <w:rsid w:val="00381C1B"/>
    <w:rsid w:val="003A0A35"/>
    <w:rsid w:val="003A3F7E"/>
    <w:rsid w:val="003A59CE"/>
    <w:rsid w:val="003B009A"/>
    <w:rsid w:val="003C15EB"/>
    <w:rsid w:val="003C5714"/>
    <w:rsid w:val="003C748E"/>
    <w:rsid w:val="003D37E6"/>
    <w:rsid w:val="003E543A"/>
    <w:rsid w:val="003F48C4"/>
    <w:rsid w:val="003F78ED"/>
    <w:rsid w:val="0040340A"/>
    <w:rsid w:val="004269CD"/>
    <w:rsid w:val="004455FA"/>
    <w:rsid w:val="00454A22"/>
    <w:rsid w:val="004568CC"/>
    <w:rsid w:val="00467849"/>
    <w:rsid w:val="0047705C"/>
    <w:rsid w:val="00482F50"/>
    <w:rsid w:val="004B02F4"/>
    <w:rsid w:val="004B06B8"/>
    <w:rsid w:val="004B118F"/>
    <w:rsid w:val="004B1DF9"/>
    <w:rsid w:val="004C2944"/>
    <w:rsid w:val="004C2BAF"/>
    <w:rsid w:val="004C466D"/>
    <w:rsid w:val="004D0C42"/>
    <w:rsid w:val="004D524B"/>
    <w:rsid w:val="004E5DAC"/>
    <w:rsid w:val="00501CCC"/>
    <w:rsid w:val="005071CC"/>
    <w:rsid w:val="00522656"/>
    <w:rsid w:val="00524D78"/>
    <w:rsid w:val="00534D87"/>
    <w:rsid w:val="00547D7C"/>
    <w:rsid w:val="00547F64"/>
    <w:rsid w:val="005514C7"/>
    <w:rsid w:val="00561EC8"/>
    <w:rsid w:val="00575427"/>
    <w:rsid w:val="0057614B"/>
    <w:rsid w:val="005910A6"/>
    <w:rsid w:val="00591873"/>
    <w:rsid w:val="005A3E07"/>
    <w:rsid w:val="005E1DFF"/>
    <w:rsid w:val="005E6AE3"/>
    <w:rsid w:val="005E6E3B"/>
    <w:rsid w:val="005F3B0F"/>
    <w:rsid w:val="005F466E"/>
    <w:rsid w:val="00611208"/>
    <w:rsid w:val="00616D82"/>
    <w:rsid w:val="006179AA"/>
    <w:rsid w:val="00620CB6"/>
    <w:rsid w:val="00621F36"/>
    <w:rsid w:val="0063295A"/>
    <w:rsid w:val="00632C3F"/>
    <w:rsid w:val="006373A0"/>
    <w:rsid w:val="0064499C"/>
    <w:rsid w:val="00644F9F"/>
    <w:rsid w:val="00653BB7"/>
    <w:rsid w:val="00687373"/>
    <w:rsid w:val="00691C79"/>
    <w:rsid w:val="00693485"/>
    <w:rsid w:val="006A54A3"/>
    <w:rsid w:val="006B514D"/>
    <w:rsid w:val="006C7110"/>
    <w:rsid w:val="006D6DC6"/>
    <w:rsid w:val="006E080C"/>
    <w:rsid w:val="006E2041"/>
    <w:rsid w:val="006E4272"/>
    <w:rsid w:val="006E7DCB"/>
    <w:rsid w:val="006F1EC6"/>
    <w:rsid w:val="006F6682"/>
    <w:rsid w:val="006F73E1"/>
    <w:rsid w:val="00704EB7"/>
    <w:rsid w:val="007167C2"/>
    <w:rsid w:val="00720C66"/>
    <w:rsid w:val="007503DC"/>
    <w:rsid w:val="007607BF"/>
    <w:rsid w:val="00761157"/>
    <w:rsid w:val="0076288C"/>
    <w:rsid w:val="00781F77"/>
    <w:rsid w:val="007A4FF5"/>
    <w:rsid w:val="007A7845"/>
    <w:rsid w:val="007C08B4"/>
    <w:rsid w:val="007C3F49"/>
    <w:rsid w:val="007D0524"/>
    <w:rsid w:val="007D32F6"/>
    <w:rsid w:val="007D64D9"/>
    <w:rsid w:val="007E009D"/>
    <w:rsid w:val="007F11D8"/>
    <w:rsid w:val="007F138A"/>
    <w:rsid w:val="007F4A17"/>
    <w:rsid w:val="00805C7A"/>
    <w:rsid w:val="00807179"/>
    <w:rsid w:val="00815A91"/>
    <w:rsid w:val="0081635A"/>
    <w:rsid w:val="0082014A"/>
    <w:rsid w:val="0082718B"/>
    <w:rsid w:val="00831B39"/>
    <w:rsid w:val="008433E6"/>
    <w:rsid w:val="00845E4A"/>
    <w:rsid w:val="00847537"/>
    <w:rsid w:val="00861B0A"/>
    <w:rsid w:val="008629B1"/>
    <w:rsid w:val="0088748C"/>
    <w:rsid w:val="008A5084"/>
    <w:rsid w:val="008B02B9"/>
    <w:rsid w:val="008B0FAF"/>
    <w:rsid w:val="008B2A57"/>
    <w:rsid w:val="008C097F"/>
    <w:rsid w:val="008C3B71"/>
    <w:rsid w:val="008C7207"/>
    <w:rsid w:val="008D20B5"/>
    <w:rsid w:val="008D3A24"/>
    <w:rsid w:val="008E1563"/>
    <w:rsid w:val="008E5AF0"/>
    <w:rsid w:val="008F2E1D"/>
    <w:rsid w:val="009051AD"/>
    <w:rsid w:val="009119A6"/>
    <w:rsid w:val="0094083D"/>
    <w:rsid w:val="009456F9"/>
    <w:rsid w:val="009458E9"/>
    <w:rsid w:val="0095290E"/>
    <w:rsid w:val="00954C08"/>
    <w:rsid w:val="00974C49"/>
    <w:rsid w:val="009839AF"/>
    <w:rsid w:val="00984F64"/>
    <w:rsid w:val="009B2739"/>
    <w:rsid w:val="009B3564"/>
    <w:rsid w:val="009B41A2"/>
    <w:rsid w:val="009B4D8E"/>
    <w:rsid w:val="009C6C80"/>
    <w:rsid w:val="009F2312"/>
    <w:rsid w:val="009F7CE1"/>
    <w:rsid w:val="00A118A3"/>
    <w:rsid w:val="00A13B2E"/>
    <w:rsid w:val="00A2353B"/>
    <w:rsid w:val="00A23956"/>
    <w:rsid w:val="00A27A83"/>
    <w:rsid w:val="00A46A14"/>
    <w:rsid w:val="00A51546"/>
    <w:rsid w:val="00A564AA"/>
    <w:rsid w:val="00A573FF"/>
    <w:rsid w:val="00A65F3B"/>
    <w:rsid w:val="00A66B54"/>
    <w:rsid w:val="00A66D75"/>
    <w:rsid w:val="00A734FA"/>
    <w:rsid w:val="00A74535"/>
    <w:rsid w:val="00A7791A"/>
    <w:rsid w:val="00A81B36"/>
    <w:rsid w:val="00A8313E"/>
    <w:rsid w:val="00A864CB"/>
    <w:rsid w:val="00A940DC"/>
    <w:rsid w:val="00A94F50"/>
    <w:rsid w:val="00A95F75"/>
    <w:rsid w:val="00AC1E54"/>
    <w:rsid w:val="00AD79D7"/>
    <w:rsid w:val="00B02776"/>
    <w:rsid w:val="00B101A0"/>
    <w:rsid w:val="00B103A8"/>
    <w:rsid w:val="00B1141A"/>
    <w:rsid w:val="00B17AB6"/>
    <w:rsid w:val="00B233D7"/>
    <w:rsid w:val="00B41B36"/>
    <w:rsid w:val="00B44728"/>
    <w:rsid w:val="00B47B9D"/>
    <w:rsid w:val="00B509FF"/>
    <w:rsid w:val="00B55584"/>
    <w:rsid w:val="00B56B2B"/>
    <w:rsid w:val="00B657C7"/>
    <w:rsid w:val="00B77E92"/>
    <w:rsid w:val="00B905CE"/>
    <w:rsid w:val="00B905E5"/>
    <w:rsid w:val="00B95B35"/>
    <w:rsid w:val="00BA316B"/>
    <w:rsid w:val="00BB5FDC"/>
    <w:rsid w:val="00BC3B94"/>
    <w:rsid w:val="00BC7B79"/>
    <w:rsid w:val="00BD518E"/>
    <w:rsid w:val="00BE1D08"/>
    <w:rsid w:val="00C07D2B"/>
    <w:rsid w:val="00C240C6"/>
    <w:rsid w:val="00C24404"/>
    <w:rsid w:val="00C343B0"/>
    <w:rsid w:val="00C35E3F"/>
    <w:rsid w:val="00C443C3"/>
    <w:rsid w:val="00C47610"/>
    <w:rsid w:val="00C54D91"/>
    <w:rsid w:val="00C56942"/>
    <w:rsid w:val="00C637AE"/>
    <w:rsid w:val="00C80486"/>
    <w:rsid w:val="00C932EB"/>
    <w:rsid w:val="00C96E08"/>
    <w:rsid w:val="00CA664C"/>
    <w:rsid w:val="00CB1318"/>
    <w:rsid w:val="00CB2562"/>
    <w:rsid w:val="00CD4C92"/>
    <w:rsid w:val="00CE5E8E"/>
    <w:rsid w:val="00CF1882"/>
    <w:rsid w:val="00CF3212"/>
    <w:rsid w:val="00D00E93"/>
    <w:rsid w:val="00D105B8"/>
    <w:rsid w:val="00D13896"/>
    <w:rsid w:val="00D13CF6"/>
    <w:rsid w:val="00D25425"/>
    <w:rsid w:val="00D36343"/>
    <w:rsid w:val="00D402A1"/>
    <w:rsid w:val="00D44F0C"/>
    <w:rsid w:val="00D45A4A"/>
    <w:rsid w:val="00D51ED6"/>
    <w:rsid w:val="00D55E83"/>
    <w:rsid w:val="00D64264"/>
    <w:rsid w:val="00D648E6"/>
    <w:rsid w:val="00D71A2D"/>
    <w:rsid w:val="00D72617"/>
    <w:rsid w:val="00D74508"/>
    <w:rsid w:val="00D87E42"/>
    <w:rsid w:val="00DA255F"/>
    <w:rsid w:val="00DA7C19"/>
    <w:rsid w:val="00DC2532"/>
    <w:rsid w:val="00DD0B41"/>
    <w:rsid w:val="00DE1EB7"/>
    <w:rsid w:val="00DE6C09"/>
    <w:rsid w:val="00DF49F3"/>
    <w:rsid w:val="00E03F4F"/>
    <w:rsid w:val="00E07412"/>
    <w:rsid w:val="00E13473"/>
    <w:rsid w:val="00E23E02"/>
    <w:rsid w:val="00E34E30"/>
    <w:rsid w:val="00E432FB"/>
    <w:rsid w:val="00E569C0"/>
    <w:rsid w:val="00E57648"/>
    <w:rsid w:val="00E7721D"/>
    <w:rsid w:val="00E92ECE"/>
    <w:rsid w:val="00E93B9E"/>
    <w:rsid w:val="00EA0653"/>
    <w:rsid w:val="00EC0F17"/>
    <w:rsid w:val="00EC7194"/>
    <w:rsid w:val="00EC76DC"/>
    <w:rsid w:val="00EE3024"/>
    <w:rsid w:val="00EE7041"/>
    <w:rsid w:val="00EF249E"/>
    <w:rsid w:val="00EF25F6"/>
    <w:rsid w:val="00EF59EA"/>
    <w:rsid w:val="00F13B7E"/>
    <w:rsid w:val="00F3584E"/>
    <w:rsid w:val="00F40B04"/>
    <w:rsid w:val="00F470F1"/>
    <w:rsid w:val="00F50874"/>
    <w:rsid w:val="00F508AB"/>
    <w:rsid w:val="00F82036"/>
    <w:rsid w:val="00F90501"/>
    <w:rsid w:val="00F93092"/>
    <w:rsid w:val="00F94FE9"/>
    <w:rsid w:val="00F9547D"/>
    <w:rsid w:val="00FA369D"/>
    <w:rsid w:val="00FB3D40"/>
    <w:rsid w:val="00FC6EE1"/>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Level1">
    <w:name w:val="Bulleted List Level 1"/>
    <w:semiHidden/>
    <w:rsid w:val="007D32F6"/>
    <w:pPr>
      <w:keepLines/>
      <w:numPr>
        <w:numId w:val="46"/>
      </w:numPr>
      <w:tabs>
        <w:tab w:val="left" w:pos="1134"/>
      </w:tabs>
      <w:spacing w:after="140" w:line="300" w:lineRule="atLeast"/>
      <w:jc w:val="both"/>
    </w:pPr>
    <w:rPr>
      <w:rFonts w:ascii="Gill Sans MT" w:eastAsia="Times New Roman" w:hAnsi="Gill Sans MT"/>
      <w:sz w:val="24"/>
      <w:szCs w:val="24"/>
      <w:lang w:eastAsia="en-US"/>
    </w:rPr>
  </w:style>
  <w:style w:type="paragraph" w:styleId="BodyText">
    <w:name w:val="Body Text"/>
    <w:basedOn w:val="Normal"/>
    <w:link w:val="BodyTextChar"/>
    <w:uiPriority w:val="99"/>
    <w:semiHidden/>
    <w:unhideWhenUsed/>
    <w:rsid w:val="008B0FAF"/>
  </w:style>
  <w:style w:type="character" w:customStyle="1" w:styleId="BodyTextChar">
    <w:name w:val="Body Text Char"/>
    <w:basedOn w:val="DefaultParagraphFont"/>
    <w:link w:val="BodyText"/>
    <w:uiPriority w:val="99"/>
    <w:semiHidden/>
    <w:rsid w:val="008B0FAF"/>
    <w:rPr>
      <w:rFonts w:ascii="Gill Sans MT" w:hAnsi="Gill Sans MT"/>
      <w:spacing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436369844">
      <w:bodyDiv w:val="1"/>
      <w:marLeft w:val="0"/>
      <w:marRight w:val="0"/>
      <w:marTop w:val="0"/>
      <w:marBottom w:val="0"/>
      <w:divBdr>
        <w:top w:val="none" w:sz="0" w:space="0" w:color="auto"/>
        <w:left w:val="none" w:sz="0" w:space="0" w:color="auto"/>
        <w:bottom w:val="none" w:sz="0" w:space="0" w:color="auto"/>
        <w:right w:val="none" w:sz="0" w:space="0" w:color="auto"/>
      </w:divBdr>
    </w:div>
    <w:div w:id="119742499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 w:id="1843624745">
      <w:bodyDiv w:val="1"/>
      <w:marLeft w:val="0"/>
      <w:marRight w:val="0"/>
      <w:marTop w:val="0"/>
      <w:marBottom w:val="0"/>
      <w:divBdr>
        <w:top w:val="none" w:sz="0" w:space="0" w:color="auto"/>
        <w:left w:val="none" w:sz="0" w:space="0" w:color="auto"/>
        <w:bottom w:val="none" w:sz="0" w:space="0" w:color="auto"/>
        <w:right w:val="none" w:sz="0" w:space="0" w:color="auto"/>
      </w:divBdr>
    </w:div>
    <w:div w:id="198681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054A0F"/>
    <w:rsid w:val="0011468F"/>
    <w:rsid w:val="002E66DC"/>
    <w:rsid w:val="0033313F"/>
    <w:rsid w:val="00340C14"/>
    <w:rsid w:val="003C5714"/>
    <w:rsid w:val="00522656"/>
    <w:rsid w:val="006F73E1"/>
    <w:rsid w:val="0082718B"/>
    <w:rsid w:val="009243E4"/>
    <w:rsid w:val="00A04BF4"/>
    <w:rsid w:val="00B74F1B"/>
    <w:rsid w:val="00B77E9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04BF4"/>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2.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customXml/itemProps3.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4.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2538</Words>
  <Characters>14468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Management Coordinator</dc:title>
  <dc:subject/>
  <dc:creator>Dinnessen, Cameron</dc:creator>
  <cp:keywords/>
  <dc:description/>
  <cp:lastModifiedBy>Baker, Chloe</cp:lastModifiedBy>
  <cp:revision>3</cp:revision>
  <cp:lastPrinted>2022-11-17T06:29:00Z</cp:lastPrinted>
  <dcterms:created xsi:type="dcterms:W3CDTF">2024-07-02T04:11:00Z</dcterms:created>
  <dcterms:modified xsi:type="dcterms:W3CDTF">2024-11-13T02:34:00Z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