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ABBC" w14:textId="628C83E1" w:rsidR="003C79F5" w:rsidRPr="00EB59E9" w:rsidRDefault="008E6670" w:rsidP="0087234C">
      <w:pPr>
        <w:pStyle w:val="Subtitle"/>
        <w:spacing w:before="400"/>
        <w:rPr>
          <w:color w:val="auto"/>
        </w:rPr>
      </w:pPr>
      <w:bookmarkStart w:id="0" w:name="_Toc160358825"/>
      <w:r w:rsidRPr="00EB59E9">
        <w:rPr>
          <w:color w:val="auto"/>
        </w:rPr>
        <w:t>Office of the Director of Public Prosecutions</w:t>
      </w:r>
    </w:p>
    <w:p w14:paraId="3D2E1CE5" w14:textId="2773AF9B" w:rsidR="0064198D" w:rsidRPr="00EB59E9" w:rsidRDefault="008E6670" w:rsidP="0064198D">
      <w:pPr>
        <w:pStyle w:val="Title"/>
        <w:spacing w:after="400"/>
        <w:contextualSpacing w:val="0"/>
      </w:pPr>
      <w:r w:rsidRPr="00EB59E9">
        <w:t>Crown Counsel (Policy)</w:t>
      </w:r>
      <w:r w:rsidR="0064198D" w:rsidRPr="00EB59E9">
        <w:t xml:space="preserve"> – Statement of Duties</w:t>
      </w:r>
    </w:p>
    <w:bookmarkEnd w:id="0"/>
    <w:p w14:paraId="2D174F9D" w14:textId="77777777" w:rsidR="00FB2A98" w:rsidRPr="00EB59E9" w:rsidRDefault="00D40F47" w:rsidP="00D40F47">
      <w:pPr>
        <w:pStyle w:val="Heading1"/>
        <w:rPr>
          <w:color w:val="auto"/>
        </w:rPr>
      </w:pPr>
      <w:r w:rsidRPr="00EB59E9">
        <w:rPr>
          <w:color w:val="auto"/>
        </w:rPr>
        <w:t>Objective</w:t>
      </w:r>
    </w:p>
    <w:p w14:paraId="14435FD9" w14:textId="4AAFF987" w:rsidR="00EB59E9" w:rsidRPr="00EB59E9" w:rsidRDefault="00EB59E9" w:rsidP="00D40F47">
      <w:pPr>
        <w:rPr>
          <w:color w:val="auto"/>
          <w:sz w:val="22"/>
        </w:rPr>
      </w:pPr>
      <w:r w:rsidRPr="00EB59E9">
        <w:rPr>
          <w:color w:val="auto"/>
        </w:rPr>
        <w:t>Advise the Director and draft responses in respect to policy matters, represent the Director on committees, draft written submissions to the Court of Criminal Appeal and the High Court, and give Legal advice in respect to current matters.</w:t>
      </w:r>
    </w:p>
    <w:p w14:paraId="6A25D6FA" w14:textId="77777777" w:rsidR="00D40F47" w:rsidRPr="00EB59E9" w:rsidRDefault="00D40F47" w:rsidP="00D40F47">
      <w:pPr>
        <w:pStyle w:val="Heading1"/>
        <w:rPr>
          <w:color w:val="auto"/>
        </w:rPr>
      </w:pPr>
      <w:r w:rsidRPr="00EB59E9">
        <w:rPr>
          <w:color w:val="auto"/>
        </w:rPr>
        <w:t>Duties</w:t>
      </w:r>
    </w:p>
    <w:p w14:paraId="5FB981A2" w14:textId="77777777" w:rsidR="003872AF" w:rsidRPr="00EB59E9" w:rsidRDefault="003872AF" w:rsidP="003872AF">
      <w:pPr>
        <w:numPr>
          <w:ilvl w:val="0"/>
          <w:numId w:val="19"/>
        </w:numPr>
        <w:spacing w:line="240" w:lineRule="auto"/>
        <w:rPr>
          <w:rFonts w:cs="Arial"/>
          <w:color w:val="auto"/>
          <w:szCs w:val="24"/>
        </w:rPr>
      </w:pPr>
      <w:r w:rsidRPr="00EB59E9">
        <w:rPr>
          <w:rFonts w:cs="Arial"/>
          <w:color w:val="auto"/>
          <w:szCs w:val="24"/>
        </w:rPr>
        <w:t>To provide high level policy advice to the Director on a range of issues, including law reform, review and development of legislation, policies and procedures within the Office and responses to law reform bodies.</w:t>
      </w:r>
    </w:p>
    <w:p w14:paraId="6AAF18D0" w14:textId="77777777" w:rsidR="003872AF" w:rsidRPr="00EB59E9" w:rsidRDefault="003872AF" w:rsidP="003872AF">
      <w:pPr>
        <w:numPr>
          <w:ilvl w:val="0"/>
          <w:numId w:val="19"/>
        </w:numPr>
        <w:spacing w:line="240" w:lineRule="auto"/>
        <w:rPr>
          <w:rFonts w:cs="Arial"/>
          <w:color w:val="auto"/>
          <w:szCs w:val="24"/>
        </w:rPr>
      </w:pPr>
      <w:r w:rsidRPr="00EB59E9">
        <w:rPr>
          <w:rFonts w:cs="Arial"/>
          <w:color w:val="auto"/>
          <w:szCs w:val="24"/>
        </w:rPr>
        <w:t xml:space="preserve">To draft written submissions to government, law reform bodies, Court of Criminal Appeal, Full Court, High </w:t>
      </w:r>
      <w:proofErr w:type="gramStart"/>
      <w:r w:rsidRPr="00EB59E9">
        <w:rPr>
          <w:rFonts w:cs="Arial"/>
          <w:color w:val="auto"/>
          <w:szCs w:val="24"/>
        </w:rPr>
        <w:t>Court</w:t>
      </w:r>
      <w:proofErr w:type="gramEnd"/>
      <w:r w:rsidRPr="00EB59E9">
        <w:rPr>
          <w:rFonts w:cs="Arial"/>
          <w:color w:val="auto"/>
          <w:szCs w:val="24"/>
        </w:rPr>
        <w:t xml:space="preserve"> and other agencies.</w:t>
      </w:r>
    </w:p>
    <w:p w14:paraId="5A57D228" w14:textId="77777777" w:rsidR="003872AF" w:rsidRPr="00EB59E9" w:rsidRDefault="003872AF" w:rsidP="003872AF">
      <w:pPr>
        <w:numPr>
          <w:ilvl w:val="0"/>
          <w:numId w:val="19"/>
        </w:numPr>
        <w:spacing w:line="240" w:lineRule="auto"/>
        <w:rPr>
          <w:rFonts w:cs="Arial"/>
          <w:color w:val="auto"/>
          <w:szCs w:val="24"/>
        </w:rPr>
      </w:pPr>
      <w:r w:rsidRPr="00EB59E9">
        <w:rPr>
          <w:rFonts w:cs="Arial"/>
          <w:color w:val="auto"/>
          <w:szCs w:val="24"/>
        </w:rPr>
        <w:t xml:space="preserve">To manage the Office's response to recommendations arising from Royal Commissions or other external bodies. </w:t>
      </w:r>
    </w:p>
    <w:p w14:paraId="76262643" w14:textId="77777777" w:rsidR="003872AF" w:rsidRPr="00EB59E9" w:rsidRDefault="003872AF" w:rsidP="003872AF">
      <w:pPr>
        <w:numPr>
          <w:ilvl w:val="0"/>
          <w:numId w:val="19"/>
        </w:numPr>
        <w:spacing w:line="240" w:lineRule="auto"/>
        <w:rPr>
          <w:rFonts w:cs="Arial"/>
          <w:color w:val="auto"/>
          <w:szCs w:val="24"/>
        </w:rPr>
      </w:pPr>
      <w:r w:rsidRPr="00EB59E9">
        <w:rPr>
          <w:rFonts w:cs="Arial"/>
          <w:color w:val="auto"/>
          <w:szCs w:val="24"/>
        </w:rPr>
        <w:t xml:space="preserve">To liaise with external stakeholders and represent the Director on various committees and working groups in respect to policy and other management matters. </w:t>
      </w:r>
    </w:p>
    <w:p w14:paraId="3096E176" w14:textId="77777777" w:rsidR="003872AF" w:rsidRPr="00EB59E9" w:rsidRDefault="003872AF" w:rsidP="003872AF">
      <w:pPr>
        <w:numPr>
          <w:ilvl w:val="0"/>
          <w:numId w:val="19"/>
        </w:numPr>
        <w:spacing w:line="240" w:lineRule="auto"/>
        <w:rPr>
          <w:rFonts w:cs="Arial"/>
          <w:color w:val="auto"/>
          <w:szCs w:val="24"/>
        </w:rPr>
      </w:pPr>
      <w:r w:rsidRPr="00EB59E9">
        <w:rPr>
          <w:rFonts w:cs="Arial"/>
          <w:color w:val="auto"/>
          <w:szCs w:val="24"/>
        </w:rPr>
        <w:t>To organise the Office’s Continued Legal Education (CLE) Program.</w:t>
      </w:r>
    </w:p>
    <w:p w14:paraId="27542EEE" w14:textId="77777777" w:rsidR="003872AF" w:rsidRPr="00EB59E9" w:rsidRDefault="003872AF" w:rsidP="003872AF">
      <w:pPr>
        <w:numPr>
          <w:ilvl w:val="0"/>
          <w:numId w:val="19"/>
        </w:numPr>
        <w:spacing w:line="240" w:lineRule="auto"/>
        <w:rPr>
          <w:rFonts w:cs="Arial"/>
          <w:color w:val="auto"/>
          <w:szCs w:val="24"/>
        </w:rPr>
      </w:pPr>
      <w:r w:rsidRPr="00EB59E9">
        <w:rPr>
          <w:rFonts w:cs="Arial"/>
          <w:color w:val="auto"/>
          <w:szCs w:val="24"/>
        </w:rPr>
        <w:t>To give legal advice to the Director and other agencies in respect to current matters.</w:t>
      </w:r>
    </w:p>
    <w:p w14:paraId="69390A70" w14:textId="77777777" w:rsidR="00EA6A91" w:rsidRPr="00EB59E9" w:rsidRDefault="00D40F47" w:rsidP="00D40F47">
      <w:pPr>
        <w:pStyle w:val="Heading1"/>
        <w:rPr>
          <w:color w:val="auto"/>
        </w:rPr>
      </w:pPr>
      <w:r w:rsidRPr="00EB59E9">
        <w:rPr>
          <w:color w:val="auto"/>
        </w:rPr>
        <w:t>Level of responsibility</w:t>
      </w:r>
    </w:p>
    <w:p w14:paraId="6F97E397" w14:textId="6F7EE274" w:rsidR="00D40F47" w:rsidRPr="00EB59E9" w:rsidRDefault="003872AF" w:rsidP="003872AF">
      <w:pPr>
        <w:pStyle w:val="BulletL1"/>
        <w:rPr>
          <w:color w:val="auto"/>
        </w:rPr>
      </w:pPr>
      <w:r w:rsidRPr="00EB59E9">
        <w:rPr>
          <w:color w:val="auto"/>
        </w:rPr>
        <w:t xml:space="preserve">Responsible for the effective and efficient delivery of prosecution services in accordance with the directions, </w:t>
      </w:r>
      <w:proofErr w:type="gramStart"/>
      <w:r w:rsidRPr="00EB59E9">
        <w:rPr>
          <w:color w:val="auto"/>
        </w:rPr>
        <w:t>policies</w:t>
      </w:r>
      <w:proofErr w:type="gramEnd"/>
      <w:r w:rsidRPr="00EB59E9">
        <w:rPr>
          <w:color w:val="auto"/>
        </w:rPr>
        <w:t xml:space="preserve"> and guidelines of the Director of Public Prosecutions and within allocated resources and agreed timeframes. Responsible for maintaining an extensive knowledge of criminal law, criminal law processes and procedures and maintaining effective liaison with complainants, witnesses, defence counsel, Tasmania </w:t>
      </w:r>
      <w:proofErr w:type="gramStart"/>
      <w:r w:rsidRPr="00EB59E9">
        <w:rPr>
          <w:color w:val="auto"/>
        </w:rPr>
        <w:t>Police</w:t>
      </w:r>
      <w:proofErr w:type="gramEnd"/>
      <w:r w:rsidRPr="00EB59E9">
        <w:rPr>
          <w:color w:val="auto"/>
        </w:rPr>
        <w:t xml:space="preserve"> and the Courts.  Responsible for the performance and professional development of assigned staff.</w:t>
      </w:r>
    </w:p>
    <w:p w14:paraId="3103046E" w14:textId="77777777" w:rsidR="000221A3" w:rsidRPr="00EB59E9" w:rsidRDefault="000221A3" w:rsidP="000221A3">
      <w:pPr>
        <w:pStyle w:val="Heading1"/>
        <w:rPr>
          <w:color w:val="auto"/>
        </w:rPr>
      </w:pPr>
      <w:r w:rsidRPr="00EB59E9">
        <w:rPr>
          <w:color w:val="auto"/>
        </w:rPr>
        <w:t xml:space="preserve">Direction and supervision </w:t>
      </w:r>
      <w:proofErr w:type="gramStart"/>
      <w:r w:rsidRPr="00EB59E9">
        <w:rPr>
          <w:color w:val="auto"/>
        </w:rPr>
        <w:t>received</w:t>
      </w:r>
      <w:proofErr w:type="gramEnd"/>
    </w:p>
    <w:p w14:paraId="5BCDAB14" w14:textId="21EC2DD7" w:rsidR="000221A3" w:rsidRPr="00EB59E9" w:rsidRDefault="003872AF" w:rsidP="003872AF">
      <w:pPr>
        <w:pStyle w:val="BulletL1"/>
        <w:rPr>
          <w:color w:val="auto"/>
        </w:rPr>
      </w:pPr>
      <w:r w:rsidRPr="00EB59E9">
        <w:rPr>
          <w:color w:val="auto"/>
        </w:rPr>
        <w:t xml:space="preserve">Day to day work performed under limited general direction and exercises personal professional judgment in the determination of overall strategies, </w:t>
      </w:r>
      <w:proofErr w:type="gramStart"/>
      <w:r w:rsidRPr="00EB59E9">
        <w:rPr>
          <w:color w:val="auto"/>
        </w:rPr>
        <w:t>priorities</w:t>
      </w:r>
      <w:proofErr w:type="gramEnd"/>
      <w:r w:rsidRPr="00EB59E9">
        <w:rPr>
          <w:color w:val="auto"/>
        </w:rPr>
        <w:t xml:space="preserve"> and work standards.  </w:t>
      </w:r>
    </w:p>
    <w:p w14:paraId="7C29042A" w14:textId="77777777" w:rsidR="000221A3" w:rsidRPr="00EB59E9" w:rsidRDefault="000221A3" w:rsidP="000221A3">
      <w:pPr>
        <w:pStyle w:val="Heading1"/>
        <w:rPr>
          <w:color w:val="auto"/>
        </w:rPr>
      </w:pPr>
      <w:r w:rsidRPr="00EB59E9">
        <w:rPr>
          <w:color w:val="auto"/>
        </w:rPr>
        <w:lastRenderedPageBreak/>
        <w:t>Selection criteria</w:t>
      </w:r>
    </w:p>
    <w:p w14:paraId="2E9B57CF" w14:textId="77777777" w:rsidR="003872AF" w:rsidRPr="00EB59E9" w:rsidRDefault="003872AF" w:rsidP="003872AF">
      <w:pPr>
        <w:rPr>
          <w:rFonts w:cs="Arial"/>
          <w:color w:val="auto"/>
          <w:szCs w:val="24"/>
        </w:rPr>
      </w:pPr>
      <w:r w:rsidRPr="00EB59E9">
        <w:rPr>
          <w:rFonts w:cs="Arial"/>
          <w:color w:val="auto"/>
          <w:szCs w:val="24"/>
        </w:rPr>
        <w:t xml:space="preserve">The following specific selection criteria must be addressed by candidates by describing their relevant personal and professional skills and abilities, qualifications, </w:t>
      </w:r>
      <w:proofErr w:type="gramStart"/>
      <w:r w:rsidRPr="00EB59E9">
        <w:rPr>
          <w:rFonts w:cs="Arial"/>
          <w:color w:val="auto"/>
          <w:szCs w:val="24"/>
        </w:rPr>
        <w:t>training</w:t>
      </w:r>
      <w:proofErr w:type="gramEnd"/>
      <w:r w:rsidRPr="00EB59E9">
        <w:rPr>
          <w:rFonts w:cs="Arial"/>
          <w:color w:val="auto"/>
          <w:szCs w:val="24"/>
        </w:rPr>
        <w:t xml:space="preserve"> and competencies; past achievements; and potential for development.  The position objective and duties can also be used to assist in addressing the selection criteria.</w:t>
      </w:r>
    </w:p>
    <w:p w14:paraId="18845F97" w14:textId="5D489097" w:rsidR="003872AF" w:rsidRPr="00EB59E9" w:rsidRDefault="003872AF" w:rsidP="00AA180F">
      <w:pPr>
        <w:numPr>
          <w:ilvl w:val="0"/>
          <w:numId w:val="21"/>
        </w:numPr>
        <w:spacing w:line="240" w:lineRule="auto"/>
        <w:ind w:left="714" w:hanging="357"/>
        <w:rPr>
          <w:rFonts w:cs="Arial"/>
          <w:color w:val="auto"/>
          <w:szCs w:val="24"/>
        </w:rPr>
      </w:pPr>
      <w:r w:rsidRPr="00EB59E9">
        <w:rPr>
          <w:rFonts w:cs="Arial"/>
          <w:color w:val="auto"/>
          <w:szCs w:val="24"/>
        </w:rPr>
        <w:t xml:space="preserve">Well-developed legal research skills including a proven ability to draft responses to law reform bodies and government together with the ability to effectively advocate a </w:t>
      </w:r>
      <w:r w:rsidR="00E01CF4" w:rsidRPr="00EB59E9">
        <w:rPr>
          <w:rFonts w:cs="Arial"/>
          <w:color w:val="auto"/>
          <w:szCs w:val="24"/>
        </w:rPr>
        <w:t>position</w:t>
      </w:r>
      <w:r w:rsidRPr="00EB59E9">
        <w:rPr>
          <w:rFonts w:cs="Arial"/>
          <w:color w:val="auto"/>
          <w:szCs w:val="24"/>
        </w:rPr>
        <w:t xml:space="preserve"> in working groups and committees in respect to law reform. </w:t>
      </w:r>
    </w:p>
    <w:p w14:paraId="2953F0F5" w14:textId="77777777" w:rsidR="003872AF" w:rsidRPr="00EB59E9" w:rsidRDefault="003872AF" w:rsidP="00AA180F">
      <w:pPr>
        <w:numPr>
          <w:ilvl w:val="0"/>
          <w:numId w:val="21"/>
        </w:numPr>
        <w:spacing w:line="240" w:lineRule="auto"/>
        <w:ind w:left="714" w:hanging="357"/>
        <w:rPr>
          <w:rFonts w:cs="Arial"/>
          <w:color w:val="auto"/>
          <w:szCs w:val="24"/>
        </w:rPr>
      </w:pPr>
      <w:r w:rsidRPr="00EB59E9">
        <w:rPr>
          <w:rFonts w:cs="Arial"/>
          <w:color w:val="auto"/>
          <w:szCs w:val="24"/>
        </w:rPr>
        <w:t xml:space="preserve">An extensive knowledge of criminal law as it applies in Tasmania, to enable the person in the role to give high quality to the Director, </w:t>
      </w:r>
      <w:proofErr w:type="gramStart"/>
      <w:r w:rsidRPr="00EB59E9">
        <w:rPr>
          <w:rFonts w:cs="Arial"/>
          <w:color w:val="auto"/>
          <w:szCs w:val="24"/>
        </w:rPr>
        <w:t>Police</w:t>
      </w:r>
      <w:proofErr w:type="gramEnd"/>
      <w:r w:rsidRPr="00EB59E9">
        <w:rPr>
          <w:rFonts w:cs="Arial"/>
          <w:color w:val="auto"/>
          <w:szCs w:val="24"/>
        </w:rPr>
        <w:t xml:space="preserve"> and other agencies along with a proven ability to draft complex written submissions for the Court of Criminal Appeal or Full Court.</w:t>
      </w:r>
    </w:p>
    <w:p w14:paraId="144FBD53" w14:textId="77777777" w:rsidR="003872AF" w:rsidRPr="00EB59E9" w:rsidRDefault="003872AF" w:rsidP="00AA180F">
      <w:pPr>
        <w:numPr>
          <w:ilvl w:val="0"/>
          <w:numId w:val="21"/>
        </w:numPr>
        <w:spacing w:line="240" w:lineRule="auto"/>
        <w:ind w:left="714" w:hanging="357"/>
        <w:rPr>
          <w:rFonts w:cs="Arial"/>
          <w:color w:val="auto"/>
          <w:szCs w:val="24"/>
        </w:rPr>
      </w:pPr>
      <w:r w:rsidRPr="00EB59E9">
        <w:rPr>
          <w:rFonts w:cs="Arial"/>
          <w:color w:val="auto"/>
          <w:szCs w:val="24"/>
        </w:rPr>
        <w:t xml:space="preserve">A high level of personal initiative, </w:t>
      </w:r>
      <w:proofErr w:type="gramStart"/>
      <w:r w:rsidRPr="00EB59E9">
        <w:rPr>
          <w:rFonts w:cs="Arial"/>
          <w:color w:val="auto"/>
          <w:szCs w:val="24"/>
        </w:rPr>
        <w:t>resourcefulness</w:t>
      </w:r>
      <w:proofErr w:type="gramEnd"/>
      <w:r w:rsidRPr="00EB59E9">
        <w:rPr>
          <w:rFonts w:cs="Arial"/>
          <w:color w:val="auto"/>
          <w:szCs w:val="24"/>
        </w:rPr>
        <w:t xml:space="preserve"> and diligence, including demonstrated organisational and prioritisation skills that enable the management of complex and voluminous evidential and legal materials, the routine meeting of deadlines and completion of matters to specified performance standards. </w:t>
      </w:r>
    </w:p>
    <w:p w14:paraId="521ED638" w14:textId="77777777" w:rsidR="003872AF" w:rsidRPr="00EB59E9" w:rsidRDefault="003872AF" w:rsidP="00AA180F">
      <w:pPr>
        <w:numPr>
          <w:ilvl w:val="0"/>
          <w:numId w:val="21"/>
        </w:numPr>
        <w:spacing w:line="240" w:lineRule="auto"/>
        <w:ind w:left="714" w:hanging="357"/>
        <w:rPr>
          <w:rFonts w:cs="Arial"/>
          <w:color w:val="auto"/>
          <w:szCs w:val="24"/>
        </w:rPr>
      </w:pPr>
      <w:r w:rsidRPr="00EB59E9">
        <w:rPr>
          <w:rFonts w:cs="Arial"/>
          <w:color w:val="auto"/>
          <w:szCs w:val="24"/>
        </w:rPr>
        <w:t xml:space="preserve">Demonstrated high level communication skills, including the capacity to effectively convey complex legal information to non-specialists and the ability to relate and liaise positively with complainants, witnesses, legal practitioners, judicial officers, police officers and court staff. </w:t>
      </w:r>
    </w:p>
    <w:p w14:paraId="040CFD9C" w14:textId="77777777" w:rsidR="003872AF" w:rsidRPr="00EB59E9" w:rsidRDefault="003872AF" w:rsidP="00AA180F">
      <w:pPr>
        <w:numPr>
          <w:ilvl w:val="0"/>
          <w:numId w:val="21"/>
        </w:numPr>
        <w:spacing w:line="240" w:lineRule="auto"/>
        <w:ind w:left="714" w:hanging="357"/>
        <w:rPr>
          <w:rFonts w:cs="Arial"/>
          <w:color w:val="auto"/>
          <w:szCs w:val="24"/>
        </w:rPr>
      </w:pPr>
      <w:r w:rsidRPr="00EB59E9">
        <w:rPr>
          <w:rFonts w:cs="Arial"/>
          <w:color w:val="auto"/>
          <w:szCs w:val="24"/>
        </w:rPr>
        <w:t xml:space="preserve">Capacity to conduct negotiations and consultations relevant to the nature of the duties performed. </w:t>
      </w:r>
    </w:p>
    <w:p w14:paraId="2BE7960B" w14:textId="77777777" w:rsidR="000221A3" w:rsidRPr="00EB59E9" w:rsidRDefault="000221A3" w:rsidP="000221A3">
      <w:pPr>
        <w:pStyle w:val="Heading1"/>
        <w:rPr>
          <w:color w:val="auto"/>
        </w:rPr>
      </w:pPr>
      <w:r w:rsidRPr="00EB59E9">
        <w:rPr>
          <w:color w:val="auto"/>
        </w:rPr>
        <w:t>Essential requirements</w:t>
      </w:r>
    </w:p>
    <w:p w14:paraId="1D997413" w14:textId="77777777" w:rsidR="00454DC5" w:rsidRPr="00EB59E9" w:rsidRDefault="00454DC5" w:rsidP="00454DC5">
      <w:pPr>
        <w:pStyle w:val="ListBullet"/>
      </w:pPr>
      <w:r w:rsidRPr="00EB59E9">
        <w:t>Admitted or eligible for admission as a Barrister or Practitioner of the Supreme Court of Tasmania.</w:t>
      </w:r>
    </w:p>
    <w:p w14:paraId="6E1DE31E" w14:textId="77777777" w:rsidR="000221A3" w:rsidRPr="00EB59E9" w:rsidRDefault="000221A3" w:rsidP="000221A3">
      <w:pPr>
        <w:pStyle w:val="Heading1"/>
        <w:rPr>
          <w:color w:val="auto"/>
        </w:rPr>
      </w:pPr>
      <w:r w:rsidRPr="00EB59E9">
        <w:rPr>
          <w:color w:val="auto"/>
        </w:rPr>
        <w:t>Desirable requirements</w:t>
      </w:r>
    </w:p>
    <w:p w14:paraId="535D4597" w14:textId="77777777" w:rsidR="00454DC5" w:rsidRPr="00EB59E9" w:rsidRDefault="00454DC5" w:rsidP="00454DC5">
      <w:pPr>
        <w:pStyle w:val="ListBullet"/>
      </w:pPr>
      <w:r w:rsidRPr="00EB59E9">
        <w:t>A minimum of seven years relevant experience.</w:t>
      </w:r>
    </w:p>
    <w:p w14:paraId="690CBAF4" w14:textId="5FBECBA6" w:rsidR="000221A3" w:rsidRPr="00EB59E9" w:rsidRDefault="000221A3" w:rsidP="000221A3">
      <w:pPr>
        <w:pStyle w:val="Heading1"/>
        <w:rPr>
          <w:color w:val="auto"/>
        </w:rPr>
      </w:pPr>
      <w:r w:rsidRPr="00EB59E9">
        <w:rPr>
          <w:color w:val="auto"/>
        </w:rPr>
        <w:t>Pre-employment Checks</w:t>
      </w:r>
    </w:p>
    <w:p w14:paraId="286D1116" w14:textId="77777777" w:rsidR="00DF363A" w:rsidRPr="00EB59E9" w:rsidRDefault="00DF363A" w:rsidP="00DF363A">
      <w:pPr>
        <w:rPr>
          <w:color w:val="auto"/>
        </w:rPr>
      </w:pPr>
      <w:r w:rsidRPr="00EB59E9">
        <w:rPr>
          <w:color w:val="auto"/>
        </w:rPr>
        <w:t xml:space="preserve">The Head of State Service has determined that the person nominated for this vacancy is to satisfy a pre-employment check before taking up the appointment, </w:t>
      </w:r>
      <w:proofErr w:type="gramStart"/>
      <w:r w:rsidRPr="00EB59E9">
        <w:rPr>
          <w:color w:val="auto"/>
        </w:rPr>
        <w:t>promotion</w:t>
      </w:r>
      <w:proofErr w:type="gramEnd"/>
      <w:r w:rsidRPr="00EB59E9">
        <w:rPr>
          <w:color w:val="auto"/>
        </w:rPr>
        <w:t xml:space="preserve"> or transfer. </w:t>
      </w:r>
    </w:p>
    <w:p w14:paraId="7B3548CA" w14:textId="77777777" w:rsidR="00DF363A" w:rsidRPr="00EB59E9" w:rsidRDefault="00DF363A" w:rsidP="00DF363A">
      <w:pPr>
        <w:rPr>
          <w:color w:val="auto"/>
        </w:rPr>
      </w:pPr>
      <w:r w:rsidRPr="00EB59E9">
        <w:rPr>
          <w:color w:val="auto"/>
        </w:rPr>
        <w:t>The following checks are to be conducted:</w:t>
      </w:r>
    </w:p>
    <w:p w14:paraId="46365861" w14:textId="77777777" w:rsidR="00DF363A" w:rsidRPr="00EB59E9" w:rsidRDefault="00DF363A" w:rsidP="00DF363A">
      <w:pPr>
        <w:pStyle w:val="ListNumber"/>
        <w:numPr>
          <w:ilvl w:val="0"/>
          <w:numId w:val="18"/>
        </w:numPr>
        <w:ind w:left="426" w:hanging="426"/>
      </w:pPr>
      <w:r w:rsidRPr="00EB59E9">
        <w:t>Pre-employment checks</w:t>
      </w:r>
    </w:p>
    <w:p w14:paraId="2DE969C4" w14:textId="77777777" w:rsidR="00DF363A" w:rsidRPr="00EB59E9" w:rsidRDefault="00DF363A" w:rsidP="0087234C">
      <w:pPr>
        <w:pStyle w:val="BulletL1"/>
        <w:spacing w:after="0" w:line="288" w:lineRule="auto"/>
        <w:ind w:left="709"/>
        <w:contextualSpacing w:val="0"/>
        <w:rPr>
          <w:color w:val="auto"/>
        </w:rPr>
      </w:pPr>
      <w:r w:rsidRPr="00EB59E9">
        <w:rPr>
          <w:color w:val="auto"/>
        </w:rPr>
        <w:lastRenderedPageBreak/>
        <w:t>Arson and fire setting</w:t>
      </w:r>
    </w:p>
    <w:p w14:paraId="6E8B4696" w14:textId="77777777" w:rsidR="00DF363A" w:rsidRPr="00EB59E9" w:rsidRDefault="00DF363A" w:rsidP="0087234C">
      <w:pPr>
        <w:pStyle w:val="BulletL1"/>
        <w:spacing w:after="0" w:line="288" w:lineRule="auto"/>
        <w:ind w:left="709"/>
        <w:contextualSpacing w:val="0"/>
        <w:rPr>
          <w:color w:val="auto"/>
        </w:rPr>
      </w:pPr>
      <w:r w:rsidRPr="00EB59E9">
        <w:rPr>
          <w:color w:val="auto"/>
        </w:rPr>
        <w:t>Violent crimes and crimes against the person</w:t>
      </w:r>
    </w:p>
    <w:p w14:paraId="701FE625" w14:textId="77777777" w:rsidR="00DF363A" w:rsidRPr="00EB59E9" w:rsidRDefault="00DF363A" w:rsidP="0087234C">
      <w:pPr>
        <w:pStyle w:val="BulletL1"/>
        <w:spacing w:after="0" w:line="288" w:lineRule="auto"/>
        <w:ind w:left="709"/>
        <w:contextualSpacing w:val="0"/>
        <w:rPr>
          <w:color w:val="auto"/>
        </w:rPr>
      </w:pPr>
      <w:r w:rsidRPr="00EB59E9">
        <w:rPr>
          <w:color w:val="auto"/>
        </w:rPr>
        <w:t>Sex-related offences</w:t>
      </w:r>
    </w:p>
    <w:p w14:paraId="12CD0AD0" w14:textId="77777777" w:rsidR="00DF363A" w:rsidRPr="00EB59E9" w:rsidRDefault="00DF363A" w:rsidP="0087234C">
      <w:pPr>
        <w:pStyle w:val="BulletL1"/>
        <w:spacing w:after="0" w:line="288" w:lineRule="auto"/>
        <w:ind w:left="709"/>
        <w:contextualSpacing w:val="0"/>
        <w:rPr>
          <w:color w:val="auto"/>
        </w:rPr>
      </w:pPr>
      <w:r w:rsidRPr="00EB59E9">
        <w:rPr>
          <w:color w:val="auto"/>
        </w:rPr>
        <w:t>Drug and alcohol related offences</w:t>
      </w:r>
    </w:p>
    <w:p w14:paraId="5F247A4B" w14:textId="77777777" w:rsidR="00DF363A" w:rsidRPr="00EB59E9" w:rsidRDefault="00DF363A" w:rsidP="0087234C">
      <w:pPr>
        <w:pStyle w:val="BulletL1"/>
        <w:spacing w:after="0" w:line="288" w:lineRule="auto"/>
        <w:ind w:left="709"/>
        <w:contextualSpacing w:val="0"/>
        <w:rPr>
          <w:color w:val="auto"/>
        </w:rPr>
      </w:pPr>
      <w:r w:rsidRPr="00EB59E9">
        <w:rPr>
          <w:color w:val="auto"/>
        </w:rPr>
        <w:t>Crimes involving dishonesty</w:t>
      </w:r>
    </w:p>
    <w:p w14:paraId="157479F2" w14:textId="77777777" w:rsidR="00DF363A" w:rsidRPr="00EB59E9" w:rsidRDefault="00DF363A" w:rsidP="0087234C">
      <w:pPr>
        <w:pStyle w:val="BulletL1"/>
        <w:spacing w:after="0" w:line="288" w:lineRule="auto"/>
        <w:ind w:left="709"/>
        <w:contextualSpacing w:val="0"/>
        <w:rPr>
          <w:color w:val="auto"/>
        </w:rPr>
      </w:pPr>
      <w:r w:rsidRPr="00EB59E9">
        <w:rPr>
          <w:color w:val="auto"/>
        </w:rPr>
        <w:t>Crimes involving deception</w:t>
      </w:r>
    </w:p>
    <w:p w14:paraId="30770591" w14:textId="77777777" w:rsidR="00DF363A" w:rsidRPr="00EB59E9" w:rsidRDefault="00DF363A" w:rsidP="0087234C">
      <w:pPr>
        <w:pStyle w:val="BulletL1"/>
        <w:spacing w:after="0" w:line="288" w:lineRule="auto"/>
        <w:ind w:left="709"/>
        <w:contextualSpacing w:val="0"/>
        <w:rPr>
          <w:color w:val="auto"/>
        </w:rPr>
      </w:pPr>
      <w:r w:rsidRPr="00EB59E9">
        <w:rPr>
          <w:color w:val="auto"/>
        </w:rPr>
        <w:t>Making false declarations</w:t>
      </w:r>
    </w:p>
    <w:p w14:paraId="611D5E8B" w14:textId="77777777" w:rsidR="00DF363A" w:rsidRPr="00EB59E9" w:rsidRDefault="00DF363A" w:rsidP="0087234C">
      <w:pPr>
        <w:pStyle w:val="BulletL1"/>
        <w:spacing w:after="0" w:line="288" w:lineRule="auto"/>
        <w:ind w:left="709"/>
        <w:contextualSpacing w:val="0"/>
        <w:rPr>
          <w:color w:val="auto"/>
        </w:rPr>
      </w:pPr>
      <w:r w:rsidRPr="00EB59E9">
        <w:rPr>
          <w:color w:val="auto"/>
        </w:rPr>
        <w:t>Malicious damage and destruction to property</w:t>
      </w:r>
    </w:p>
    <w:p w14:paraId="3EC0F6A7" w14:textId="77777777" w:rsidR="00DF363A" w:rsidRPr="00EB59E9" w:rsidRDefault="00DF363A" w:rsidP="0087234C">
      <w:pPr>
        <w:pStyle w:val="BulletL1"/>
        <w:spacing w:after="0" w:line="288" w:lineRule="auto"/>
        <w:ind w:left="709"/>
        <w:contextualSpacing w:val="0"/>
        <w:rPr>
          <w:color w:val="auto"/>
        </w:rPr>
      </w:pPr>
      <w:r w:rsidRPr="00EB59E9">
        <w:rPr>
          <w:color w:val="auto"/>
        </w:rPr>
        <w:t>Serious traffic offences</w:t>
      </w:r>
    </w:p>
    <w:p w14:paraId="0BC33DB0" w14:textId="77777777" w:rsidR="00DF363A" w:rsidRPr="00EB59E9" w:rsidRDefault="00DF363A" w:rsidP="0087234C">
      <w:pPr>
        <w:pStyle w:val="BulletL1"/>
        <w:spacing w:after="0" w:line="288" w:lineRule="auto"/>
        <w:ind w:left="709"/>
        <w:contextualSpacing w:val="0"/>
        <w:rPr>
          <w:color w:val="auto"/>
        </w:rPr>
      </w:pPr>
      <w:r w:rsidRPr="00EB59E9">
        <w:rPr>
          <w:color w:val="auto"/>
        </w:rPr>
        <w:t>Crimes against public order or relating to the Administration of Law and Justice</w:t>
      </w:r>
    </w:p>
    <w:p w14:paraId="5C223452" w14:textId="77777777" w:rsidR="00DF363A" w:rsidRPr="00EB59E9" w:rsidRDefault="00DF363A" w:rsidP="0087234C">
      <w:pPr>
        <w:pStyle w:val="BulletL1"/>
        <w:spacing w:after="0" w:line="288" w:lineRule="auto"/>
        <w:ind w:left="709"/>
        <w:contextualSpacing w:val="0"/>
        <w:rPr>
          <w:color w:val="auto"/>
        </w:rPr>
      </w:pPr>
      <w:r w:rsidRPr="00EB59E9">
        <w:rPr>
          <w:color w:val="auto"/>
        </w:rPr>
        <w:t>Crimes against Executive or the Legislative Power</w:t>
      </w:r>
    </w:p>
    <w:p w14:paraId="273E0E26" w14:textId="77777777" w:rsidR="00DF363A" w:rsidRPr="00EB59E9" w:rsidRDefault="00DF363A" w:rsidP="00DF363A">
      <w:pPr>
        <w:pStyle w:val="BulletL1"/>
        <w:ind w:left="709"/>
        <w:rPr>
          <w:color w:val="auto"/>
        </w:rPr>
      </w:pPr>
      <w:r w:rsidRPr="00EB59E9">
        <w:rPr>
          <w:color w:val="auto"/>
        </w:rPr>
        <w:t>Crimes involving Conspiracy</w:t>
      </w:r>
    </w:p>
    <w:p w14:paraId="12B191E9" w14:textId="77777777" w:rsidR="00DF363A" w:rsidRPr="00EB59E9" w:rsidRDefault="00DF363A" w:rsidP="00DF363A">
      <w:pPr>
        <w:pStyle w:val="ListNumber"/>
      </w:pPr>
      <w:r w:rsidRPr="00EB59E9">
        <w:t>Disciplinary action in previous employment.</w:t>
      </w:r>
    </w:p>
    <w:p w14:paraId="413763C6" w14:textId="77777777" w:rsidR="000221A3" w:rsidRPr="00EB59E9" w:rsidRDefault="00DF363A" w:rsidP="00DF363A">
      <w:pPr>
        <w:pStyle w:val="ListNumber"/>
      </w:pPr>
      <w:r w:rsidRPr="00EB59E9">
        <w:t>Identification check.</w:t>
      </w:r>
    </w:p>
    <w:p w14:paraId="04FB6B64" w14:textId="77777777" w:rsidR="00F37264" w:rsidRPr="00EB59E9" w:rsidRDefault="00F37264" w:rsidP="00F37264">
      <w:pPr>
        <w:pStyle w:val="Heading1"/>
        <w:rPr>
          <w:color w:val="auto"/>
        </w:rPr>
      </w:pPr>
      <w:r w:rsidRPr="00EB59E9">
        <w:rPr>
          <w:color w:val="auto"/>
        </w:rPr>
        <w:t>Position Summary</w:t>
      </w:r>
    </w:p>
    <w:tbl>
      <w:tblPr>
        <w:tblW w:w="9070"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240"/>
        <w:gridCol w:w="5830"/>
      </w:tblGrid>
      <w:tr w:rsidR="00EB59E9" w:rsidRPr="00EB59E9" w14:paraId="7DC6E467" w14:textId="77777777" w:rsidTr="00D06F8C">
        <w:trPr>
          <w:trHeight w:val="340"/>
          <w:tblHeader/>
        </w:trPr>
        <w:tc>
          <w:tcPr>
            <w:tcW w:w="3240" w:type="dxa"/>
            <w:shd w:val="clear" w:color="auto" w:fill="F2F2F2" w:themeFill="background1" w:themeFillShade="F2"/>
            <w:vAlign w:val="center"/>
          </w:tcPr>
          <w:p w14:paraId="3C53813E" w14:textId="77777777" w:rsidR="00F37264" w:rsidRPr="00EB59E9" w:rsidRDefault="00F37264" w:rsidP="00F37264">
            <w:pPr>
              <w:pStyle w:val="Tableheadingblack"/>
              <w:rPr>
                <w:color w:val="auto"/>
              </w:rPr>
            </w:pPr>
            <w:r w:rsidRPr="00EB59E9">
              <w:rPr>
                <w:color w:val="auto"/>
              </w:rPr>
              <w:t>Title</w:t>
            </w:r>
          </w:p>
        </w:tc>
        <w:tc>
          <w:tcPr>
            <w:tcW w:w="5830" w:type="dxa"/>
            <w:shd w:val="clear" w:color="auto" w:fill="F2F2F2" w:themeFill="background1" w:themeFillShade="F2"/>
            <w:vAlign w:val="center"/>
          </w:tcPr>
          <w:p w14:paraId="6A91FDEA" w14:textId="5A67AA19" w:rsidR="00F37264" w:rsidRPr="00EB59E9" w:rsidRDefault="003872AF" w:rsidP="00F37264">
            <w:pPr>
              <w:pStyle w:val="Tablecopy"/>
              <w:rPr>
                <w:color w:val="auto"/>
              </w:rPr>
            </w:pPr>
            <w:r w:rsidRPr="00EB59E9">
              <w:rPr>
                <w:color w:val="auto"/>
              </w:rPr>
              <w:t>Crown Counsel (Policy)</w:t>
            </w:r>
          </w:p>
        </w:tc>
      </w:tr>
      <w:tr w:rsidR="00EB59E9" w:rsidRPr="00EB59E9" w14:paraId="41500385" w14:textId="77777777" w:rsidTr="00D06F8C">
        <w:trPr>
          <w:trHeight w:val="340"/>
          <w:tblHeader/>
        </w:trPr>
        <w:tc>
          <w:tcPr>
            <w:tcW w:w="3240" w:type="dxa"/>
            <w:shd w:val="clear" w:color="auto" w:fill="F2F2F2" w:themeFill="background1" w:themeFillShade="F2"/>
            <w:vAlign w:val="center"/>
          </w:tcPr>
          <w:p w14:paraId="523540EC" w14:textId="77777777" w:rsidR="00F37264" w:rsidRPr="00EB59E9" w:rsidRDefault="00F37264" w:rsidP="00F37264">
            <w:pPr>
              <w:pStyle w:val="Tableheadingblack"/>
              <w:rPr>
                <w:color w:val="auto"/>
              </w:rPr>
            </w:pPr>
            <w:r w:rsidRPr="00EB59E9">
              <w:rPr>
                <w:color w:val="auto"/>
              </w:rPr>
              <w:t>Number</w:t>
            </w:r>
          </w:p>
        </w:tc>
        <w:tc>
          <w:tcPr>
            <w:tcW w:w="5830" w:type="dxa"/>
            <w:shd w:val="clear" w:color="auto" w:fill="F2F2F2" w:themeFill="background1" w:themeFillShade="F2"/>
            <w:vAlign w:val="center"/>
          </w:tcPr>
          <w:p w14:paraId="6008812A" w14:textId="511A4023" w:rsidR="00F37264" w:rsidRPr="00EB59E9" w:rsidRDefault="003872AF" w:rsidP="00F37264">
            <w:pPr>
              <w:pStyle w:val="Tablecopy"/>
              <w:rPr>
                <w:color w:val="auto"/>
              </w:rPr>
            </w:pPr>
            <w:r w:rsidRPr="00EB59E9">
              <w:rPr>
                <w:color w:val="auto"/>
              </w:rPr>
              <w:t>350057</w:t>
            </w:r>
          </w:p>
        </w:tc>
      </w:tr>
      <w:tr w:rsidR="00EB59E9" w:rsidRPr="00EB59E9" w14:paraId="43A5C1F1" w14:textId="77777777" w:rsidTr="00D06F8C">
        <w:trPr>
          <w:trHeight w:val="340"/>
          <w:tblHeader/>
        </w:trPr>
        <w:tc>
          <w:tcPr>
            <w:tcW w:w="3240" w:type="dxa"/>
            <w:shd w:val="clear" w:color="auto" w:fill="F2F2F2" w:themeFill="background1" w:themeFillShade="F2"/>
            <w:vAlign w:val="center"/>
          </w:tcPr>
          <w:p w14:paraId="35A3E84C" w14:textId="77777777" w:rsidR="00F37264" w:rsidRPr="00EB59E9" w:rsidRDefault="00F37264" w:rsidP="00F37264">
            <w:pPr>
              <w:pStyle w:val="Tableheadingblack"/>
              <w:rPr>
                <w:color w:val="auto"/>
              </w:rPr>
            </w:pPr>
            <w:r w:rsidRPr="00EB59E9">
              <w:rPr>
                <w:color w:val="auto"/>
              </w:rPr>
              <w:t>Award</w:t>
            </w:r>
          </w:p>
        </w:tc>
        <w:tc>
          <w:tcPr>
            <w:tcW w:w="5830" w:type="dxa"/>
            <w:shd w:val="clear" w:color="auto" w:fill="F2F2F2" w:themeFill="background1" w:themeFillShade="F2"/>
            <w:vAlign w:val="center"/>
          </w:tcPr>
          <w:p w14:paraId="6C13836C" w14:textId="319F964C" w:rsidR="00F37264" w:rsidRPr="00EB59E9" w:rsidRDefault="003872AF" w:rsidP="00F37264">
            <w:pPr>
              <w:pStyle w:val="Tablecopy"/>
              <w:rPr>
                <w:color w:val="auto"/>
              </w:rPr>
            </w:pPr>
            <w:r w:rsidRPr="00EB59E9">
              <w:rPr>
                <w:color w:val="auto"/>
              </w:rPr>
              <w:t>Legal Practitioner Agreement</w:t>
            </w:r>
          </w:p>
        </w:tc>
      </w:tr>
      <w:tr w:rsidR="00EB59E9" w:rsidRPr="00EB59E9" w14:paraId="22253984" w14:textId="77777777" w:rsidTr="00D06F8C">
        <w:trPr>
          <w:trHeight w:val="340"/>
          <w:tblHeader/>
        </w:trPr>
        <w:tc>
          <w:tcPr>
            <w:tcW w:w="3240" w:type="dxa"/>
            <w:shd w:val="clear" w:color="auto" w:fill="F2F2F2" w:themeFill="background1" w:themeFillShade="F2"/>
            <w:vAlign w:val="center"/>
          </w:tcPr>
          <w:p w14:paraId="490E1032" w14:textId="77777777" w:rsidR="00F37264" w:rsidRPr="00EB59E9" w:rsidRDefault="00F37264" w:rsidP="00F37264">
            <w:pPr>
              <w:pStyle w:val="Tableheadingblack"/>
              <w:rPr>
                <w:color w:val="auto"/>
              </w:rPr>
            </w:pPr>
            <w:r w:rsidRPr="00EB59E9">
              <w:rPr>
                <w:color w:val="auto"/>
              </w:rPr>
              <w:t>Classification</w:t>
            </w:r>
          </w:p>
        </w:tc>
        <w:tc>
          <w:tcPr>
            <w:tcW w:w="5830" w:type="dxa"/>
            <w:shd w:val="clear" w:color="auto" w:fill="F2F2F2" w:themeFill="background1" w:themeFillShade="F2"/>
            <w:vAlign w:val="center"/>
          </w:tcPr>
          <w:p w14:paraId="3B90193E" w14:textId="78B4BDD3" w:rsidR="00F37264" w:rsidRPr="00EB59E9" w:rsidRDefault="003872AF" w:rsidP="00F37264">
            <w:pPr>
              <w:pStyle w:val="Tablecopy"/>
              <w:rPr>
                <w:color w:val="auto"/>
              </w:rPr>
            </w:pPr>
            <w:r w:rsidRPr="00EB59E9">
              <w:rPr>
                <w:color w:val="auto"/>
              </w:rPr>
              <w:t>Level 3</w:t>
            </w:r>
          </w:p>
        </w:tc>
      </w:tr>
      <w:tr w:rsidR="00EB59E9" w:rsidRPr="00EB59E9" w14:paraId="3FF7A2D3" w14:textId="77777777" w:rsidTr="00D06F8C">
        <w:trPr>
          <w:trHeight w:val="340"/>
          <w:tblHeader/>
        </w:trPr>
        <w:tc>
          <w:tcPr>
            <w:tcW w:w="3240" w:type="dxa"/>
            <w:shd w:val="clear" w:color="auto" w:fill="F2F2F2" w:themeFill="background1" w:themeFillShade="F2"/>
            <w:vAlign w:val="center"/>
          </w:tcPr>
          <w:p w14:paraId="091C3634" w14:textId="77777777" w:rsidR="00F37264" w:rsidRPr="00EB59E9" w:rsidRDefault="00F37264" w:rsidP="00F37264">
            <w:pPr>
              <w:pStyle w:val="Tableheadingblack"/>
              <w:rPr>
                <w:color w:val="auto"/>
              </w:rPr>
            </w:pPr>
            <w:r w:rsidRPr="00EB59E9">
              <w:rPr>
                <w:color w:val="auto"/>
              </w:rPr>
              <w:t>Division</w:t>
            </w:r>
          </w:p>
        </w:tc>
        <w:tc>
          <w:tcPr>
            <w:tcW w:w="5830" w:type="dxa"/>
            <w:shd w:val="clear" w:color="auto" w:fill="F2F2F2" w:themeFill="background1" w:themeFillShade="F2"/>
            <w:vAlign w:val="center"/>
          </w:tcPr>
          <w:p w14:paraId="1A5813AD" w14:textId="1C18DB41" w:rsidR="00F37264" w:rsidRPr="00EB59E9" w:rsidRDefault="0095027C" w:rsidP="00F37264">
            <w:pPr>
              <w:pStyle w:val="Tablecopy"/>
              <w:rPr>
                <w:color w:val="auto"/>
              </w:rPr>
            </w:pPr>
            <w:r w:rsidRPr="00EB59E9">
              <w:rPr>
                <w:color w:val="auto"/>
              </w:rPr>
              <w:t>Office of the Director of Public Prosecutions</w:t>
            </w:r>
          </w:p>
        </w:tc>
      </w:tr>
      <w:tr w:rsidR="00EB59E9" w:rsidRPr="00EB59E9" w14:paraId="1F8BB2A4" w14:textId="77777777" w:rsidTr="00D06F8C">
        <w:trPr>
          <w:trHeight w:val="340"/>
          <w:tblHeader/>
        </w:trPr>
        <w:tc>
          <w:tcPr>
            <w:tcW w:w="3240" w:type="dxa"/>
            <w:shd w:val="clear" w:color="auto" w:fill="F2F2F2" w:themeFill="background1" w:themeFillShade="F2"/>
            <w:vAlign w:val="center"/>
          </w:tcPr>
          <w:p w14:paraId="1A2E3D5D" w14:textId="77777777" w:rsidR="00F37264" w:rsidRPr="00EB59E9" w:rsidRDefault="00F37264" w:rsidP="00F37264">
            <w:pPr>
              <w:pStyle w:val="Tableheadingblack"/>
              <w:rPr>
                <w:color w:val="auto"/>
              </w:rPr>
            </w:pPr>
            <w:r w:rsidRPr="00EB59E9">
              <w:rPr>
                <w:color w:val="auto"/>
              </w:rPr>
              <w:t>Full Time Equivalent</w:t>
            </w:r>
          </w:p>
        </w:tc>
        <w:tc>
          <w:tcPr>
            <w:tcW w:w="5830" w:type="dxa"/>
            <w:shd w:val="clear" w:color="auto" w:fill="F2F2F2" w:themeFill="background1" w:themeFillShade="F2"/>
            <w:vAlign w:val="center"/>
          </w:tcPr>
          <w:p w14:paraId="7AF4E1E9" w14:textId="5E339C34" w:rsidR="00F37264" w:rsidRPr="00EB59E9" w:rsidRDefault="0095027C" w:rsidP="00F37264">
            <w:pPr>
              <w:pStyle w:val="Tablecopy"/>
              <w:rPr>
                <w:color w:val="auto"/>
              </w:rPr>
            </w:pPr>
            <w:r w:rsidRPr="00EB59E9">
              <w:rPr>
                <w:color w:val="auto"/>
              </w:rPr>
              <w:t>1.0</w:t>
            </w:r>
          </w:p>
        </w:tc>
      </w:tr>
      <w:tr w:rsidR="00EB59E9" w:rsidRPr="00EB59E9" w14:paraId="5C1791ED" w14:textId="77777777" w:rsidTr="00D06F8C">
        <w:trPr>
          <w:trHeight w:val="340"/>
          <w:tblHeader/>
        </w:trPr>
        <w:tc>
          <w:tcPr>
            <w:tcW w:w="3240" w:type="dxa"/>
            <w:shd w:val="clear" w:color="auto" w:fill="F2F2F2" w:themeFill="background1" w:themeFillShade="F2"/>
            <w:vAlign w:val="center"/>
          </w:tcPr>
          <w:p w14:paraId="4D50EEF5" w14:textId="77777777" w:rsidR="00F37264" w:rsidRPr="00EB59E9" w:rsidRDefault="00F37264" w:rsidP="00F37264">
            <w:pPr>
              <w:pStyle w:val="Tableheadingblack"/>
              <w:rPr>
                <w:color w:val="auto"/>
              </w:rPr>
            </w:pPr>
            <w:r w:rsidRPr="00EB59E9">
              <w:rPr>
                <w:color w:val="auto"/>
              </w:rPr>
              <w:t>Output Group</w:t>
            </w:r>
          </w:p>
        </w:tc>
        <w:tc>
          <w:tcPr>
            <w:tcW w:w="5830" w:type="dxa"/>
            <w:shd w:val="clear" w:color="auto" w:fill="F2F2F2" w:themeFill="background1" w:themeFillShade="F2"/>
            <w:vAlign w:val="center"/>
          </w:tcPr>
          <w:p w14:paraId="34EBFB61" w14:textId="01BF02A7" w:rsidR="00F37264" w:rsidRPr="00EB59E9" w:rsidRDefault="0095027C" w:rsidP="00F37264">
            <w:pPr>
              <w:pStyle w:val="Tablecopy"/>
              <w:rPr>
                <w:color w:val="auto"/>
              </w:rPr>
            </w:pPr>
            <w:r w:rsidRPr="00EB59E9">
              <w:rPr>
                <w:color w:val="auto"/>
              </w:rPr>
              <w:t>Legal Services</w:t>
            </w:r>
          </w:p>
        </w:tc>
      </w:tr>
      <w:tr w:rsidR="00EB59E9" w:rsidRPr="00EB59E9" w14:paraId="5CA61595" w14:textId="77777777" w:rsidTr="00D06F8C">
        <w:trPr>
          <w:trHeight w:val="340"/>
          <w:tblHeader/>
        </w:trPr>
        <w:tc>
          <w:tcPr>
            <w:tcW w:w="3240" w:type="dxa"/>
            <w:shd w:val="clear" w:color="auto" w:fill="F2F2F2" w:themeFill="background1" w:themeFillShade="F2"/>
            <w:vAlign w:val="center"/>
          </w:tcPr>
          <w:p w14:paraId="0F461B33" w14:textId="77777777" w:rsidR="00F37264" w:rsidRPr="00EB59E9" w:rsidRDefault="00F37264" w:rsidP="00F37264">
            <w:pPr>
              <w:pStyle w:val="Tableheadingblack"/>
              <w:rPr>
                <w:color w:val="auto"/>
              </w:rPr>
            </w:pPr>
            <w:r w:rsidRPr="00EB59E9">
              <w:rPr>
                <w:color w:val="auto"/>
              </w:rPr>
              <w:t>Branch</w:t>
            </w:r>
          </w:p>
        </w:tc>
        <w:tc>
          <w:tcPr>
            <w:tcW w:w="5830" w:type="dxa"/>
            <w:shd w:val="clear" w:color="auto" w:fill="F2F2F2" w:themeFill="background1" w:themeFillShade="F2"/>
            <w:vAlign w:val="center"/>
          </w:tcPr>
          <w:p w14:paraId="0F8E2ECD" w14:textId="59EC01B0" w:rsidR="00F37264" w:rsidRPr="00EB59E9" w:rsidRDefault="0095027C" w:rsidP="00F37264">
            <w:pPr>
              <w:pStyle w:val="Tablecopy"/>
              <w:rPr>
                <w:color w:val="auto"/>
              </w:rPr>
            </w:pPr>
            <w:r w:rsidRPr="00EB59E9">
              <w:rPr>
                <w:color w:val="auto"/>
              </w:rPr>
              <w:t>DPP Criminal</w:t>
            </w:r>
          </w:p>
        </w:tc>
      </w:tr>
      <w:tr w:rsidR="00EB59E9" w:rsidRPr="00EB59E9" w14:paraId="2F0B0BE4" w14:textId="77777777" w:rsidTr="00D06F8C">
        <w:trPr>
          <w:trHeight w:val="340"/>
          <w:tblHeader/>
        </w:trPr>
        <w:tc>
          <w:tcPr>
            <w:tcW w:w="3240" w:type="dxa"/>
            <w:shd w:val="clear" w:color="auto" w:fill="F2F2F2" w:themeFill="background1" w:themeFillShade="F2"/>
            <w:vAlign w:val="center"/>
          </w:tcPr>
          <w:p w14:paraId="6A96EE49" w14:textId="77777777" w:rsidR="00F37264" w:rsidRPr="00EB59E9" w:rsidRDefault="00F37264" w:rsidP="00F37264">
            <w:pPr>
              <w:pStyle w:val="Tableheadingblack"/>
              <w:rPr>
                <w:color w:val="auto"/>
              </w:rPr>
            </w:pPr>
            <w:r w:rsidRPr="00EB59E9">
              <w:rPr>
                <w:color w:val="auto"/>
              </w:rPr>
              <w:t>Supervisor</w:t>
            </w:r>
          </w:p>
        </w:tc>
        <w:tc>
          <w:tcPr>
            <w:tcW w:w="5830" w:type="dxa"/>
            <w:shd w:val="clear" w:color="auto" w:fill="F2F2F2" w:themeFill="background1" w:themeFillShade="F2"/>
            <w:vAlign w:val="center"/>
          </w:tcPr>
          <w:p w14:paraId="3B405BB5" w14:textId="4ACD2A87" w:rsidR="00F37264" w:rsidRPr="00EB59E9" w:rsidRDefault="0095027C" w:rsidP="00F37264">
            <w:pPr>
              <w:pStyle w:val="Tablecopy"/>
              <w:rPr>
                <w:rFonts w:cs="Arial"/>
                <w:color w:val="auto"/>
              </w:rPr>
            </w:pPr>
            <w:r w:rsidRPr="00EB59E9">
              <w:rPr>
                <w:rFonts w:cs="Arial"/>
                <w:color w:val="auto"/>
              </w:rPr>
              <w:t>Director Public Prosecutions</w:t>
            </w:r>
          </w:p>
        </w:tc>
      </w:tr>
      <w:tr w:rsidR="00EB59E9" w:rsidRPr="00EB59E9" w14:paraId="2680EF7E" w14:textId="77777777" w:rsidTr="00D06F8C">
        <w:trPr>
          <w:trHeight w:val="340"/>
          <w:tblHeader/>
        </w:trPr>
        <w:tc>
          <w:tcPr>
            <w:tcW w:w="3240" w:type="dxa"/>
            <w:shd w:val="clear" w:color="auto" w:fill="F2F2F2" w:themeFill="background1" w:themeFillShade="F2"/>
            <w:vAlign w:val="center"/>
          </w:tcPr>
          <w:p w14:paraId="55D3FB33" w14:textId="77777777" w:rsidR="00F37264" w:rsidRPr="00EB59E9" w:rsidRDefault="00F37264" w:rsidP="00F37264">
            <w:pPr>
              <w:pStyle w:val="Tableheadingblack"/>
              <w:rPr>
                <w:color w:val="auto"/>
              </w:rPr>
            </w:pPr>
            <w:r w:rsidRPr="00EB59E9">
              <w:rPr>
                <w:color w:val="auto"/>
              </w:rPr>
              <w:t>Direct Reports</w:t>
            </w:r>
          </w:p>
        </w:tc>
        <w:tc>
          <w:tcPr>
            <w:tcW w:w="5830" w:type="dxa"/>
            <w:shd w:val="clear" w:color="auto" w:fill="F2F2F2" w:themeFill="background1" w:themeFillShade="F2"/>
            <w:vAlign w:val="center"/>
          </w:tcPr>
          <w:p w14:paraId="4058B768" w14:textId="77AB62F3" w:rsidR="00F37264" w:rsidRPr="00EB59E9" w:rsidRDefault="0095027C" w:rsidP="00F37264">
            <w:pPr>
              <w:pStyle w:val="Tablecopy"/>
              <w:rPr>
                <w:rFonts w:cs="Arial"/>
                <w:color w:val="auto"/>
              </w:rPr>
            </w:pPr>
            <w:r w:rsidRPr="00EB59E9">
              <w:rPr>
                <w:rFonts w:cs="Arial"/>
                <w:color w:val="auto"/>
              </w:rPr>
              <w:t>0</w:t>
            </w:r>
          </w:p>
        </w:tc>
      </w:tr>
      <w:tr w:rsidR="00EB59E9" w:rsidRPr="00EB59E9" w14:paraId="796B65E2" w14:textId="77777777" w:rsidTr="00D06F8C">
        <w:trPr>
          <w:trHeight w:val="340"/>
          <w:tblHeader/>
        </w:trPr>
        <w:tc>
          <w:tcPr>
            <w:tcW w:w="3240" w:type="dxa"/>
            <w:shd w:val="clear" w:color="auto" w:fill="F2F2F2" w:themeFill="background1" w:themeFillShade="F2"/>
            <w:vAlign w:val="center"/>
          </w:tcPr>
          <w:p w14:paraId="3B707F07" w14:textId="77777777" w:rsidR="00F37264" w:rsidRPr="00EB59E9" w:rsidRDefault="00F37264" w:rsidP="00F37264">
            <w:pPr>
              <w:pStyle w:val="Tableheadingblack"/>
              <w:rPr>
                <w:color w:val="auto"/>
              </w:rPr>
            </w:pPr>
            <w:r w:rsidRPr="00EB59E9">
              <w:rPr>
                <w:color w:val="auto"/>
              </w:rPr>
              <w:t>Location</w:t>
            </w:r>
          </w:p>
        </w:tc>
        <w:tc>
          <w:tcPr>
            <w:tcW w:w="5830" w:type="dxa"/>
            <w:shd w:val="clear" w:color="auto" w:fill="F2F2F2" w:themeFill="background1" w:themeFillShade="F2"/>
            <w:vAlign w:val="center"/>
          </w:tcPr>
          <w:p w14:paraId="65C6099B" w14:textId="12879D54" w:rsidR="00F37264" w:rsidRPr="00EB59E9" w:rsidRDefault="0095027C" w:rsidP="00F37264">
            <w:pPr>
              <w:pStyle w:val="Tablecopy"/>
              <w:rPr>
                <w:rFonts w:cs="Arial"/>
                <w:color w:val="auto"/>
              </w:rPr>
            </w:pPr>
            <w:r w:rsidRPr="00EB59E9">
              <w:rPr>
                <w:rFonts w:cs="Arial"/>
                <w:color w:val="auto"/>
              </w:rPr>
              <w:t>Hobart</w:t>
            </w:r>
          </w:p>
        </w:tc>
      </w:tr>
      <w:tr w:rsidR="00EB59E9" w:rsidRPr="00EB59E9" w14:paraId="05EAEBD1" w14:textId="77777777" w:rsidTr="00D06F8C">
        <w:trPr>
          <w:trHeight w:val="340"/>
          <w:tblHeader/>
        </w:trPr>
        <w:tc>
          <w:tcPr>
            <w:tcW w:w="3240" w:type="dxa"/>
            <w:shd w:val="clear" w:color="auto" w:fill="F2F2F2" w:themeFill="background1" w:themeFillShade="F2"/>
            <w:vAlign w:val="center"/>
          </w:tcPr>
          <w:p w14:paraId="2830827E" w14:textId="77777777" w:rsidR="00F37264" w:rsidRPr="00EB59E9" w:rsidRDefault="00F37264" w:rsidP="00F37264">
            <w:pPr>
              <w:pStyle w:val="Tableheadingblack"/>
              <w:rPr>
                <w:color w:val="auto"/>
              </w:rPr>
            </w:pPr>
            <w:r w:rsidRPr="00EB59E9">
              <w:rPr>
                <w:color w:val="auto"/>
              </w:rPr>
              <w:t>Position category and funding</w:t>
            </w:r>
          </w:p>
        </w:tc>
        <w:tc>
          <w:tcPr>
            <w:tcW w:w="5830" w:type="dxa"/>
            <w:shd w:val="clear" w:color="auto" w:fill="F2F2F2" w:themeFill="background1" w:themeFillShade="F2"/>
            <w:vAlign w:val="center"/>
          </w:tcPr>
          <w:p w14:paraId="680AEB1F" w14:textId="5A27930D" w:rsidR="00F37264" w:rsidRPr="00EB59E9" w:rsidRDefault="0095027C" w:rsidP="00F37264">
            <w:pPr>
              <w:pStyle w:val="Tablecopy"/>
              <w:rPr>
                <w:color w:val="auto"/>
              </w:rPr>
            </w:pPr>
            <w:r w:rsidRPr="00EB59E9">
              <w:rPr>
                <w:color w:val="auto"/>
              </w:rPr>
              <w:t>Permanent position. Cost Code: A030</w:t>
            </w:r>
          </w:p>
        </w:tc>
      </w:tr>
    </w:tbl>
    <w:p w14:paraId="20656574" w14:textId="77777777" w:rsidR="00F37264" w:rsidRPr="00EB59E9" w:rsidRDefault="00F37264" w:rsidP="00F37264">
      <w:pPr>
        <w:rPr>
          <w:color w:val="auto"/>
        </w:rPr>
      </w:pPr>
    </w:p>
    <w:p w14:paraId="6CF1D347" w14:textId="77777777" w:rsidR="00F37264" w:rsidRPr="00EB59E9" w:rsidRDefault="00F37264" w:rsidP="00F37264">
      <w:pPr>
        <w:pStyle w:val="ListContinue"/>
        <w:ind w:left="0"/>
      </w:pPr>
    </w:p>
    <w:sectPr w:rsidR="00F37264" w:rsidRPr="00EB59E9" w:rsidSect="0087234C">
      <w:footerReference w:type="default" r:id="rId8"/>
      <w:headerReference w:type="first" r:id="rId9"/>
      <w:footerReference w:type="first" r:id="rId10"/>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45AE" w14:textId="77777777" w:rsidR="003536FF" w:rsidRDefault="003536FF" w:rsidP="004438C9">
      <w:r>
        <w:separator/>
      </w:r>
    </w:p>
    <w:p w14:paraId="3E462084" w14:textId="77777777" w:rsidR="003536FF" w:rsidRDefault="003536FF"/>
  </w:endnote>
  <w:endnote w:type="continuationSeparator" w:id="0">
    <w:p w14:paraId="5A91E3C9" w14:textId="77777777" w:rsidR="003536FF" w:rsidRDefault="003536FF" w:rsidP="004438C9">
      <w:r>
        <w:continuationSeparator/>
      </w:r>
    </w:p>
    <w:p w14:paraId="29DC7721" w14:textId="77777777" w:rsidR="003536FF" w:rsidRDefault="00353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7C4FEC00" w14:textId="77777777" w:rsidR="00A02FA7" w:rsidRDefault="00A02FA7" w:rsidP="00A02FA7">
        <w:pPr>
          <w:pStyle w:val="Caption"/>
          <w:tabs>
            <w:tab w:val="right" w:pos="9070"/>
          </w:tabs>
        </w:pPr>
      </w:p>
      <w:p w14:paraId="211DAE91" w14:textId="1D2D5721" w:rsidR="00BD0AF7" w:rsidRPr="00F16B4E" w:rsidRDefault="00A02FA7" w:rsidP="00A02FA7">
        <w:pPr>
          <w:pStyle w:val="Caption"/>
          <w:tabs>
            <w:tab w:val="right" w:pos="9070"/>
          </w:tabs>
        </w:pPr>
        <w:r>
          <w:t xml:space="preserve">Last </w:t>
        </w:r>
        <w:r w:rsidRPr="00456BC0">
          <w:t xml:space="preserve">review date: </w:t>
        </w:r>
        <w:r w:rsidR="003872AF">
          <w:t>September 2024</w:t>
        </w:r>
        <w:r>
          <w:tab/>
        </w:r>
        <w:r w:rsidR="003A54FA">
          <w:fldChar w:fldCharType="begin"/>
        </w:r>
        <w:r w:rsidR="003A54FA">
          <w:instrText xml:space="preserve"> PAGE   \* MERGEFORMAT </w:instrText>
        </w:r>
        <w:r w:rsidR="003A54FA">
          <w:fldChar w:fldCharType="separate"/>
        </w:r>
        <w:r w:rsidR="009527E4">
          <w:rPr>
            <w:noProof/>
          </w:rPr>
          <w:t>2</w:t>
        </w:r>
        <w:r w:rsidR="003A54FA">
          <w:rPr>
            <w:noProof/>
          </w:rPr>
          <w:fldChar w:fldCharType="end"/>
        </w:r>
      </w:p>
    </w:sdtContent>
  </w:sdt>
  <w:p w14:paraId="0ABEC02E" w14:textId="77777777" w:rsidR="00CF3CBC" w:rsidRDefault="00CF3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A78C" w14:textId="38420DC7" w:rsidR="00A02FA7" w:rsidRPr="00F16B4E" w:rsidRDefault="00A02FA7" w:rsidP="00A02FA7">
    <w:pPr>
      <w:pStyle w:val="Caption"/>
      <w:tabs>
        <w:tab w:val="right" w:pos="9070"/>
      </w:tabs>
    </w:pPr>
    <w:r>
      <w:t xml:space="preserve">Last </w:t>
    </w:r>
    <w:r w:rsidRPr="00456BC0">
      <w:t xml:space="preserve">review date: </w:t>
    </w:r>
    <w:r w:rsidR="003872AF">
      <w:t>September 2024</w:t>
    </w:r>
    <w:r>
      <w:tab/>
    </w:r>
    <w:r>
      <w:fldChar w:fldCharType="begin"/>
    </w:r>
    <w:r>
      <w:instrText xml:space="preserve"> PAGE   \* MERGEFORMAT </w:instrText>
    </w:r>
    <w:r>
      <w:fldChar w:fldCharType="separate"/>
    </w:r>
    <w:r>
      <w:t>2</w:t>
    </w:r>
    <w:r>
      <w:rPr>
        <w:noProof/>
      </w:rPr>
      <w:fldChar w:fldCharType="end"/>
    </w:r>
  </w:p>
  <w:p w14:paraId="0F4E5032"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33738" w14:textId="77777777" w:rsidR="003536FF" w:rsidRDefault="003536FF" w:rsidP="004438C9">
      <w:r>
        <w:separator/>
      </w:r>
    </w:p>
    <w:p w14:paraId="71AA0C86" w14:textId="77777777" w:rsidR="003536FF" w:rsidRDefault="003536FF"/>
  </w:footnote>
  <w:footnote w:type="continuationSeparator" w:id="0">
    <w:p w14:paraId="19D59F18" w14:textId="77777777" w:rsidR="003536FF" w:rsidRDefault="003536FF" w:rsidP="004438C9">
      <w:r>
        <w:continuationSeparator/>
      </w:r>
    </w:p>
    <w:p w14:paraId="33451869" w14:textId="77777777" w:rsidR="003536FF" w:rsidRDefault="003536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ED9A"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7003F18A" wp14:editId="6256350A">
          <wp:simplePos x="0" y="0"/>
          <wp:positionH relativeFrom="margin">
            <wp:posOffset>5334000</wp:posOffset>
          </wp:positionH>
          <wp:positionV relativeFrom="paragraph">
            <wp:posOffset>-92075</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2F2809"/>
    <w:multiLevelType w:val="hybridMultilevel"/>
    <w:tmpl w:val="55006576"/>
    <w:lvl w:ilvl="0" w:tplc="EEB665F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083FF3"/>
    <w:multiLevelType w:val="hybridMultilevel"/>
    <w:tmpl w:val="3C4697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AAB35CD"/>
    <w:multiLevelType w:val="hybridMultilevel"/>
    <w:tmpl w:val="D9AC3A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43989">
    <w:abstractNumId w:val="4"/>
  </w:num>
  <w:num w:numId="2" w16cid:durableId="840971471">
    <w:abstractNumId w:val="6"/>
  </w:num>
  <w:num w:numId="3" w16cid:durableId="1738630552">
    <w:abstractNumId w:val="14"/>
  </w:num>
  <w:num w:numId="4" w16cid:durableId="1956597500">
    <w:abstractNumId w:val="5"/>
  </w:num>
  <w:num w:numId="5" w16cid:durableId="303001286">
    <w:abstractNumId w:val="12"/>
  </w:num>
  <w:num w:numId="6" w16cid:durableId="553349720">
    <w:abstractNumId w:val="7"/>
  </w:num>
  <w:num w:numId="7" w16cid:durableId="1048643758">
    <w:abstractNumId w:val="1"/>
  </w:num>
  <w:num w:numId="8" w16cid:durableId="201139373">
    <w:abstractNumId w:val="13"/>
  </w:num>
  <w:num w:numId="9" w16cid:durableId="286158930">
    <w:abstractNumId w:val="0"/>
  </w:num>
  <w:num w:numId="10" w16cid:durableId="43913803">
    <w:abstractNumId w:val="13"/>
  </w:num>
  <w:num w:numId="11" w16cid:durableId="2125879712">
    <w:abstractNumId w:val="2"/>
  </w:num>
  <w:num w:numId="12" w16cid:durableId="1948462496">
    <w:abstractNumId w:val="13"/>
  </w:num>
  <w:num w:numId="13" w16cid:durableId="6912274">
    <w:abstractNumId w:val="16"/>
  </w:num>
  <w:num w:numId="14" w16cid:durableId="1623803603">
    <w:abstractNumId w:val="8"/>
  </w:num>
  <w:num w:numId="15" w16cid:durableId="1591229665">
    <w:abstractNumId w:val="8"/>
  </w:num>
  <w:num w:numId="16" w16cid:durableId="1754278598">
    <w:abstractNumId w:val="3"/>
  </w:num>
  <w:num w:numId="17" w16cid:durableId="212665966">
    <w:abstractNumId w:val="10"/>
  </w:num>
  <w:num w:numId="18" w16cid:durableId="2877120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8872652">
    <w:abstractNumId w:val="15"/>
  </w:num>
  <w:num w:numId="20" w16cid:durableId="1280181397">
    <w:abstractNumId w:val="9"/>
  </w:num>
  <w:num w:numId="21" w16cid:durableId="19594078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FF"/>
    <w:rsid w:val="000221A3"/>
    <w:rsid w:val="00043209"/>
    <w:rsid w:val="00044B8E"/>
    <w:rsid w:val="001314BC"/>
    <w:rsid w:val="001507F3"/>
    <w:rsid w:val="00153905"/>
    <w:rsid w:val="002623EA"/>
    <w:rsid w:val="00297F6C"/>
    <w:rsid w:val="002B1C70"/>
    <w:rsid w:val="002B3394"/>
    <w:rsid w:val="002C2E68"/>
    <w:rsid w:val="002D12FB"/>
    <w:rsid w:val="002D7078"/>
    <w:rsid w:val="00321351"/>
    <w:rsid w:val="003536FF"/>
    <w:rsid w:val="003813E5"/>
    <w:rsid w:val="00386DE1"/>
    <w:rsid w:val="003872AF"/>
    <w:rsid w:val="003A54FA"/>
    <w:rsid w:val="003C79F5"/>
    <w:rsid w:val="00421B3F"/>
    <w:rsid w:val="0043635E"/>
    <w:rsid w:val="004438C9"/>
    <w:rsid w:val="00447BD4"/>
    <w:rsid w:val="00454DC5"/>
    <w:rsid w:val="00456BC0"/>
    <w:rsid w:val="00461775"/>
    <w:rsid w:val="004D1E00"/>
    <w:rsid w:val="004D3811"/>
    <w:rsid w:val="00512870"/>
    <w:rsid w:val="00517409"/>
    <w:rsid w:val="0059331B"/>
    <w:rsid w:val="005B3569"/>
    <w:rsid w:val="005C0BEF"/>
    <w:rsid w:val="005E082F"/>
    <w:rsid w:val="005F2CFF"/>
    <w:rsid w:val="00635C51"/>
    <w:rsid w:val="0064198D"/>
    <w:rsid w:val="00653335"/>
    <w:rsid w:val="006606A4"/>
    <w:rsid w:val="00663B53"/>
    <w:rsid w:val="006653CD"/>
    <w:rsid w:val="006E6FA2"/>
    <w:rsid w:val="00740C39"/>
    <w:rsid w:val="00774FCA"/>
    <w:rsid w:val="00781449"/>
    <w:rsid w:val="007C2716"/>
    <w:rsid w:val="007E4689"/>
    <w:rsid w:val="0083141A"/>
    <w:rsid w:val="00863B9D"/>
    <w:rsid w:val="0086711A"/>
    <w:rsid w:val="0087234C"/>
    <w:rsid w:val="008C0033"/>
    <w:rsid w:val="008C5385"/>
    <w:rsid w:val="008C53F1"/>
    <w:rsid w:val="008E090E"/>
    <w:rsid w:val="008E40F0"/>
    <w:rsid w:val="008E6670"/>
    <w:rsid w:val="008F2D2F"/>
    <w:rsid w:val="009339A0"/>
    <w:rsid w:val="009423EC"/>
    <w:rsid w:val="00945CE8"/>
    <w:rsid w:val="0095027C"/>
    <w:rsid w:val="00950DB8"/>
    <w:rsid w:val="009527E4"/>
    <w:rsid w:val="00952DC6"/>
    <w:rsid w:val="00952E97"/>
    <w:rsid w:val="009720CE"/>
    <w:rsid w:val="00990420"/>
    <w:rsid w:val="00996D62"/>
    <w:rsid w:val="009C09A9"/>
    <w:rsid w:val="009E0F6C"/>
    <w:rsid w:val="009E3508"/>
    <w:rsid w:val="009F0C39"/>
    <w:rsid w:val="00A02FA7"/>
    <w:rsid w:val="00A2725B"/>
    <w:rsid w:val="00A31B9D"/>
    <w:rsid w:val="00A36BFD"/>
    <w:rsid w:val="00AA180F"/>
    <w:rsid w:val="00AB08AB"/>
    <w:rsid w:val="00AB3404"/>
    <w:rsid w:val="00AD1270"/>
    <w:rsid w:val="00AE18EF"/>
    <w:rsid w:val="00AF294A"/>
    <w:rsid w:val="00B2209C"/>
    <w:rsid w:val="00B33B13"/>
    <w:rsid w:val="00B67B16"/>
    <w:rsid w:val="00B90D66"/>
    <w:rsid w:val="00B95C38"/>
    <w:rsid w:val="00BD0AF7"/>
    <w:rsid w:val="00C03F27"/>
    <w:rsid w:val="00C21818"/>
    <w:rsid w:val="00CB2738"/>
    <w:rsid w:val="00CC4A79"/>
    <w:rsid w:val="00CF3CBC"/>
    <w:rsid w:val="00D00E2A"/>
    <w:rsid w:val="00D06F8C"/>
    <w:rsid w:val="00D40F47"/>
    <w:rsid w:val="00DA6B55"/>
    <w:rsid w:val="00DD0D3B"/>
    <w:rsid w:val="00DF363A"/>
    <w:rsid w:val="00E01CF4"/>
    <w:rsid w:val="00E051F2"/>
    <w:rsid w:val="00E169C2"/>
    <w:rsid w:val="00E4377B"/>
    <w:rsid w:val="00E563CC"/>
    <w:rsid w:val="00E65FE5"/>
    <w:rsid w:val="00E7785D"/>
    <w:rsid w:val="00EA6623"/>
    <w:rsid w:val="00EA6A91"/>
    <w:rsid w:val="00EB59E9"/>
    <w:rsid w:val="00EE3F8B"/>
    <w:rsid w:val="00F16B4E"/>
    <w:rsid w:val="00F37264"/>
    <w:rsid w:val="00F513FA"/>
    <w:rsid w:val="00F821C8"/>
    <w:rsid w:val="00F83F2F"/>
    <w:rsid w:val="00F91DD7"/>
    <w:rsid w:val="00FB2A98"/>
    <w:rsid w:val="00FD5680"/>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9C273"/>
  <w15:chartTrackingRefBased/>
  <w15:docId w15:val="{232AB552-ED0A-4363-A4A4-FBF92BFD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ind w:left="284" w:hanging="284"/>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F37264"/>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 w:type="paragraph" w:styleId="ListBullet">
    <w:name w:val="List Bullet"/>
    <w:basedOn w:val="Normal"/>
    <w:autoRedefine/>
    <w:qFormat/>
    <w:rsid w:val="00454DC5"/>
    <w:pPr>
      <w:numPr>
        <w:numId w:val="20"/>
      </w:numPr>
      <w:spacing w:after="60" w:line="240" w:lineRule="auto"/>
      <w:ind w:left="641" w:hanging="357"/>
    </w:pPr>
    <w:rPr>
      <w:rFonts w:eastAsia="Times New Roman" w:cstheme="minorHAnsi"/>
      <w:color w:val="auto"/>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27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ecruitment%20and%20Establishment\Statement%20of%20Duties\SOD%20template%202024.dotx" TargetMode="External"/></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5648-5B5B-48A5-926F-2AD318F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template 2024.dotx</Template>
  <TotalTime>3</TotalTime>
  <Pages>3</Pages>
  <Words>683</Words>
  <Characters>4131</Characters>
  <Application>Microsoft Office Word</Application>
  <DocSecurity>0</DocSecurity>
  <Lines>108</Lines>
  <Paragraphs>78</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Semmens, Grace</dc:creator>
  <cp:keywords/>
  <dc:description/>
  <cp:lastModifiedBy>McConnon, Lisa</cp:lastModifiedBy>
  <cp:revision>2</cp:revision>
  <dcterms:created xsi:type="dcterms:W3CDTF">2024-10-04T03:25:00Z</dcterms:created>
  <dcterms:modified xsi:type="dcterms:W3CDTF">2024-10-04T03:25:00Z</dcterms:modified>
</cp:coreProperties>
</file>