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7781"/>
      </w:tblGrid>
      <w:tr w:rsidR="00453417" w:rsidRPr="001A7D8D" w14:paraId="544EB996" w14:textId="77777777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643FD8" w14:textId="21EAACD7" w:rsidR="00453417" w:rsidRPr="001A7D8D" w:rsidRDefault="0043398D">
            <w:pPr>
              <w:pStyle w:val="formtext"/>
              <w:widowControl/>
              <w:spacing w:before="0"/>
              <w:jc w:val="left"/>
              <w:rPr>
                <w:rFonts w:ascii="Arial Narrow" w:hAnsi="Arial Narrow" w:cs="Arial Narrow"/>
                <w:lang w:val="en-AU"/>
              </w:rPr>
            </w:pPr>
            <w:bookmarkStart w:id="0" w:name="_GoBack"/>
            <w:bookmarkEnd w:id="0"/>
            <w:r w:rsidRPr="001A7D8D"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0" wp14:anchorId="3FE155CC" wp14:editId="3E7B795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-654685</wp:posOffset>
                  </wp:positionV>
                  <wp:extent cx="1271270" cy="628015"/>
                  <wp:effectExtent l="0" t="0" r="0" b="6985"/>
                  <wp:wrapTight wrapText="bothSides">
                    <wp:wrapPolygon edited="0">
                      <wp:start x="0" y="0"/>
                      <wp:lineTo x="0" y="20967"/>
                      <wp:lineTo x="21147" y="20967"/>
                      <wp:lineTo x="2114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F4F1" w14:textId="77777777" w:rsidR="00453417" w:rsidRPr="001A7D8D" w:rsidRDefault="00453417">
            <w:pPr>
              <w:pStyle w:val="BodyText"/>
              <w:rPr>
                <w:sz w:val="36"/>
                <w:szCs w:val="36"/>
              </w:rPr>
            </w:pPr>
            <w:r w:rsidRPr="001A7D8D">
              <w:rPr>
                <w:sz w:val="36"/>
                <w:szCs w:val="36"/>
              </w:rPr>
              <w:t>Position Description</w:t>
            </w:r>
          </w:p>
        </w:tc>
      </w:tr>
    </w:tbl>
    <w:p w14:paraId="6B3288E1" w14:textId="77777777" w:rsidR="00453417" w:rsidRPr="001A7D8D" w:rsidRDefault="00453417">
      <w:pPr>
        <w:pStyle w:val="norm10plus"/>
        <w:widowControl/>
        <w:overflowPunct w:val="0"/>
        <w:spacing w:after="0"/>
        <w:textAlignment w:val="baseline"/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9"/>
        <w:gridCol w:w="7768"/>
      </w:tblGrid>
      <w:tr w:rsidR="00453417" w:rsidRPr="001A7D8D" w14:paraId="02B9710C" w14:textId="77777777">
        <w:trPr>
          <w:cantSplit/>
        </w:trPr>
        <w:tc>
          <w:tcPr>
            <w:tcW w:w="2659" w:type="dxa"/>
            <w:tcBorders>
              <w:top w:val="single" w:sz="4" w:space="0" w:color="auto"/>
            </w:tcBorders>
          </w:tcPr>
          <w:p w14:paraId="0CBA1455" w14:textId="77777777" w:rsidR="00453417" w:rsidRPr="001A7D8D" w:rsidRDefault="00453417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  <w:lang w:val="en-AU"/>
              </w:rPr>
            </w:pPr>
            <w:r w:rsidRPr="001A7D8D">
              <w:rPr>
                <w:rFonts w:ascii="Tahoma" w:hAnsi="Tahoma" w:cs="Tahoma"/>
                <w:b/>
                <w:bCs/>
                <w:sz w:val="20"/>
                <w:szCs w:val="20"/>
                <w:lang w:val="en-AU"/>
              </w:rPr>
              <w:t>College/Division:</w:t>
            </w:r>
          </w:p>
        </w:tc>
        <w:tc>
          <w:tcPr>
            <w:tcW w:w="7768" w:type="dxa"/>
            <w:tcBorders>
              <w:top w:val="single" w:sz="4" w:space="0" w:color="auto"/>
            </w:tcBorders>
          </w:tcPr>
          <w:p w14:paraId="59AAA644" w14:textId="10CC2D72" w:rsidR="00453417" w:rsidRPr="001A7D8D" w:rsidRDefault="00C84146">
            <w:pPr>
              <w:pStyle w:val="norm10plus"/>
              <w:widowControl/>
              <w:overflowPunct w:val="0"/>
              <w:spacing w:after="60"/>
              <w:textAlignment w:val="baseline"/>
            </w:pPr>
            <w:r>
              <w:t>ANU College of Science</w:t>
            </w:r>
          </w:p>
        </w:tc>
      </w:tr>
      <w:tr w:rsidR="00453417" w:rsidRPr="001A7D8D" w14:paraId="6604179F" w14:textId="77777777">
        <w:trPr>
          <w:cantSplit/>
        </w:trPr>
        <w:tc>
          <w:tcPr>
            <w:tcW w:w="2659" w:type="dxa"/>
          </w:tcPr>
          <w:p w14:paraId="1F3293E1" w14:textId="77777777" w:rsidR="00453417" w:rsidRPr="001A7D8D" w:rsidRDefault="00453417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  <w:lang w:val="en-AU"/>
              </w:rPr>
            </w:pPr>
            <w:r w:rsidRPr="001A7D8D">
              <w:rPr>
                <w:rFonts w:ascii="Tahoma" w:hAnsi="Tahoma" w:cs="Tahoma"/>
                <w:b/>
                <w:bCs/>
                <w:sz w:val="20"/>
                <w:szCs w:val="20"/>
                <w:lang w:val="en-AU"/>
              </w:rPr>
              <w:t xml:space="preserve">Faculty/School/Centre: </w:t>
            </w:r>
          </w:p>
        </w:tc>
        <w:tc>
          <w:tcPr>
            <w:tcW w:w="7768" w:type="dxa"/>
          </w:tcPr>
          <w:p w14:paraId="725FF342" w14:textId="77A47A61" w:rsidR="00453417" w:rsidRPr="001A7D8D" w:rsidRDefault="00C84146">
            <w:pPr>
              <w:spacing w:after="60"/>
            </w:pPr>
            <w:r>
              <w:t>Research School of Physics and Engineering</w:t>
            </w:r>
          </w:p>
        </w:tc>
      </w:tr>
      <w:tr w:rsidR="00453417" w:rsidRPr="001A7D8D" w14:paraId="54A7125B" w14:textId="77777777">
        <w:trPr>
          <w:cantSplit/>
        </w:trPr>
        <w:tc>
          <w:tcPr>
            <w:tcW w:w="2659" w:type="dxa"/>
          </w:tcPr>
          <w:p w14:paraId="460B1749" w14:textId="77777777" w:rsidR="00453417" w:rsidRPr="001A7D8D" w:rsidRDefault="00453417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  <w:lang w:val="en-AU"/>
              </w:rPr>
            </w:pPr>
            <w:r w:rsidRPr="001A7D8D">
              <w:rPr>
                <w:rFonts w:ascii="Tahoma" w:hAnsi="Tahoma" w:cs="Tahoma"/>
                <w:b/>
                <w:bCs/>
                <w:sz w:val="20"/>
                <w:szCs w:val="20"/>
                <w:lang w:val="en-AU"/>
              </w:rPr>
              <w:t xml:space="preserve">Department/Unit: </w:t>
            </w:r>
          </w:p>
        </w:tc>
        <w:tc>
          <w:tcPr>
            <w:tcW w:w="7768" w:type="dxa"/>
          </w:tcPr>
          <w:p w14:paraId="32893445" w14:textId="7CDED55D" w:rsidR="00453417" w:rsidRPr="001A7D8D" w:rsidRDefault="005C6A99">
            <w:pPr>
              <w:pStyle w:val="norm10plus"/>
              <w:widowControl/>
              <w:overflowPunct w:val="0"/>
              <w:spacing w:after="60"/>
              <w:textAlignment w:val="baseline"/>
            </w:pPr>
            <w:r w:rsidRPr="001A7D8D">
              <w:t>-</w:t>
            </w:r>
          </w:p>
        </w:tc>
      </w:tr>
      <w:tr w:rsidR="00453417" w:rsidRPr="001A7D8D" w14:paraId="30DB3D3D" w14:textId="77777777">
        <w:trPr>
          <w:cantSplit/>
        </w:trPr>
        <w:tc>
          <w:tcPr>
            <w:tcW w:w="2659" w:type="dxa"/>
          </w:tcPr>
          <w:p w14:paraId="28781E5A" w14:textId="77777777" w:rsidR="00453417" w:rsidRPr="001A7D8D" w:rsidRDefault="00453417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  <w:lang w:val="en-AU"/>
              </w:rPr>
            </w:pPr>
            <w:r w:rsidRPr="001A7D8D">
              <w:rPr>
                <w:rFonts w:ascii="Tahoma" w:hAnsi="Tahoma" w:cs="Tahoma"/>
                <w:b/>
                <w:bCs/>
                <w:sz w:val="20"/>
                <w:szCs w:val="20"/>
                <w:lang w:val="en-AU"/>
              </w:rPr>
              <w:t xml:space="preserve">Position Title: </w:t>
            </w:r>
          </w:p>
        </w:tc>
        <w:tc>
          <w:tcPr>
            <w:tcW w:w="7768" w:type="dxa"/>
          </w:tcPr>
          <w:p w14:paraId="23312EC0" w14:textId="10200242" w:rsidR="00453417" w:rsidRPr="001A7D8D" w:rsidRDefault="00211315">
            <w:pPr>
              <w:spacing w:after="60"/>
            </w:pPr>
            <w:r w:rsidRPr="001A7D8D">
              <w:t>Coordinator</w:t>
            </w:r>
            <w:r w:rsidR="005C6A99" w:rsidRPr="001A7D8D">
              <w:t xml:space="preserve"> of </w:t>
            </w:r>
            <w:r w:rsidRPr="001A7D8D">
              <w:t xml:space="preserve">the </w:t>
            </w:r>
            <w:proofErr w:type="spellStart"/>
            <w:r w:rsidR="005C6A99" w:rsidRPr="001A7D8D">
              <w:t>Masters</w:t>
            </w:r>
            <w:proofErr w:type="spellEnd"/>
            <w:r w:rsidR="005C6A99" w:rsidRPr="001A7D8D">
              <w:t xml:space="preserve"> Program in Physics</w:t>
            </w:r>
          </w:p>
        </w:tc>
      </w:tr>
      <w:tr w:rsidR="00453417" w:rsidRPr="001A7D8D" w14:paraId="14E70DA7" w14:textId="77777777">
        <w:trPr>
          <w:cantSplit/>
        </w:trPr>
        <w:tc>
          <w:tcPr>
            <w:tcW w:w="2659" w:type="dxa"/>
          </w:tcPr>
          <w:p w14:paraId="65C91D8E" w14:textId="77777777" w:rsidR="00453417" w:rsidRPr="001A7D8D" w:rsidRDefault="00453417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  <w:lang w:val="en-AU"/>
              </w:rPr>
            </w:pPr>
            <w:r w:rsidRPr="001A7D8D">
              <w:rPr>
                <w:rFonts w:ascii="Tahoma" w:hAnsi="Tahoma" w:cs="Tahoma"/>
                <w:b/>
                <w:bCs/>
                <w:sz w:val="20"/>
                <w:szCs w:val="20"/>
                <w:lang w:val="en-AU"/>
              </w:rPr>
              <w:t>Classification:</w:t>
            </w:r>
          </w:p>
        </w:tc>
        <w:tc>
          <w:tcPr>
            <w:tcW w:w="7768" w:type="dxa"/>
          </w:tcPr>
          <w:p w14:paraId="6F7FCCF7" w14:textId="77777777" w:rsidR="00453417" w:rsidRPr="00C84146" w:rsidRDefault="00453417">
            <w:pPr>
              <w:spacing w:after="60"/>
            </w:pPr>
            <w:r w:rsidRPr="00C84146">
              <w:rPr>
                <w:bCs/>
              </w:rPr>
              <w:t xml:space="preserve">Academic Level C </w:t>
            </w:r>
          </w:p>
        </w:tc>
      </w:tr>
      <w:tr w:rsidR="00453417" w:rsidRPr="001A7D8D" w14:paraId="1F2A8BD6" w14:textId="77777777">
        <w:trPr>
          <w:cantSplit/>
        </w:trPr>
        <w:tc>
          <w:tcPr>
            <w:tcW w:w="2659" w:type="dxa"/>
          </w:tcPr>
          <w:p w14:paraId="7F03851F" w14:textId="77777777" w:rsidR="00453417" w:rsidRPr="001A7D8D" w:rsidRDefault="00453417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  <w:lang w:val="en-AU"/>
              </w:rPr>
            </w:pPr>
            <w:r w:rsidRPr="001A7D8D">
              <w:rPr>
                <w:rFonts w:ascii="Tahoma" w:hAnsi="Tahoma" w:cs="Tahoma"/>
                <w:b/>
                <w:bCs/>
                <w:sz w:val="20"/>
                <w:szCs w:val="20"/>
                <w:lang w:val="en-AU"/>
              </w:rPr>
              <w:t>Position No:</w:t>
            </w:r>
          </w:p>
        </w:tc>
        <w:tc>
          <w:tcPr>
            <w:tcW w:w="7768" w:type="dxa"/>
          </w:tcPr>
          <w:p w14:paraId="45170513" w14:textId="680433C9" w:rsidR="00453417" w:rsidRPr="001A7D8D" w:rsidRDefault="00C84146">
            <w:pPr>
              <w:spacing w:after="60"/>
            </w:pPr>
            <w:r>
              <w:t>TBA</w:t>
            </w:r>
          </w:p>
        </w:tc>
      </w:tr>
      <w:tr w:rsidR="00453417" w:rsidRPr="001A7D8D" w14:paraId="0ABA1437" w14:textId="77777777" w:rsidTr="00C84146">
        <w:trPr>
          <w:cantSplit/>
        </w:trPr>
        <w:tc>
          <w:tcPr>
            <w:tcW w:w="2659" w:type="dxa"/>
          </w:tcPr>
          <w:p w14:paraId="3E4353BA" w14:textId="77777777" w:rsidR="00453417" w:rsidRPr="001A7D8D" w:rsidRDefault="00453417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A7D8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AU"/>
              </w:rPr>
              <w:t>Responsible to:</w:t>
            </w:r>
          </w:p>
        </w:tc>
        <w:tc>
          <w:tcPr>
            <w:tcW w:w="7768" w:type="dxa"/>
          </w:tcPr>
          <w:p w14:paraId="37EFEF3F" w14:textId="5ADB4902" w:rsidR="00453417" w:rsidRPr="001A7D8D" w:rsidRDefault="00C84146">
            <w:pPr>
              <w:spacing w:after="60"/>
            </w:pPr>
            <w:r>
              <w:t>Professor Joseph Hope</w:t>
            </w:r>
          </w:p>
        </w:tc>
      </w:tr>
      <w:tr w:rsidR="00C84146" w:rsidRPr="001A7D8D" w14:paraId="3C158969" w14:textId="77777777" w:rsidTr="00C84146">
        <w:trPr>
          <w:cantSplit/>
        </w:trPr>
        <w:tc>
          <w:tcPr>
            <w:tcW w:w="2659" w:type="dxa"/>
          </w:tcPr>
          <w:p w14:paraId="4BB62648" w14:textId="686CB9A4" w:rsidR="00C84146" w:rsidRPr="001A7D8D" w:rsidRDefault="00C84146" w:rsidP="00C84146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Number of positions that report to this role:</w:t>
            </w:r>
          </w:p>
        </w:tc>
        <w:tc>
          <w:tcPr>
            <w:tcW w:w="7768" w:type="dxa"/>
          </w:tcPr>
          <w:p w14:paraId="25E778E4" w14:textId="6098D28D" w:rsidR="00C84146" w:rsidRPr="001A7D8D" w:rsidRDefault="00C84146" w:rsidP="00C84146">
            <w:pPr>
              <w:spacing w:after="60"/>
            </w:pPr>
            <w:r>
              <w:t>0</w:t>
            </w:r>
          </w:p>
        </w:tc>
      </w:tr>
      <w:tr w:rsidR="00C84146" w:rsidRPr="001A7D8D" w14:paraId="4C3548DD" w14:textId="77777777">
        <w:trPr>
          <w:cantSplit/>
        </w:trPr>
        <w:tc>
          <w:tcPr>
            <w:tcW w:w="2659" w:type="dxa"/>
            <w:tcBorders>
              <w:bottom w:val="single" w:sz="6" w:space="0" w:color="auto"/>
            </w:tcBorders>
          </w:tcPr>
          <w:p w14:paraId="4BD45937" w14:textId="2E1AA5DE" w:rsidR="00C84146" w:rsidRPr="001A7D8D" w:rsidRDefault="00C84146" w:rsidP="00C84146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Delegation(s) Assigned:</w:t>
            </w:r>
          </w:p>
        </w:tc>
        <w:tc>
          <w:tcPr>
            <w:tcW w:w="7768" w:type="dxa"/>
            <w:tcBorders>
              <w:bottom w:val="single" w:sz="6" w:space="0" w:color="auto"/>
            </w:tcBorders>
          </w:tcPr>
          <w:p w14:paraId="2C6F7DAE" w14:textId="08D9C72D" w:rsidR="00C84146" w:rsidRPr="001A7D8D" w:rsidRDefault="00C84146" w:rsidP="00C84146">
            <w:pPr>
              <w:spacing w:after="60"/>
            </w:pPr>
            <w:r>
              <w:t>NA</w:t>
            </w:r>
          </w:p>
        </w:tc>
      </w:tr>
    </w:tbl>
    <w:p w14:paraId="1FA62AAB" w14:textId="77777777" w:rsidR="00453417" w:rsidRPr="001A7D8D" w:rsidRDefault="00453417">
      <w:pPr>
        <w:rPr>
          <w:rFonts w:ascii="Arial Narrow" w:hAnsi="Arial Narrow" w:cs="Arial Narrow"/>
          <w:sz w:val="24"/>
          <w:szCs w:val="24"/>
        </w:rPr>
      </w:pP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7"/>
      </w:tblGrid>
      <w:tr w:rsidR="00453417" w:rsidRPr="001A7D8D" w14:paraId="40AB7378" w14:textId="77777777">
        <w:tc>
          <w:tcPr>
            <w:tcW w:w="10427" w:type="dxa"/>
            <w:tcBorders>
              <w:top w:val="single" w:sz="4" w:space="0" w:color="auto"/>
              <w:bottom w:val="single" w:sz="4" w:space="0" w:color="auto"/>
            </w:tcBorders>
          </w:tcPr>
          <w:p w14:paraId="087B567C" w14:textId="77777777" w:rsidR="00453417" w:rsidRPr="001A7D8D" w:rsidRDefault="00453417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1A7D8D">
              <w:rPr>
                <w:rFonts w:ascii="Tahoma" w:hAnsi="Tahoma" w:cs="Tahoma"/>
                <w:b/>
                <w:bCs/>
                <w:sz w:val="24"/>
                <w:szCs w:val="24"/>
              </w:rPr>
              <w:t>PURPOSE</w:t>
            </w:r>
            <w:r w:rsidRPr="001A7D8D">
              <w:rPr>
                <w:rFonts w:ascii="Tahoma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1A7D8D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STATEMENT:</w:t>
            </w:r>
          </w:p>
          <w:p w14:paraId="345A18E2" w14:textId="2FBE26BF" w:rsidR="00C84146" w:rsidRPr="001A7D8D" w:rsidRDefault="00C84146" w:rsidP="00C84146">
            <w:pPr>
              <w:pStyle w:val="formtext"/>
              <w:rPr>
                <w:iCs/>
                <w:color w:val="000000" w:themeColor="text1"/>
                <w:sz w:val="20"/>
                <w:szCs w:val="20"/>
                <w:lang w:val="en-AU"/>
              </w:rPr>
            </w:pPr>
            <w:bookmarkStart w:id="1" w:name="OLE_LINK1"/>
            <w:r w:rsidRPr="001A7D8D">
              <w:rPr>
                <w:iCs/>
                <w:color w:val="000000" w:themeColor="text1"/>
                <w:sz w:val="20"/>
                <w:szCs w:val="20"/>
                <w:lang w:val="en-AU"/>
              </w:rPr>
              <w:t xml:space="preserve">The Research School of Physics and Engineering (RSPE) constitutes Australia's largest university-based research activity incorporating major national facilities and an innovative undergraduate teaching program. The School is home to a vibrant and highly collegial community of Higher Degree Research (HDR) students, professional and academic staff, all of whom form the School's greatest asset. The School has a large HDR program, equally constituted between Australian students and a diverse international cohort representing over 30 countries. The School is growing the HDR-coursework offerings further, in particular for industry relevant fields that span several discipline areas at ANU. The </w:t>
            </w:r>
            <w:r>
              <w:rPr>
                <w:iCs/>
                <w:color w:val="000000" w:themeColor="text1"/>
                <w:sz w:val="20"/>
                <w:szCs w:val="20"/>
                <w:lang w:val="en-AU"/>
              </w:rPr>
              <w:t xml:space="preserve">Coordinator of the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  <w:lang w:val="en-AU"/>
              </w:rPr>
              <w:t>Masters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  <w:lang w:val="en-AU"/>
              </w:rPr>
              <w:t xml:space="preserve"> Program in Physics will be responsible for</w:t>
            </w:r>
            <w:r w:rsidRPr="001A7D8D">
              <w:rPr>
                <w:iCs/>
                <w:color w:val="000000" w:themeColor="text1"/>
                <w:sz w:val="20"/>
                <w:szCs w:val="20"/>
                <w:lang w:val="en-AU"/>
              </w:rPr>
              <w:t xml:space="preserve"> lead</w:t>
            </w:r>
            <w:r>
              <w:rPr>
                <w:iCs/>
                <w:color w:val="000000" w:themeColor="text1"/>
                <w:sz w:val="20"/>
                <w:szCs w:val="20"/>
                <w:lang w:val="en-AU"/>
              </w:rPr>
              <w:t>ing</w:t>
            </w:r>
            <w:r w:rsidRPr="001A7D8D">
              <w:rPr>
                <w:iCs/>
                <w:color w:val="000000" w:themeColor="text1"/>
                <w:sz w:val="20"/>
                <w:szCs w:val="20"/>
                <w:lang w:val="en-AU"/>
              </w:rPr>
              <w:t xml:space="preserve"> the suite of Masters programs in the School. The role </w:t>
            </w:r>
            <w:proofErr w:type="gramStart"/>
            <w:r w:rsidRPr="001A7D8D">
              <w:rPr>
                <w:iCs/>
                <w:color w:val="000000" w:themeColor="text1"/>
                <w:sz w:val="20"/>
                <w:szCs w:val="20"/>
                <w:lang w:val="en-AU"/>
              </w:rPr>
              <w:t>will be equally split</w:t>
            </w:r>
            <w:proofErr w:type="gramEnd"/>
            <w:r w:rsidRPr="001A7D8D">
              <w:rPr>
                <w:iCs/>
                <w:color w:val="000000" w:themeColor="text1"/>
                <w:sz w:val="20"/>
                <w:szCs w:val="20"/>
                <w:lang w:val="en-AU"/>
              </w:rPr>
              <w:t xml:space="preserve"> between contribution to industry engagement and coordinating the entire Physics </w:t>
            </w:r>
            <w:proofErr w:type="spellStart"/>
            <w:r w:rsidRPr="001A7D8D">
              <w:rPr>
                <w:iCs/>
                <w:color w:val="000000" w:themeColor="text1"/>
                <w:sz w:val="20"/>
                <w:szCs w:val="20"/>
                <w:lang w:val="en-AU"/>
              </w:rPr>
              <w:t>Masters</w:t>
            </w:r>
            <w:proofErr w:type="spellEnd"/>
            <w:r w:rsidRPr="001A7D8D">
              <w:rPr>
                <w:iCs/>
                <w:color w:val="000000" w:themeColor="text1"/>
                <w:sz w:val="20"/>
                <w:szCs w:val="20"/>
                <w:lang w:val="en-AU"/>
              </w:rPr>
              <w:t xml:space="preserve"> program</w:t>
            </w:r>
            <w:r>
              <w:rPr>
                <w:iCs/>
                <w:color w:val="000000" w:themeColor="text1"/>
                <w:sz w:val="20"/>
                <w:szCs w:val="20"/>
                <w:lang w:val="en-AU"/>
              </w:rPr>
              <w:t xml:space="preserve">. </w:t>
            </w:r>
          </w:p>
          <w:p w14:paraId="7D2EE114" w14:textId="77777777" w:rsidR="00453417" w:rsidRPr="001A7D8D" w:rsidRDefault="00453417"/>
          <w:bookmarkEnd w:id="1"/>
          <w:p w14:paraId="6A09AFD6" w14:textId="6D5D6E99" w:rsidR="00453417" w:rsidRPr="001A7D8D" w:rsidRDefault="00453417" w:rsidP="00491E24">
            <w:pPr>
              <w:pStyle w:val="evenheader"/>
              <w:widowControl/>
              <w:pBdr>
                <w:bottom w:val="none" w:sz="0" w:space="0" w:color="auto"/>
              </w:pBdr>
              <w:tabs>
                <w:tab w:val="clear" w:pos="1134"/>
                <w:tab w:val="clear" w:pos="4819"/>
                <w:tab w:val="clear" w:pos="8647"/>
                <w:tab w:val="clear" w:pos="8789"/>
                <w:tab w:val="clear" w:pos="9071"/>
              </w:tabs>
              <w:overflowPunct w:val="0"/>
              <w:spacing w:before="0" w:after="0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1A7D8D">
              <w:rPr>
                <w:rFonts w:ascii="Tahoma" w:hAnsi="Tahoma" w:cs="Tahoma"/>
                <w:sz w:val="24"/>
                <w:szCs w:val="24"/>
              </w:rPr>
              <w:t>KEY ACCOUNTABILITY AREAS:</w:t>
            </w:r>
          </w:p>
          <w:p w14:paraId="10AB9237" w14:textId="77777777" w:rsidR="00453417" w:rsidRPr="001A7D8D" w:rsidRDefault="00453417">
            <w:pPr>
              <w:pStyle w:val="evenheader"/>
              <w:widowControl/>
              <w:pBdr>
                <w:bottom w:val="none" w:sz="0" w:space="0" w:color="auto"/>
              </w:pBdr>
              <w:tabs>
                <w:tab w:val="clear" w:pos="1134"/>
                <w:tab w:val="clear" w:pos="4819"/>
                <w:tab w:val="clear" w:pos="8647"/>
                <w:tab w:val="clear" w:pos="8789"/>
                <w:tab w:val="clear" w:pos="9071"/>
              </w:tabs>
              <w:overflowPunct w:val="0"/>
              <w:spacing w:before="0" w:after="0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1A7D8D">
              <w:rPr>
                <w:rFonts w:ascii="Tahoma" w:hAnsi="Tahoma" w:cs="Tahoma"/>
                <w:sz w:val="24"/>
                <w:szCs w:val="24"/>
              </w:rPr>
              <w:t xml:space="preserve">Position Dimension &amp; Relationships: </w:t>
            </w:r>
          </w:p>
          <w:p w14:paraId="4A0B9F1F" w14:textId="41DE711F" w:rsidR="00691197" w:rsidRDefault="00C84146">
            <w:pPr>
              <w:pStyle w:val="formtext"/>
              <w:rPr>
                <w:iCs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AU"/>
              </w:rPr>
              <w:t xml:space="preserve">The Coordinator of the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  <w:lang w:val="en-AU"/>
              </w:rPr>
              <w:t>Masters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  <w:lang w:val="en-AU"/>
              </w:rPr>
              <w:t xml:space="preserve"> Program in Physics will report directly to </w:t>
            </w:r>
            <w:r w:rsidR="003B3638">
              <w:rPr>
                <w:iCs/>
                <w:color w:val="000000" w:themeColor="text1"/>
                <w:sz w:val="20"/>
                <w:szCs w:val="20"/>
                <w:lang w:val="en-AU"/>
              </w:rPr>
              <w:t>Professor Joseph Hope</w:t>
            </w:r>
            <w:r>
              <w:rPr>
                <w:iCs/>
                <w:color w:val="000000" w:themeColor="text1"/>
                <w:sz w:val="20"/>
                <w:szCs w:val="20"/>
                <w:lang w:val="en-AU"/>
              </w:rPr>
              <w:t>. The position will work closely with other academic members of the School and will be responsible for supervising honours and postgraduate students.</w:t>
            </w:r>
          </w:p>
          <w:p w14:paraId="500E75CE" w14:textId="77777777" w:rsidR="00C84146" w:rsidRPr="001A7D8D" w:rsidRDefault="00C84146">
            <w:pPr>
              <w:pStyle w:val="formtext"/>
              <w:rPr>
                <w:iCs/>
                <w:color w:val="000000" w:themeColor="text1"/>
                <w:sz w:val="20"/>
                <w:szCs w:val="20"/>
                <w:lang w:val="en-AU"/>
              </w:rPr>
            </w:pPr>
          </w:p>
          <w:p w14:paraId="555431A2" w14:textId="049B0496" w:rsidR="00453417" w:rsidRPr="001A7D8D" w:rsidRDefault="00453417">
            <w:pPr>
              <w:pStyle w:val="formtext"/>
              <w:rPr>
                <w:sz w:val="20"/>
                <w:szCs w:val="20"/>
                <w:lang w:val="en-AU"/>
              </w:rPr>
            </w:pPr>
            <w:r w:rsidRPr="001A7D8D">
              <w:rPr>
                <w:rFonts w:ascii="Tahoma" w:hAnsi="Tahoma" w:cs="Tahoma"/>
                <w:b/>
                <w:bCs/>
                <w:sz w:val="24"/>
                <w:szCs w:val="24"/>
                <w:lang w:val="en-AU"/>
              </w:rPr>
              <w:t>Role Statement:</w:t>
            </w:r>
          </w:p>
          <w:p w14:paraId="34040A6F" w14:textId="618E7E5E" w:rsidR="00453417" w:rsidRPr="001A7D8D" w:rsidRDefault="000803DC">
            <w:pPr>
              <w:pStyle w:val="formtext"/>
              <w:numPr>
                <w:ilvl w:val="0"/>
                <w:numId w:val="29"/>
              </w:numPr>
              <w:rPr>
                <w:strike/>
                <w:sz w:val="20"/>
                <w:szCs w:val="20"/>
                <w:lang w:val="en-AU"/>
              </w:rPr>
            </w:pPr>
            <w:r w:rsidRPr="001A7D8D">
              <w:rPr>
                <w:sz w:val="20"/>
                <w:szCs w:val="20"/>
                <w:lang w:val="en-AU"/>
              </w:rPr>
              <w:t xml:space="preserve">Convening a </w:t>
            </w:r>
            <w:proofErr w:type="spellStart"/>
            <w:r w:rsidRPr="001A7D8D">
              <w:rPr>
                <w:sz w:val="20"/>
                <w:szCs w:val="20"/>
                <w:lang w:val="en-AU"/>
              </w:rPr>
              <w:t>Masters</w:t>
            </w:r>
            <w:proofErr w:type="spellEnd"/>
            <w:r w:rsidRPr="001A7D8D">
              <w:rPr>
                <w:sz w:val="20"/>
                <w:szCs w:val="20"/>
                <w:lang w:val="en-AU"/>
              </w:rPr>
              <w:t xml:space="preserve"> program, including </w:t>
            </w:r>
            <w:r w:rsidR="00453417" w:rsidRPr="001A7D8D">
              <w:rPr>
                <w:sz w:val="20"/>
                <w:szCs w:val="20"/>
                <w:lang w:val="en-AU"/>
              </w:rPr>
              <w:t xml:space="preserve">the preparation and delivery of tutorials, lectures, </w:t>
            </w:r>
            <w:r w:rsidRPr="001A7D8D">
              <w:rPr>
                <w:sz w:val="20"/>
                <w:szCs w:val="20"/>
                <w:lang w:val="en-AU"/>
              </w:rPr>
              <w:t>laboratory</w:t>
            </w:r>
            <w:r w:rsidR="00453417" w:rsidRPr="001A7D8D">
              <w:rPr>
                <w:sz w:val="20"/>
                <w:szCs w:val="20"/>
                <w:lang w:val="en-AU"/>
              </w:rPr>
              <w:t xml:space="preserve"> classes, </w:t>
            </w:r>
            <w:r w:rsidRPr="001A7D8D">
              <w:rPr>
                <w:sz w:val="20"/>
                <w:szCs w:val="20"/>
                <w:lang w:val="en-AU"/>
              </w:rPr>
              <w:t>and workshops</w:t>
            </w:r>
            <w:r w:rsidR="00453417" w:rsidRPr="001A7D8D">
              <w:rPr>
                <w:sz w:val="20"/>
                <w:szCs w:val="20"/>
                <w:lang w:val="en-AU"/>
              </w:rPr>
              <w:t>;</w:t>
            </w:r>
          </w:p>
          <w:p w14:paraId="4A297A83" w14:textId="7C14D5F7" w:rsidR="000D4E70" w:rsidRPr="001A7D8D" w:rsidRDefault="00320BCA" w:rsidP="000D4E70">
            <w:pPr>
              <w:pStyle w:val="formtext"/>
              <w:numPr>
                <w:ilvl w:val="0"/>
                <w:numId w:val="29"/>
              </w:numPr>
              <w:rPr>
                <w:sz w:val="20"/>
                <w:szCs w:val="20"/>
                <w:lang w:val="en-AU"/>
              </w:rPr>
            </w:pPr>
            <w:r w:rsidRPr="001A7D8D">
              <w:rPr>
                <w:sz w:val="20"/>
                <w:szCs w:val="20"/>
                <w:lang w:val="en-AU"/>
              </w:rPr>
              <w:t>S</w:t>
            </w:r>
            <w:r w:rsidR="00453417" w:rsidRPr="001A7D8D">
              <w:rPr>
                <w:sz w:val="20"/>
                <w:szCs w:val="20"/>
                <w:lang w:val="en-AU"/>
              </w:rPr>
              <w:t>upervision of major honours or postgraduate research projects including the supervision of the program of study of honours students and of postgraduate students engaged in course work;</w:t>
            </w:r>
            <w:r w:rsidR="000D4E70" w:rsidRPr="001A7D8D">
              <w:rPr>
                <w:sz w:val="20"/>
                <w:szCs w:val="20"/>
                <w:lang w:val="en-AU"/>
              </w:rPr>
              <w:t xml:space="preserve"> </w:t>
            </w:r>
          </w:p>
          <w:p w14:paraId="6646A58E" w14:textId="18E6E716" w:rsidR="000D4E70" w:rsidRPr="001A7D8D" w:rsidRDefault="000D4E70" w:rsidP="000D4E70">
            <w:pPr>
              <w:pStyle w:val="formtext"/>
              <w:numPr>
                <w:ilvl w:val="0"/>
                <w:numId w:val="29"/>
              </w:numPr>
              <w:rPr>
                <w:sz w:val="20"/>
                <w:szCs w:val="20"/>
                <w:lang w:val="en-AU"/>
              </w:rPr>
            </w:pPr>
            <w:r w:rsidRPr="001A7D8D">
              <w:rPr>
                <w:sz w:val="20"/>
                <w:szCs w:val="20"/>
                <w:lang w:val="en-AU"/>
              </w:rPr>
              <w:t>Overall coordination of all Masters programs in Physics, ensuring all programs comply with accreditation and a</w:t>
            </w:r>
            <w:r w:rsidR="00AE7E84" w:rsidRPr="001A7D8D">
              <w:rPr>
                <w:sz w:val="20"/>
                <w:szCs w:val="20"/>
                <w:lang w:val="en-AU"/>
              </w:rPr>
              <w:t>re appropriately convened;</w:t>
            </w:r>
            <w:r w:rsidRPr="001A7D8D">
              <w:rPr>
                <w:sz w:val="20"/>
                <w:szCs w:val="20"/>
                <w:lang w:val="en-AU"/>
              </w:rPr>
              <w:t xml:space="preserve"> c</w:t>
            </w:r>
            <w:r w:rsidR="00AE7E84" w:rsidRPr="001A7D8D">
              <w:rPr>
                <w:sz w:val="20"/>
                <w:szCs w:val="20"/>
                <w:lang w:val="en-AU"/>
              </w:rPr>
              <w:t>onsultation with students;</w:t>
            </w:r>
            <w:r w:rsidRPr="001A7D8D">
              <w:rPr>
                <w:sz w:val="20"/>
                <w:szCs w:val="20"/>
                <w:lang w:val="en-AU"/>
              </w:rPr>
              <w:t xml:space="preserve"> marking and assessment and broad administrative functions;</w:t>
            </w:r>
          </w:p>
          <w:p w14:paraId="269294DC" w14:textId="60BDEAF0" w:rsidR="000D4E70" w:rsidRPr="001A7D8D" w:rsidRDefault="000D4E70" w:rsidP="000D4E70">
            <w:pPr>
              <w:pStyle w:val="formtext"/>
              <w:numPr>
                <w:ilvl w:val="0"/>
                <w:numId w:val="29"/>
              </w:numPr>
              <w:rPr>
                <w:sz w:val="20"/>
                <w:szCs w:val="20"/>
                <w:lang w:val="en-AU"/>
              </w:rPr>
            </w:pPr>
            <w:r w:rsidRPr="001A7D8D">
              <w:rPr>
                <w:sz w:val="20"/>
                <w:szCs w:val="20"/>
                <w:lang w:val="en-AU"/>
              </w:rPr>
              <w:t>Commitment to overseas travel for recruitment, including the delivery of course material;</w:t>
            </w:r>
          </w:p>
          <w:p w14:paraId="1893472A" w14:textId="043E512A" w:rsidR="00453417" w:rsidRPr="001A7D8D" w:rsidRDefault="000D4E70">
            <w:pPr>
              <w:pStyle w:val="formtext"/>
              <w:numPr>
                <w:ilvl w:val="0"/>
                <w:numId w:val="29"/>
              </w:numPr>
              <w:rPr>
                <w:sz w:val="20"/>
                <w:szCs w:val="20"/>
                <w:lang w:val="en-AU"/>
              </w:rPr>
            </w:pPr>
            <w:r w:rsidRPr="001A7D8D">
              <w:rPr>
                <w:sz w:val="20"/>
                <w:szCs w:val="20"/>
                <w:lang w:val="en-AU"/>
              </w:rPr>
              <w:t>C</w:t>
            </w:r>
            <w:r w:rsidR="00453417" w:rsidRPr="001A7D8D">
              <w:rPr>
                <w:sz w:val="20"/>
                <w:szCs w:val="20"/>
                <w:lang w:val="en-AU"/>
              </w:rPr>
              <w:t xml:space="preserve">onduct </w:t>
            </w:r>
            <w:r w:rsidR="00FA2C1C" w:rsidRPr="001A7D8D">
              <w:rPr>
                <w:sz w:val="20"/>
                <w:szCs w:val="20"/>
                <w:lang w:val="en-AU"/>
              </w:rPr>
              <w:t>applied physics research with a focus on engagement with industry and government agencies</w:t>
            </w:r>
            <w:r w:rsidR="00453417" w:rsidRPr="001A7D8D">
              <w:rPr>
                <w:sz w:val="20"/>
                <w:szCs w:val="20"/>
                <w:lang w:val="en-AU"/>
              </w:rPr>
              <w:t>;</w:t>
            </w:r>
          </w:p>
          <w:p w14:paraId="651DDFFC" w14:textId="0610F8E8" w:rsidR="00453417" w:rsidRPr="001A7D8D" w:rsidRDefault="000D4E70">
            <w:pPr>
              <w:pStyle w:val="formtext"/>
              <w:numPr>
                <w:ilvl w:val="0"/>
                <w:numId w:val="29"/>
              </w:numPr>
              <w:rPr>
                <w:sz w:val="20"/>
                <w:szCs w:val="20"/>
                <w:lang w:val="en-AU"/>
              </w:rPr>
            </w:pPr>
            <w:r w:rsidRPr="001A7D8D">
              <w:rPr>
                <w:sz w:val="20"/>
                <w:szCs w:val="20"/>
                <w:lang w:val="en-AU"/>
              </w:rPr>
              <w:t>S</w:t>
            </w:r>
            <w:r w:rsidR="00453417" w:rsidRPr="001A7D8D">
              <w:rPr>
                <w:sz w:val="20"/>
                <w:szCs w:val="20"/>
                <w:lang w:val="en-AU"/>
              </w:rPr>
              <w:t xml:space="preserve">ignificant involvement in professional </w:t>
            </w:r>
            <w:r w:rsidR="00FA2C1C" w:rsidRPr="001A7D8D">
              <w:rPr>
                <w:sz w:val="20"/>
                <w:szCs w:val="20"/>
                <w:lang w:val="en-AU"/>
              </w:rPr>
              <w:t xml:space="preserve">education-focussed </w:t>
            </w:r>
            <w:r w:rsidR="00453417" w:rsidRPr="001A7D8D">
              <w:rPr>
                <w:sz w:val="20"/>
                <w:szCs w:val="20"/>
                <w:lang w:val="en-AU"/>
              </w:rPr>
              <w:t>activities at a national level;</w:t>
            </w:r>
          </w:p>
          <w:p w14:paraId="53126214" w14:textId="77777777" w:rsidR="00831812" w:rsidRPr="00831812" w:rsidRDefault="00831812" w:rsidP="00831812">
            <w:pPr>
              <w:numPr>
                <w:ilvl w:val="0"/>
                <w:numId w:val="29"/>
              </w:numPr>
            </w:pPr>
            <w:r w:rsidRPr="00831812">
              <w:t>Lead, supervise and develop less senior academic staff and research support staff in your research area</w:t>
            </w:r>
          </w:p>
          <w:p w14:paraId="03497AFA" w14:textId="77777777" w:rsidR="00831812" w:rsidRPr="00831812" w:rsidRDefault="00831812" w:rsidP="00831812">
            <w:pPr>
              <w:numPr>
                <w:ilvl w:val="0"/>
                <w:numId w:val="29"/>
              </w:numPr>
            </w:pPr>
            <w:r w:rsidRPr="00831812">
              <w:t>Proactively contribute to all aspects of the operation of the School and College. This may include representation through committee memberships</w:t>
            </w:r>
          </w:p>
          <w:p w14:paraId="34FF76E7" w14:textId="77777777" w:rsidR="00831812" w:rsidRPr="00831812" w:rsidRDefault="00831812" w:rsidP="00831812">
            <w:pPr>
              <w:numPr>
                <w:ilvl w:val="0"/>
                <w:numId w:val="29"/>
              </w:numPr>
            </w:pPr>
            <w:r w:rsidRPr="00831812">
              <w:t>Lead outreach activities including to prospective students, research institutes, industry, government, the media and the general public</w:t>
            </w:r>
          </w:p>
          <w:p w14:paraId="47814A98" w14:textId="77777777" w:rsidR="00831812" w:rsidRPr="00831812" w:rsidRDefault="00831812" w:rsidP="00831812">
            <w:pPr>
              <w:numPr>
                <w:ilvl w:val="0"/>
                <w:numId w:val="29"/>
              </w:numPr>
            </w:pPr>
            <w:r w:rsidRPr="00831812">
              <w:t>Maintain and actively promote high academic standards in all education, research and administrative endeavours</w:t>
            </w:r>
          </w:p>
          <w:p w14:paraId="46178F6C" w14:textId="77777777" w:rsidR="00831812" w:rsidRPr="00831812" w:rsidRDefault="00831812" w:rsidP="00831812">
            <w:pPr>
              <w:numPr>
                <w:ilvl w:val="0"/>
                <w:numId w:val="29"/>
              </w:numPr>
            </w:pPr>
            <w:r w:rsidRPr="00831812">
              <w:t>Comply with all ANU policies and procedures, and in particular those relating to work health and safety and equal opportunity</w:t>
            </w:r>
          </w:p>
          <w:p w14:paraId="4402F630" w14:textId="485B81A8" w:rsidR="00453417" w:rsidRPr="001A7D8D" w:rsidRDefault="00831812" w:rsidP="00831812">
            <w:pPr>
              <w:numPr>
                <w:ilvl w:val="0"/>
                <w:numId w:val="29"/>
              </w:numPr>
            </w:pPr>
            <w:r w:rsidRPr="00831812">
              <w:lastRenderedPageBreak/>
              <w:t>Undertake other duties as required, consistent with the classification of the position.</w:t>
            </w:r>
          </w:p>
        </w:tc>
      </w:tr>
    </w:tbl>
    <w:p w14:paraId="0C7988E1" w14:textId="77777777" w:rsidR="00453417" w:rsidRPr="001A7D8D" w:rsidRDefault="00453417">
      <w:pPr>
        <w:ind w:right="36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77"/>
        <w:gridCol w:w="3711"/>
        <w:gridCol w:w="960"/>
        <w:gridCol w:w="2280"/>
      </w:tblGrid>
      <w:tr w:rsidR="00453417" w:rsidRPr="001A7D8D" w14:paraId="27BD26E6" w14:textId="77777777">
        <w:tc>
          <w:tcPr>
            <w:tcW w:w="10428" w:type="dxa"/>
            <w:gridSpan w:val="4"/>
            <w:tcBorders>
              <w:top w:val="single" w:sz="4" w:space="0" w:color="auto"/>
              <w:bottom w:val="nil"/>
            </w:tcBorders>
          </w:tcPr>
          <w:p w14:paraId="2D84E1C0" w14:textId="19599B3B" w:rsidR="00453417" w:rsidRPr="001A7D8D" w:rsidRDefault="00453417"/>
          <w:p w14:paraId="5DD55D90" w14:textId="77777777" w:rsidR="00453417" w:rsidRPr="001A7D8D" w:rsidRDefault="0045341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7D8D">
              <w:rPr>
                <w:rFonts w:ascii="Tahoma" w:hAnsi="Tahoma" w:cs="Tahoma"/>
                <w:b/>
                <w:bCs/>
                <w:sz w:val="24"/>
                <w:szCs w:val="24"/>
              </w:rPr>
              <w:t>SELECTION CRITERIA:</w:t>
            </w:r>
          </w:p>
          <w:p w14:paraId="2E5206AA" w14:textId="77777777" w:rsidR="00453417" w:rsidRPr="001A7D8D" w:rsidRDefault="00453417" w:rsidP="00453417"/>
          <w:p w14:paraId="1BD67CA7" w14:textId="417EE6C5" w:rsidR="00453417" w:rsidRPr="001A7D8D" w:rsidRDefault="00491E24" w:rsidP="00453417">
            <w:pPr>
              <w:numPr>
                <w:ilvl w:val="0"/>
                <w:numId w:val="30"/>
              </w:numPr>
            </w:pPr>
            <w:r w:rsidRPr="001A7D8D">
              <w:t>A PhD from a leading institution.</w:t>
            </w:r>
          </w:p>
          <w:p w14:paraId="0E78E4CB" w14:textId="77C7FF9B" w:rsidR="00453417" w:rsidRPr="001A7D8D" w:rsidRDefault="004644B5" w:rsidP="00453417">
            <w:pPr>
              <w:numPr>
                <w:ilvl w:val="0"/>
                <w:numId w:val="30"/>
              </w:numPr>
            </w:pPr>
            <w:r w:rsidRPr="001A7D8D">
              <w:t>Competitive</w:t>
            </w:r>
            <w:r w:rsidR="00491E24" w:rsidRPr="001A7D8D">
              <w:t xml:space="preserve"> academic research track record in physics</w:t>
            </w:r>
            <w:r w:rsidR="00CC30CB" w:rsidRPr="001A7D8D">
              <w:t>, including supervision of research students.</w:t>
            </w:r>
          </w:p>
          <w:p w14:paraId="4EEDF638" w14:textId="77777777" w:rsidR="00453417" w:rsidRPr="001A7D8D" w:rsidRDefault="00491E24" w:rsidP="00453417">
            <w:pPr>
              <w:numPr>
                <w:ilvl w:val="0"/>
                <w:numId w:val="30"/>
              </w:numPr>
            </w:pPr>
            <w:r w:rsidRPr="001A7D8D">
              <w:t>Demonstrated track record in industry engagement and applied physics.</w:t>
            </w:r>
          </w:p>
          <w:p w14:paraId="750BDE6F" w14:textId="0B97C73E" w:rsidR="00491E24" w:rsidRPr="001A7D8D" w:rsidRDefault="00491E24" w:rsidP="00453417">
            <w:pPr>
              <w:numPr>
                <w:ilvl w:val="0"/>
                <w:numId w:val="30"/>
              </w:numPr>
            </w:pPr>
            <w:r w:rsidRPr="001A7D8D">
              <w:t xml:space="preserve">Experience in developing, accrediting and convening an advanced </w:t>
            </w:r>
            <w:proofErr w:type="spellStart"/>
            <w:r w:rsidRPr="001A7D8D">
              <w:t>Masters</w:t>
            </w:r>
            <w:proofErr w:type="spellEnd"/>
            <w:r w:rsidRPr="001A7D8D">
              <w:t xml:space="preserve"> program, including </w:t>
            </w:r>
            <w:r w:rsidR="00CC30CB" w:rsidRPr="001A7D8D">
              <w:t xml:space="preserve">development of </w:t>
            </w:r>
            <w:r w:rsidRPr="001A7D8D">
              <w:t>research projects.</w:t>
            </w:r>
          </w:p>
          <w:p w14:paraId="0D2C896F" w14:textId="57B2A811" w:rsidR="00ED4B8F" w:rsidRPr="001A7D8D" w:rsidRDefault="000D4E70" w:rsidP="00ED4B8F">
            <w:pPr>
              <w:numPr>
                <w:ilvl w:val="0"/>
                <w:numId w:val="30"/>
              </w:numPr>
            </w:pPr>
            <w:r w:rsidRPr="001A7D8D">
              <w:t>Experience in managing international student engagement, including negotiating inter-institutional agreements.</w:t>
            </w:r>
          </w:p>
          <w:p w14:paraId="4EA5E082" w14:textId="77777777" w:rsidR="00CC30CB" w:rsidRPr="001A7D8D" w:rsidRDefault="00CC30CB" w:rsidP="00ED4B8F">
            <w:pPr>
              <w:numPr>
                <w:ilvl w:val="0"/>
                <w:numId w:val="30"/>
              </w:numPr>
            </w:pPr>
            <w:r w:rsidRPr="001A7D8D">
              <w:t>Demonstrated ability to work cooperatively with colleagues in curriculum design.</w:t>
            </w:r>
          </w:p>
          <w:p w14:paraId="4CA2B72A" w14:textId="1DA4D92A" w:rsidR="00CC30CB" w:rsidRPr="001A7D8D" w:rsidRDefault="00CC30CB" w:rsidP="00ED4B8F">
            <w:pPr>
              <w:numPr>
                <w:ilvl w:val="0"/>
                <w:numId w:val="30"/>
              </w:numPr>
            </w:pPr>
            <w:r w:rsidRPr="001A7D8D">
              <w:t>Demonstrated ability to mentor students from diverse backgrounds.</w:t>
            </w:r>
          </w:p>
          <w:p w14:paraId="7BE684A4" w14:textId="7317344F" w:rsidR="00ED4B8F" w:rsidRPr="001A7D8D" w:rsidRDefault="00ED4B8F" w:rsidP="00ED4B8F">
            <w:pPr>
              <w:numPr>
                <w:ilvl w:val="0"/>
                <w:numId w:val="30"/>
              </w:numPr>
            </w:pPr>
            <w:r w:rsidRPr="001A7D8D">
              <w:t>A demonstrated understanding of equal opportunity principles and policies and a commitment to their application in a university context.</w:t>
            </w:r>
          </w:p>
          <w:p w14:paraId="47FC711B" w14:textId="77777777" w:rsidR="00453417" w:rsidRPr="001A7D8D" w:rsidRDefault="00453417">
            <w:pPr>
              <w:rPr>
                <w:sz w:val="22"/>
                <w:szCs w:val="22"/>
              </w:rPr>
            </w:pPr>
          </w:p>
          <w:p w14:paraId="3A8BFEDD" w14:textId="77777777" w:rsidR="00453417" w:rsidRPr="001A7D8D" w:rsidRDefault="00453417">
            <w:pPr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</w:p>
        </w:tc>
      </w:tr>
      <w:tr w:rsidR="00453417" w:rsidRPr="001A7D8D" w14:paraId="4F18F3A2" w14:textId="77777777">
        <w:tblPrEx>
          <w:tblBorders>
            <w:insideH w:val="single" w:sz="2" w:space="0" w:color="C0C0C0"/>
            <w:insideV w:val="single" w:sz="2" w:space="0" w:color="C0C0C0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3477" w:type="dxa"/>
            <w:tcBorders>
              <w:top w:val="single" w:sz="4" w:space="0" w:color="auto"/>
            </w:tcBorders>
          </w:tcPr>
          <w:p w14:paraId="1E8A0B64" w14:textId="77777777" w:rsidR="00453417" w:rsidRPr="001A7D8D" w:rsidRDefault="007366D8">
            <w:pPr>
              <w:spacing w:before="80" w:after="80"/>
              <w:rPr>
                <w:rFonts w:ascii="Tahoma" w:hAnsi="Tahoma" w:cs="Tahoma"/>
                <w:b/>
                <w:bCs/>
              </w:rPr>
            </w:pPr>
            <w:r w:rsidRPr="001A7D8D">
              <w:rPr>
                <w:rFonts w:ascii="Tahoma" w:hAnsi="Tahoma" w:cs="Tahoma"/>
                <w:b/>
                <w:bCs/>
                <w:sz w:val="18"/>
                <w:szCs w:val="18"/>
              </w:rPr>
              <w:t>Supervisor Signature: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30E3B9E5" w14:textId="77777777" w:rsidR="00453417" w:rsidRPr="001A7D8D" w:rsidRDefault="00453417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2B5F535E" w14:textId="77777777" w:rsidR="00453417" w:rsidRPr="001A7D8D" w:rsidRDefault="00453417">
            <w:pPr>
              <w:spacing w:before="80" w:after="80"/>
              <w:rPr>
                <w:rFonts w:ascii="Tahoma" w:hAnsi="Tahoma" w:cs="Tahoma"/>
                <w:b/>
                <w:bCs/>
              </w:rPr>
            </w:pPr>
            <w:r w:rsidRPr="001A7D8D">
              <w:rPr>
                <w:rFonts w:ascii="Tahoma" w:hAnsi="Tahoma" w:cs="Tahoma"/>
                <w:b/>
                <w:bCs/>
              </w:rPr>
              <w:t>Date: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030E1A70" w14:textId="77777777" w:rsidR="00453417" w:rsidRPr="001A7D8D" w:rsidRDefault="00453417">
            <w:pPr>
              <w:spacing w:before="80" w:after="80"/>
              <w:rPr>
                <w:rFonts w:ascii="Tahoma" w:hAnsi="Tahoma" w:cs="Tahoma"/>
              </w:rPr>
            </w:pPr>
          </w:p>
        </w:tc>
      </w:tr>
      <w:tr w:rsidR="00453417" w:rsidRPr="001A7D8D" w14:paraId="0A908C4F" w14:textId="77777777">
        <w:tblPrEx>
          <w:tblBorders>
            <w:insideH w:val="single" w:sz="2" w:space="0" w:color="C0C0C0"/>
            <w:insideV w:val="single" w:sz="2" w:space="0" w:color="C0C0C0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3477" w:type="dxa"/>
            <w:tcBorders>
              <w:bottom w:val="single" w:sz="4" w:space="0" w:color="auto"/>
            </w:tcBorders>
          </w:tcPr>
          <w:p w14:paraId="0B47697F" w14:textId="77777777" w:rsidR="00453417" w:rsidRPr="001A7D8D" w:rsidRDefault="00453417">
            <w:pPr>
              <w:spacing w:before="80" w:after="80"/>
              <w:rPr>
                <w:rFonts w:ascii="Tahoma" w:hAnsi="Tahoma" w:cs="Tahoma"/>
                <w:b/>
                <w:bCs/>
              </w:rPr>
            </w:pPr>
            <w:r w:rsidRPr="001A7D8D">
              <w:rPr>
                <w:rFonts w:ascii="Tahoma" w:hAnsi="Tahoma" w:cs="Tahoma"/>
              </w:rPr>
              <w:t>Printed Name: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4DA6D6DF" w14:textId="77777777" w:rsidR="00453417" w:rsidRPr="001A7D8D" w:rsidRDefault="00453417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148E0986" w14:textId="77777777" w:rsidR="00453417" w:rsidRPr="001A7D8D" w:rsidRDefault="00453417">
            <w:pPr>
              <w:spacing w:before="80" w:after="80"/>
              <w:rPr>
                <w:rFonts w:ascii="Tahoma" w:hAnsi="Tahoma" w:cs="Tahoma"/>
              </w:rPr>
            </w:pPr>
            <w:r w:rsidRPr="001A7D8D">
              <w:rPr>
                <w:rFonts w:ascii="Tahoma" w:hAnsi="Tahoma" w:cs="Tahoma"/>
                <w:b/>
                <w:bCs/>
              </w:rPr>
              <w:t>Uni ID: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28100B5C" w14:textId="77777777" w:rsidR="00453417" w:rsidRPr="001A7D8D" w:rsidRDefault="00453417">
            <w:pPr>
              <w:spacing w:before="80" w:after="80"/>
              <w:rPr>
                <w:rFonts w:ascii="Tahoma" w:hAnsi="Tahoma" w:cs="Tahoma"/>
              </w:rPr>
            </w:pPr>
          </w:p>
        </w:tc>
      </w:tr>
    </w:tbl>
    <w:p w14:paraId="66637BE7" w14:textId="77777777" w:rsidR="00453417" w:rsidRPr="001A7D8D" w:rsidRDefault="00453417">
      <w:pPr>
        <w:pStyle w:val="norm10plus"/>
        <w:rPr>
          <w:rFonts w:ascii="Arial Narrow" w:hAnsi="Arial Narrow" w:cs="Arial Narrow"/>
        </w:rPr>
      </w:pPr>
    </w:p>
    <w:p w14:paraId="11953885" w14:textId="77777777" w:rsidR="00453417" w:rsidRPr="001A7D8D" w:rsidRDefault="0045341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2"/>
      </w:tblGrid>
      <w:tr w:rsidR="00453417" w:rsidRPr="001A7D8D" w14:paraId="0D7B3D49" w14:textId="77777777">
        <w:tc>
          <w:tcPr>
            <w:tcW w:w="10492" w:type="dxa"/>
            <w:tcBorders>
              <w:top w:val="single" w:sz="6" w:space="0" w:color="auto"/>
            </w:tcBorders>
          </w:tcPr>
          <w:p w14:paraId="24A5F380" w14:textId="77777777" w:rsidR="00453417" w:rsidRPr="001A7D8D" w:rsidRDefault="0045341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A7D8D">
              <w:rPr>
                <w:rFonts w:ascii="Tahoma" w:hAnsi="Tahoma" w:cs="Tahoma"/>
                <w:b/>
                <w:bCs/>
                <w:sz w:val="24"/>
                <w:szCs w:val="24"/>
              </w:rPr>
              <w:t>References:</w:t>
            </w:r>
          </w:p>
        </w:tc>
      </w:tr>
      <w:tr w:rsidR="00453417" w:rsidRPr="001A7D8D" w14:paraId="09D86389" w14:textId="77777777">
        <w:tc>
          <w:tcPr>
            <w:tcW w:w="10492" w:type="dxa"/>
            <w:tcBorders>
              <w:bottom w:val="single" w:sz="6" w:space="0" w:color="auto"/>
            </w:tcBorders>
          </w:tcPr>
          <w:p w14:paraId="4BEACD72" w14:textId="77777777" w:rsidR="00453417" w:rsidRPr="001A7D8D" w:rsidRDefault="007B790F">
            <w:hyperlink r:id="rId8" w:history="1">
              <w:r w:rsidR="00453417" w:rsidRPr="001A7D8D">
                <w:rPr>
                  <w:rStyle w:val="Hyperlink"/>
                  <w:rFonts w:cs="Arial"/>
                </w:rPr>
                <w:t>Academic Minimum Standards</w:t>
              </w:r>
            </w:hyperlink>
          </w:p>
        </w:tc>
      </w:tr>
    </w:tbl>
    <w:p w14:paraId="4D6F3F6F" w14:textId="77777777" w:rsidR="00453417" w:rsidRPr="001A7D8D" w:rsidRDefault="00453417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</w:rPr>
      </w:pPr>
    </w:p>
    <w:sectPr w:rsidR="00453417" w:rsidRPr="001A7D8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" w:right="397" w:bottom="360" w:left="794" w:header="280" w:footer="280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C8A3" w14:textId="77777777" w:rsidR="0024249E" w:rsidRDefault="0024249E">
      <w:r>
        <w:separator/>
      </w:r>
    </w:p>
  </w:endnote>
  <w:endnote w:type="continuationSeparator" w:id="0">
    <w:p w14:paraId="0EFFDDC7" w14:textId="77777777" w:rsidR="0024249E" w:rsidRDefault="0024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48D18" w14:textId="77777777" w:rsidR="00453417" w:rsidRDefault="00453417">
    <w:pPr>
      <w:pStyle w:val="Footer"/>
      <w:jc w:val="center"/>
    </w:pPr>
    <w:r>
      <w:t>For assistance please contact HR Division Ph. 6125 3346</w:t>
    </w:r>
  </w:p>
  <w:p w14:paraId="2CD5B41A" w14:textId="77777777" w:rsidR="00453417" w:rsidRDefault="00453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97B9" w14:textId="77777777" w:rsidR="00453417" w:rsidRDefault="00453417">
    <w:pPr>
      <w:pStyle w:val="Footer"/>
      <w:jc w:val="center"/>
    </w:pPr>
    <w:r>
      <w:t>For assistance please contact HR Division Ph. 6125 3346</w:t>
    </w:r>
  </w:p>
  <w:p w14:paraId="0C9D8AD2" w14:textId="77777777" w:rsidR="00453417" w:rsidRDefault="00453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D62E9" w14:textId="77777777" w:rsidR="0024249E" w:rsidRDefault="0024249E">
      <w:r>
        <w:separator/>
      </w:r>
    </w:p>
  </w:footnote>
  <w:footnote w:type="continuationSeparator" w:id="0">
    <w:p w14:paraId="4DDC2222" w14:textId="77777777" w:rsidR="0024249E" w:rsidRDefault="0024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5FB6" w14:textId="7915B659" w:rsidR="00453417" w:rsidRDefault="00453417">
    <w:pPr>
      <w:pStyle w:val="BalloonText"/>
      <w:tabs>
        <w:tab w:val="center" w:pos="5159"/>
        <w:tab w:val="right" w:pos="10319"/>
      </w:tabs>
    </w:pPr>
    <w:r>
      <w:t>11/2/2009</w:t>
    </w:r>
    <w:r>
      <w:tab/>
      <w:t xml:space="preserve"> HR125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B790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B790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CFAB0" w14:textId="69B7A324" w:rsidR="00453417" w:rsidRDefault="0053420B">
    <w:pPr>
      <w:pStyle w:val="BalloonText"/>
      <w:tabs>
        <w:tab w:val="center" w:pos="5159"/>
        <w:tab w:val="right" w:pos="10319"/>
      </w:tabs>
    </w:pPr>
    <w:r>
      <w:t>2</w:t>
    </w:r>
    <w:r w:rsidR="00453417">
      <w:t>/</w:t>
    </w:r>
    <w:r>
      <w:t>08</w:t>
    </w:r>
    <w:r w:rsidR="00453417">
      <w:t>/20</w:t>
    </w:r>
    <w:r>
      <w:t>10</w:t>
    </w:r>
    <w:r w:rsidR="00453417">
      <w:tab/>
      <w:t xml:space="preserve"> HR101</w:t>
    </w:r>
    <w:r w:rsidR="00453417">
      <w:tab/>
      <w:t xml:space="preserve">Page </w:t>
    </w:r>
    <w:r w:rsidR="00453417">
      <w:fldChar w:fldCharType="begin"/>
    </w:r>
    <w:r w:rsidR="00453417">
      <w:instrText xml:space="preserve"> PAGE </w:instrText>
    </w:r>
    <w:r w:rsidR="00453417">
      <w:fldChar w:fldCharType="separate"/>
    </w:r>
    <w:r w:rsidR="007B790F">
      <w:rPr>
        <w:noProof/>
      </w:rPr>
      <w:t>1</w:t>
    </w:r>
    <w:r w:rsidR="00453417">
      <w:fldChar w:fldCharType="end"/>
    </w:r>
    <w:r w:rsidR="00453417">
      <w:t xml:space="preserve"> of </w:t>
    </w:r>
    <w:r w:rsidR="00453417">
      <w:fldChar w:fldCharType="begin"/>
    </w:r>
    <w:r w:rsidR="00453417">
      <w:instrText xml:space="preserve"> NUMPAGES </w:instrText>
    </w:r>
    <w:r w:rsidR="00453417">
      <w:fldChar w:fldCharType="separate"/>
    </w:r>
    <w:r w:rsidR="007B790F">
      <w:rPr>
        <w:noProof/>
      </w:rPr>
      <w:t>2</w:t>
    </w:r>
    <w:r w:rsidR="00453417">
      <w:fldChar w:fldCharType="end"/>
    </w:r>
  </w:p>
  <w:p w14:paraId="373A0482" w14:textId="77777777" w:rsidR="00453417" w:rsidRDefault="00453417">
    <w:pPr>
      <w:pStyle w:val="BalloonText"/>
      <w:tabs>
        <w:tab w:val="center" w:pos="5159"/>
        <w:tab w:val="right" w:pos="103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DE2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6A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18D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EA8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F25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FA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C60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E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6E8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1FA067B"/>
    <w:multiLevelType w:val="hybridMultilevel"/>
    <w:tmpl w:val="87B81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971D7"/>
    <w:multiLevelType w:val="hybridMultilevel"/>
    <w:tmpl w:val="4E824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1712B"/>
    <w:multiLevelType w:val="hybridMultilevel"/>
    <w:tmpl w:val="7C66C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E28E8"/>
    <w:multiLevelType w:val="hybridMultilevel"/>
    <w:tmpl w:val="F98AD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F767F6"/>
    <w:multiLevelType w:val="hybridMultilevel"/>
    <w:tmpl w:val="1286F71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E423B6"/>
    <w:multiLevelType w:val="hybridMultilevel"/>
    <w:tmpl w:val="61E04FF2"/>
    <w:lvl w:ilvl="0" w:tplc="66D8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FC15BA"/>
    <w:multiLevelType w:val="hybridMultilevel"/>
    <w:tmpl w:val="67A4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E42B5"/>
    <w:multiLevelType w:val="hybridMultilevel"/>
    <w:tmpl w:val="973657A2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0C023F"/>
    <w:multiLevelType w:val="hybridMultilevel"/>
    <w:tmpl w:val="D70C9B0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8E4AC5"/>
    <w:multiLevelType w:val="hybridMultilevel"/>
    <w:tmpl w:val="656660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D13B33"/>
    <w:multiLevelType w:val="hybridMultilevel"/>
    <w:tmpl w:val="8CA2C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F14F52"/>
    <w:multiLevelType w:val="hybridMultilevel"/>
    <w:tmpl w:val="70642C9A"/>
    <w:lvl w:ilvl="0" w:tplc="FE3603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B83DD8"/>
    <w:multiLevelType w:val="hybridMultilevel"/>
    <w:tmpl w:val="B19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0D574F"/>
    <w:multiLevelType w:val="hybridMultilevel"/>
    <w:tmpl w:val="58F2A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6004D"/>
    <w:multiLevelType w:val="hybridMultilevel"/>
    <w:tmpl w:val="62D4C0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766B5"/>
    <w:multiLevelType w:val="hybridMultilevel"/>
    <w:tmpl w:val="F5E61F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911075D"/>
    <w:multiLevelType w:val="hybridMultilevel"/>
    <w:tmpl w:val="5C325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82330"/>
    <w:multiLevelType w:val="hybridMultilevel"/>
    <w:tmpl w:val="4D88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F58FA"/>
    <w:multiLevelType w:val="hybridMultilevel"/>
    <w:tmpl w:val="7AAE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8"/>
  </w:num>
  <w:num w:numId="14">
    <w:abstractNumId w:val="17"/>
  </w:num>
  <w:num w:numId="15">
    <w:abstractNumId w:val="11"/>
  </w:num>
  <w:num w:numId="16">
    <w:abstractNumId w:val="24"/>
  </w:num>
  <w:num w:numId="17">
    <w:abstractNumId w:val="27"/>
  </w:num>
  <w:num w:numId="18">
    <w:abstractNumId w:val="16"/>
  </w:num>
  <w:num w:numId="19">
    <w:abstractNumId w:val="22"/>
  </w:num>
  <w:num w:numId="20">
    <w:abstractNumId w:val="18"/>
  </w:num>
  <w:num w:numId="21">
    <w:abstractNumId w:val="23"/>
  </w:num>
  <w:num w:numId="22">
    <w:abstractNumId w:val="14"/>
  </w:num>
  <w:num w:numId="23">
    <w:abstractNumId w:val="19"/>
  </w:num>
  <w:num w:numId="24">
    <w:abstractNumId w:val="15"/>
  </w:num>
  <w:num w:numId="25">
    <w:abstractNumId w:val="29"/>
  </w:num>
  <w:num w:numId="26">
    <w:abstractNumId w:val="25"/>
  </w:num>
  <w:num w:numId="27">
    <w:abstractNumId w:val="21"/>
  </w:num>
  <w:num w:numId="28">
    <w:abstractNumId w:val="13"/>
  </w:num>
  <w:num w:numId="29">
    <w:abstractNumId w:val="12"/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2E"/>
    <w:rsid w:val="00057F9E"/>
    <w:rsid w:val="000803DC"/>
    <w:rsid w:val="000866C8"/>
    <w:rsid w:val="000C059B"/>
    <w:rsid w:val="000D4E70"/>
    <w:rsid w:val="001A7D8D"/>
    <w:rsid w:val="00211315"/>
    <w:rsid w:val="00221F48"/>
    <w:rsid w:val="0024249E"/>
    <w:rsid w:val="002540F7"/>
    <w:rsid w:val="003123C3"/>
    <w:rsid w:val="00320BCA"/>
    <w:rsid w:val="00352D87"/>
    <w:rsid w:val="00384C47"/>
    <w:rsid w:val="003B3638"/>
    <w:rsid w:val="0043398D"/>
    <w:rsid w:val="00453417"/>
    <w:rsid w:val="004644B5"/>
    <w:rsid w:val="0048089E"/>
    <w:rsid w:val="00491E24"/>
    <w:rsid w:val="0049274F"/>
    <w:rsid w:val="005044B0"/>
    <w:rsid w:val="0053420B"/>
    <w:rsid w:val="005A31B5"/>
    <w:rsid w:val="005C6A99"/>
    <w:rsid w:val="0062198B"/>
    <w:rsid w:val="00653783"/>
    <w:rsid w:val="00691197"/>
    <w:rsid w:val="007366D8"/>
    <w:rsid w:val="00770D65"/>
    <w:rsid w:val="007B790F"/>
    <w:rsid w:val="00831812"/>
    <w:rsid w:val="008C3A0F"/>
    <w:rsid w:val="00990D2E"/>
    <w:rsid w:val="00AE7E84"/>
    <w:rsid w:val="00B43A18"/>
    <w:rsid w:val="00C84146"/>
    <w:rsid w:val="00CB35B8"/>
    <w:rsid w:val="00CC30CB"/>
    <w:rsid w:val="00D81218"/>
    <w:rsid w:val="00DE72EE"/>
    <w:rsid w:val="00E17901"/>
    <w:rsid w:val="00EB19A3"/>
    <w:rsid w:val="00ED4B8F"/>
    <w:rsid w:val="00F11491"/>
    <w:rsid w:val="00F34233"/>
    <w:rsid w:val="00F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1586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hAnsi="Arial" w:cs="Arial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customStyle="1" w:styleId="bullet1">
    <w:name w:val="bullet1"/>
    <w:basedOn w:val="NormalIndent"/>
    <w:uiPriority w:val="99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uiPriority w:val="99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  <w:u w:val="none"/>
    </w:rPr>
  </w:style>
  <w:style w:type="paragraph" w:customStyle="1" w:styleId="cresttext1line">
    <w:name w:val="cresttext1line"/>
    <w:basedOn w:val="Normal"/>
    <w:next w:val="Normal"/>
    <w:uiPriority w:val="99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uiPriority w:val="99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uiPriority w:val="99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anu.edu.au/human-resources/enterprise-agreement/schedule-4-minimum-standards-for-academic-levels-ms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HR Division</dc:creator>
  <cp:keywords/>
  <dc:description/>
  <cp:lastModifiedBy>Michelle Bradshaw</cp:lastModifiedBy>
  <cp:revision>2</cp:revision>
  <cp:lastPrinted>2010-08-09T22:58:00Z</cp:lastPrinted>
  <dcterms:created xsi:type="dcterms:W3CDTF">2018-06-13T02:16:00Z</dcterms:created>
  <dcterms:modified xsi:type="dcterms:W3CDTF">2018-06-13T02:16:00Z</dcterms:modified>
</cp:coreProperties>
</file>