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5E65E205" w:rsidR="0031127F" w:rsidRPr="007708FA" w:rsidRDefault="00A13140" w:rsidP="00A13140">
            <w:pPr>
              <w:pStyle w:val="TableParagraph"/>
              <w:spacing w:before="73"/>
              <w:ind w:left="0"/>
              <w:rPr>
                <w:rFonts w:cs="Gill Sans"/>
              </w:rPr>
            </w:pPr>
            <w:r>
              <w:t>Clinical Nurse Educator – Transition to Practice</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5490D4FA" w:rsidR="0031127F" w:rsidRPr="007708FA" w:rsidRDefault="00A13140" w:rsidP="0031127F">
            <w:pPr>
              <w:rPr>
                <w:rFonts w:ascii="Gill Sans MT" w:hAnsi="Gill Sans MT" w:cs="Gill Sans"/>
              </w:rPr>
            </w:pPr>
            <w:r>
              <w:rPr>
                <w:rStyle w:val="InformationBlockChar"/>
                <w:rFonts w:eastAsiaTheme="minorHAnsi"/>
                <w:b w:val="0"/>
                <w:bC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162193A1" w:rsidR="0031127F" w:rsidRPr="007708FA" w:rsidRDefault="00A13140" w:rsidP="0031127F">
            <w:pPr>
              <w:rPr>
                <w:rFonts w:ascii="Gill Sans MT" w:hAnsi="Gill Sans MT" w:cs="Gill Sans"/>
              </w:rPr>
            </w:pPr>
            <w:r w:rsidRPr="00A13140">
              <w:rPr>
                <w:rFonts w:ascii="Gill Sans MT" w:hAnsi="Gill Sans MT" w:cs="Times New Roman"/>
                <w:bCs/>
                <w:szCs w:val="22"/>
                <w:lang w:bidi="en-AU"/>
              </w:rPr>
              <w:t>Registered Nurse</w:t>
            </w:r>
            <w:r>
              <w:rPr>
                <w:rFonts w:ascii="Gill Sans MT" w:hAnsi="Gill Sans MT" w:cs="Times New Roman"/>
                <w:bCs/>
                <w:szCs w:val="22"/>
                <w:lang w:bidi="en-AU"/>
              </w:rPr>
              <w:t xml:space="preserv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720D7E2" w:rsidR="0031127F" w:rsidRPr="007708FA" w:rsidRDefault="00A13140"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642C9330" w:rsidR="0031127F" w:rsidRPr="007708FA" w:rsidRDefault="00A13140" w:rsidP="0031127F">
            <w:pPr>
              <w:rPr>
                <w:rFonts w:ascii="Gill Sans MT" w:hAnsi="Gill Sans MT" w:cs="Gill Sans"/>
              </w:rPr>
            </w:pPr>
            <w:r w:rsidRPr="00A13140">
              <w:rPr>
                <w:rFonts w:ascii="Gill Sans MT" w:hAnsi="Gill Sans MT" w:cs="Times New Roman"/>
                <w:bCs/>
                <w:szCs w:val="22"/>
                <w:lang w:bidi="en-AU"/>
              </w:rPr>
              <w:t>Community, Mental Health and Wellbeing –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6B66F2C1" w:rsidR="0031127F" w:rsidRPr="007B65A4" w:rsidRDefault="00A13140" w:rsidP="0031127F">
                <w:r>
                  <w:t>Permanent, Full Time/Part Time</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12A64C86" w:rsidR="0031127F" w:rsidRPr="007B65A4" w:rsidRDefault="00A13140"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59484E28" w:rsidR="0031127F" w:rsidRPr="007708FA" w:rsidRDefault="00A13140" w:rsidP="0031127F">
            <w:pPr>
              <w:rPr>
                <w:rFonts w:ascii="Gill Sans MT" w:hAnsi="Gill Sans MT" w:cs="Gill Sans"/>
              </w:rPr>
            </w:pPr>
            <w:r w:rsidRPr="00A13140">
              <w:rPr>
                <w:rFonts w:ascii="Gill Sans MT" w:hAnsi="Gill Sans MT" w:cs="Times New Roman"/>
                <w:bCs/>
                <w:szCs w:val="22"/>
                <w:lang w:bidi="en-AU"/>
              </w:rPr>
              <w:t>Director of Nursing – Mental Health Services</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25B5DD9B" w:rsidR="0031127F" w:rsidRDefault="00A13140" w:rsidP="0031127F">
            <w:pPr>
              <w:rPr>
                <w:rFonts w:ascii="Gill Sans MT" w:hAnsi="Gill Sans MT" w:cs="Gill Sans"/>
              </w:rPr>
            </w:pPr>
            <w:r>
              <w:rPr>
                <w:rStyle w:val="InformationBlockChar"/>
                <w:rFonts w:eastAsiaTheme="minorHAnsi"/>
                <w:b w:val="0"/>
                <w:bCs/>
              </w:rPr>
              <w:t>October 2021</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416981E" w:rsidR="0031127F" w:rsidRDefault="00A13140"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D818B18" w:rsidR="0031127F" w:rsidRDefault="00A13140" w:rsidP="0031127F">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5E9D7499" w14:textId="77777777" w:rsidR="00A13140" w:rsidRDefault="00A13140" w:rsidP="002D308A">
            <w:pPr>
              <w:rPr>
                <w:rFonts w:ascii="Gill Sans MT" w:hAnsi="Gill Sans MT" w:cs="Times New Roman"/>
                <w:bCs/>
                <w:szCs w:val="22"/>
                <w:lang w:bidi="en-AU"/>
              </w:rPr>
            </w:pPr>
            <w:r w:rsidRPr="00A13140">
              <w:rPr>
                <w:rFonts w:ascii="Gill Sans MT" w:hAnsi="Gill Sans MT" w:cs="Times New Roman"/>
                <w:bCs/>
                <w:szCs w:val="22"/>
                <w:lang w:bidi="en-AU"/>
              </w:rPr>
              <w:t>Registered with the Nursing and Midwifery Board of Australia as a Registered Nurse.</w:t>
            </w:r>
          </w:p>
          <w:p w14:paraId="42A54C29" w14:textId="60BA1AA7"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 xml:space="preserve">*Registration/licences that are essential requirements of this role must </w:t>
            </w:r>
            <w:proofErr w:type="gramStart"/>
            <w:r w:rsidRPr="002D308A">
              <w:rPr>
                <w:rStyle w:val="InformationBlockChar"/>
                <w:rFonts w:eastAsiaTheme="minorHAnsi"/>
                <w:b w:val="0"/>
                <w:i/>
                <w:iCs/>
              </w:rPr>
              <w:t>remain current and valid at all times</w:t>
            </w:r>
            <w:proofErr w:type="gramEnd"/>
            <w:r w:rsidRPr="002D308A">
              <w:rPr>
                <w:rStyle w:val="InformationBlockChar"/>
                <w:rFonts w:eastAsiaTheme="minorHAnsi"/>
                <w:b w:val="0"/>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2F49F25E" w14:textId="1C1EE21E" w:rsidR="00DD0A63" w:rsidRPr="00A13140" w:rsidRDefault="00A13140" w:rsidP="002D308A">
            <w:pPr>
              <w:rPr>
                <w:rFonts w:ascii="Gill Sans MT" w:hAnsi="Gill Sans MT" w:cs="Times New Roman"/>
                <w:bCs/>
                <w:szCs w:val="22"/>
                <w:lang w:bidi="en-AU"/>
              </w:rPr>
            </w:pPr>
            <w:r w:rsidRPr="00A13140">
              <w:rPr>
                <w:rFonts w:ascii="Gill Sans MT" w:hAnsi="Gill Sans MT" w:cs="Times New Roman"/>
                <w:bCs/>
                <w:szCs w:val="22"/>
                <w:lang w:bidi="en-AU"/>
              </w:rPr>
              <w:t>Holds or working towards relevant tertiary qualifications.</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12D3AC9B" w14:textId="5D9176D2" w:rsidR="00A13140" w:rsidRDefault="00A13140" w:rsidP="00405739">
      <w:pPr>
        <w:pStyle w:val="Heading3"/>
      </w:pPr>
    </w:p>
    <w:p w14:paraId="30883F31" w14:textId="77777777" w:rsidR="00A13140" w:rsidRPr="00A13140" w:rsidRDefault="00A13140" w:rsidP="00A13140"/>
    <w:p w14:paraId="643BDE1C" w14:textId="1AFA63CF" w:rsidR="003C0450" w:rsidRDefault="002D308A" w:rsidP="00405739">
      <w:pPr>
        <w:pStyle w:val="Heading3"/>
      </w:pPr>
      <w:r>
        <w:lastRenderedPageBreak/>
        <w:t>P</w:t>
      </w:r>
      <w:r w:rsidR="003C0450" w:rsidRPr="00405739">
        <w:t xml:space="preserve">rimary Purpose: </w:t>
      </w:r>
    </w:p>
    <w:p w14:paraId="7CB04ED8" w14:textId="77777777" w:rsidR="00A13140" w:rsidRDefault="00A13140" w:rsidP="00A13140">
      <w:pPr>
        <w:pStyle w:val="BodyText"/>
        <w:ind w:left="116"/>
      </w:pPr>
      <w:r>
        <w:t>The Clinical Nurse Educator – Transition to Practice is a member of the nursing leadership team. The role:</w:t>
      </w:r>
    </w:p>
    <w:p w14:paraId="12CD9D26" w14:textId="77777777" w:rsidR="00A13140" w:rsidRDefault="00A13140" w:rsidP="00A13140">
      <w:pPr>
        <w:pStyle w:val="ListParagraph"/>
        <w:widowControl w:val="0"/>
        <w:numPr>
          <w:ilvl w:val="0"/>
          <w:numId w:val="22"/>
        </w:numPr>
        <w:tabs>
          <w:tab w:val="clear" w:pos="567"/>
          <w:tab w:val="clear" w:pos="1134"/>
          <w:tab w:val="clear" w:pos="1701"/>
          <w:tab w:val="left" w:pos="684"/>
        </w:tabs>
        <w:autoSpaceDE w:val="0"/>
        <w:autoSpaceDN w:val="0"/>
        <w:spacing w:after="120"/>
        <w:ind w:right="233"/>
        <w:rPr>
          <w:sz w:val="24"/>
        </w:rPr>
      </w:pPr>
      <w:r>
        <w:rPr>
          <w:sz w:val="24"/>
        </w:rPr>
        <w:t>Facilitates</w:t>
      </w:r>
      <w:r>
        <w:rPr>
          <w:spacing w:val="-14"/>
          <w:sz w:val="24"/>
        </w:rPr>
        <w:t xml:space="preserve"> </w:t>
      </w:r>
      <w:r>
        <w:rPr>
          <w:sz w:val="24"/>
        </w:rPr>
        <w:t>and</w:t>
      </w:r>
      <w:r>
        <w:rPr>
          <w:spacing w:val="-12"/>
          <w:sz w:val="24"/>
        </w:rPr>
        <w:t xml:space="preserve"> </w:t>
      </w:r>
      <w:r>
        <w:rPr>
          <w:sz w:val="24"/>
        </w:rPr>
        <w:t>supports</w:t>
      </w:r>
      <w:r>
        <w:rPr>
          <w:spacing w:val="-12"/>
          <w:sz w:val="24"/>
        </w:rPr>
        <w:t xml:space="preserve"> </w:t>
      </w:r>
      <w:r>
        <w:rPr>
          <w:sz w:val="24"/>
        </w:rPr>
        <w:t>the</w:t>
      </w:r>
      <w:r>
        <w:rPr>
          <w:spacing w:val="-12"/>
          <w:sz w:val="24"/>
        </w:rPr>
        <w:t xml:space="preserve"> </w:t>
      </w:r>
      <w:r>
        <w:rPr>
          <w:sz w:val="24"/>
        </w:rPr>
        <w:t>development</w:t>
      </w:r>
      <w:r>
        <w:rPr>
          <w:spacing w:val="-13"/>
          <w:sz w:val="24"/>
        </w:rPr>
        <w:t xml:space="preserve"> </w:t>
      </w:r>
      <w:r>
        <w:rPr>
          <w:sz w:val="24"/>
        </w:rPr>
        <w:t>of</w:t>
      </w:r>
      <w:r>
        <w:rPr>
          <w:spacing w:val="-13"/>
          <w:sz w:val="24"/>
        </w:rPr>
        <w:t xml:space="preserve"> </w:t>
      </w:r>
      <w:r>
        <w:rPr>
          <w:sz w:val="24"/>
        </w:rPr>
        <w:t>the</w:t>
      </w:r>
      <w:r>
        <w:rPr>
          <w:spacing w:val="-13"/>
          <w:sz w:val="24"/>
        </w:rPr>
        <w:t xml:space="preserve"> </w:t>
      </w:r>
      <w:r>
        <w:rPr>
          <w:sz w:val="24"/>
        </w:rPr>
        <w:t>nursing</w:t>
      </w:r>
      <w:r>
        <w:rPr>
          <w:spacing w:val="-14"/>
          <w:sz w:val="24"/>
        </w:rPr>
        <w:t xml:space="preserve"> </w:t>
      </w:r>
      <w:r>
        <w:rPr>
          <w:sz w:val="24"/>
        </w:rPr>
        <w:t>workforce,</w:t>
      </w:r>
      <w:r>
        <w:rPr>
          <w:spacing w:val="-12"/>
          <w:sz w:val="24"/>
        </w:rPr>
        <w:t xml:space="preserve"> </w:t>
      </w:r>
      <w:r>
        <w:rPr>
          <w:sz w:val="24"/>
        </w:rPr>
        <w:t xml:space="preserve">including inexperienced nursing graduates, </w:t>
      </w:r>
      <w:proofErr w:type="gramStart"/>
      <w:r>
        <w:rPr>
          <w:sz w:val="24"/>
        </w:rPr>
        <w:t>in order to</w:t>
      </w:r>
      <w:proofErr w:type="gramEnd"/>
      <w:r>
        <w:rPr>
          <w:sz w:val="24"/>
        </w:rPr>
        <w:t xml:space="preserve"> contribute to the strategic directions of Agency.</w:t>
      </w:r>
    </w:p>
    <w:p w14:paraId="751264D6" w14:textId="77777777" w:rsidR="00A13140" w:rsidRDefault="00A13140" w:rsidP="00A13140">
      <w:pPr>
        <w:pStyle w:val="ListParagraph"/>
        <w:widowControl w:val="0"/>
        <w:numPr>
          <w:ilvl w:val="0"/>
          <w:numId w:val="22"/>
        </w:numPr>
        <w:tabs>
          <w:tab w:val="clear" w:pos="567"/>
          <w:tab w:val="clear" w:pos="1134"/>
          <w:tab w:val="clear" w:pos="1701"/>
          <w:tab w:val="left" w:pos="684"/>
        </w:tabs>
        <w:autoSpaceDE w:val="0"/>
        <w:autoSpaceDN w:val="0"/>
        <w:spacing w:after="120"/>
        <w:ind w:right="228"/>
        <w:rPr>
          <w:sz w:val="24"/>
        </w:rPr>
      </w:pPr>
      <w:r>
        <w:rPr>
          <w:sz w:val="24"/>
        </w:rPr>
        <w:t xml:space="preserve">Plans, </w:t>
      </w:r>
      <w:proofErr w:type="gramStart"/>
      <w:r>
        <w:rPr>
          <w:sz w:val="24"/>
        </w:rPr>
        <w:t>implements</w:t>
      </w:r>
      <w:proofErr w:type="gramEnd"/>
      <w:r>
        <w:rPr>
          <w:sz w:val="24"/>
        </w:rPr>
        <w:t xml:space="preserve"> and evaluates Transition to Practice placements for registered and/or enrolled nurses, including the provision of education and support activities that align with educational plans and organisation and nursing workforce</w:t>
      </w:r>
      <w:r>
        <w:rPr>
          <w:spacing w:val="-1"/>
          <w:sz w:val="24"/>
        </w:rPr>
        <w:t xml:space="preserve"> </w:t>
      </w:r>
      <w:r>
        <w:rPr>
          <w:sz w:val="24"/>
        </w:rPr>
        <w:t>requirements.</w:t>
      </w:r>
    </w:p>
    <w:p w14:paraId="5DB3621F" w14:textId="77777777" w:rsidR="00A13140" w:rsidRDefault="00A13140" w:rsidP="00A13140">
      <w:pPr>
        <w:pStyle w:val="ListParagraph"/>
        <w:widowControl w:val="0"/>
        <w:numPr>
          <w:ilvl w:val="0"/>
          <w:numId w:val="22"/>
        </w:numPr>
        <w:tabs>
          <w:tab w:val="clear" w:pos="567"/>
          <w:tab w:val="clear" w:pos="1134"/>
          <w:tab w:val="clear" w:pos="1701"/>
          <w:tab w:val="left" w:pos="684"/>
        </w:tabs>
        <w:autoSpaceDE w:val="0"/>
        <w:autoSpaceDN w:val="0"/>
        <w:spacing w:after="120"/>
        <w:ind w:right="228"/>
        <w:rPr>
          <w:sz w:val="24"/>
        </w:rPr>
      </w:pPr>
      <w:r>
        <w:rPr>
          <w:sz w:val="24"/>
        </w:rPr>
        <w:t>Works within a Practice Development framework to foster research and the implementation of evidence-based knowledge and person-centred</w:t>
      </w:r>
      <w:r>
        <w:rPr>
          <w:spacing w:val="-7"/>
          <w:sz w:val="24"/>
        </w:rPr>
        <w:t xml:space="preserve"> </w:t>
      </w:r>
      <w:r>
        <w:rPr>
          <w:sz w:val="24"/>
        </w:rPr>
        <w:t>care.</w:t>
      </w:r>
    </w:p>
    <w:p w14:paraId="005DD4B6" w14:textId="25B176B7" w:rsidR="00E91AB6" w:rsidRPr="00405739" w:rsidRDefault="00E91AB6" w:rsidP="00405739">
      <w:pPr>
        <w:pStyle w:val="Heading3"/>
      </w:pPr>
      <w:r w:rsidRPr="00405739">
        <w:t>Duties:</w:t>
      </w:r>
    </w:p>
    <w:p w14:paraId="0A4F2F80" w14:textId="77777777" w:rsidR="00A13140" w:rsidRPr="00A13140" w:rsidRDefault="00A13140" w:rsidP="00A13140">
      <w:pPr>
        <w:pStyle w:val="ListNumbered"/>
      </w:pPr>
      <w:r>
        <w:t xml:space="preserve">Plan, develop, </w:t>
      </w:r>
      <w:proofErr w:type="gramStart"/>
      <w:r>
        <w:t>implement</w:t>
      </w:r>
      <w:proofErr w:type="gramEnd"/>
      <w:r>
        <w:t xml:space="preserve"> and evaluate Transition to Practice placements and professional support</w:t>
      </w:r>
      <w:r w:rsidRPr="00A13140">
        <w:t xml:space="preserve"> </w:t>
      </w:r>
      <w:r>
        <w:t>activities</w:t>
      </w:r>
      <w:r w:rsidRPr="00A13140">
        <w:t xml:space="preserve"> </w:t>
      </w:r>
      <w:r>
        <w:t>for</w:t>
      </w:r>
      <w:r w:rsidRPr="00A13140">
        <w:t xml:space="preserve"> </w:t>
      </w:r>
      <w:r>
        <w:t>registered</w:t>
      </w:r>
      <w:r w:rsidRPr="00A13140">
        <w:t xml:space="preserve"> </w:t>
      </w:r>
      <w:r>
        <w:t>and/or</w:t>
      </w:r>
      <w:r w:rsidRPr="00A13140">
        <w:t xml:space="preserve"> </w:t>
      </w:r>
      <w:r>
        <w:t>enrolled</w:t>
      </w:r>
      <w:r w:rsidRPr="00A13140">
        <w:t xml:space="preserve"> </w:t>
      </w:r>
      <w:r>
        <w:t>nurses</w:t>
      </w:r>
      <w:r w:rsidRPr="00A13140">
        <w:t xml:space="preserve"> </w:t>
      </w:r>
      <w:r>
        <w:t>including</w:t>
      </w:r>
      <w:r w:rsidRPr="00A13140">
        <w:t xml:space="preserve"> </w:t>
      </w:r>
      <w:r>
        <w:t>collaboration</w:t>
      </w:r>
      <w:r w:rsidRPr="00A13140">
        <w:t xml:space="preserve"> </w:t>
      </w:r>
      <w:r>
        <w:t>with</w:t>
      </w:r>
      <w:r w:rsidRPr="00A13140">
        <w:t xml:space="preserve"> </w:t>
      </w:r>
      <w:r>
        <w:t>internal and external stakeholders where</w:t>
      </w:r>
      <w:r w:rsidRPr="00A13140">
        <w:t xml:space="preserve"> required.</w:t>
      </w:r>
    </w:p>
    <w:p w14:paraId="1ADDEE03" w14:textId="77777777" w:rsidR="00A13140" w:rsidRPr="00A13140" w:rsidRDefault="00A13140" w:rsidP="00A13140">
      <w:pPr>
        <w:pStyle w:val="ListNumbered"/>
      </w:pPr>
      <w:r w:rsidRPr="00A13140">
        <w:t>Collaborates with Human Resources and key stakeholders in the recruitment of Transition to Practice nurses.</w:t>
      </w:r>
    </w:p>
    <w:p w14:paraId="4F009885" w14:textId="77777777" w:rsidR="00A13140" w:rsidRDefault="00A13140" w:rsidP="00A13140">
      <w:pPr>
        <w:pStyle w:val="ListNumbered"/>
      </w:pPr>
      <w:r>
        <w:t>Assist with Transition to Practice performance and development reviews in liaison with Nurse</w:t>
      </w:r>
      <w:r w:rsidRPr="00A13140">
        <w:t xml:space="preserve"> </w:t>
      </w:r>
      <w:r>
        <w:t>Unit</w:t>
      </w:r>
      <w:r w:rsidRPr="00A13140">
        <w:t xml:space="preserve"> </w:t>
      </w:r>
      <w:r>
        <w:t>Managers</w:t>
      </w:r>
      <w:r w:rsidRPr="00A13140">
        <w:t xml:space="preserve"> </w:t>
      </w:r>
      <w:r>
        <w:t>and</w:t>
      </w:r>
      <w:r w:rsidRPr="00A13140">
        <w:t xml:space="preserve"> </w:t>
      </w:r>
      <w:r>
        <w:t>other</w:t>
      </w:r>
      <w:r w:rsidRPr="00A13140">
        <w:t xml:space="preserve"> </w:t>
      </w:r>
      <w:r>
        <w:t>Clinical</w:t>
      </w:r>
      <w:r w:rsidRPr="00A13140">
        <w:t xml:space="preserve"> </w:t>
      </w:r>
      <w:r>
        <w:t>Nurse</w:t>
      </w:r>
      <w:r w:rsidRPr="00A13140">
        <w:t xml:space="preserve"> </w:t>
      </w:r>
      <w:r>
        <w:t>Educators,</w:t>
      </w:r>
      <w:r w:rsidRPr="00A13140">
        <w:t xml:space="preserve"> </w:t>
      </w:r>
      <w:r>
        <w:t>ensuring</w:t>
      </w:r>
      <w:r w:rsidRPr="00A13140">
        <w:t xml:space="preserve"> </w:t>
      </w:r>
      <w:r>
        <w:t>that</w:t>
      </w:r>
      <w:r w:rsidRPr="00A13140">
        <w:t xml:space="preserve"> </w:t>
      </w:r>
      <w:r>
        <w:t>identified</w:t>
      </w:r>
      <w:r w:rsidRPr="00A13140">
        <w:t xml:space="preserve"> </w:t>
      </w:r>
      <w:r>
        <w:t>strategies are</w:t>
      </w:r>
      <w:r w:rsidRPr="00A13140">
        <w:t xml:space="preserve"> </w:t>
      </w:r>
      <w:r>
        <w:t>implemented.</w:t>
      </w:r>
    </w:p>
    <w:p w14:paraId="64E7FF54" w14:textId="77777777" w:rsidR="00A13140" w:rsidRDefault="00A13140" w:rsidP="00A13140">
      <w:pPr>
        <w:pStyle w:val="ListNumbered"/>
      </w:pPr>
      <w:r>
        <w:t>Ensure records are maintained in accordance with organisational policy and operational requirements, including documentation related to Transition to Practice</w:t>
      </w:r>
      <w:r w:rsidRPr="00A13140">
        <w:t xml:space="preserve"> </w:t>
      </w:r>
      <w:r>
        <w:t>activities.</w:t>
      </w:r>
    </w:p>
    <w:p w14:paraId="333B31A0" w14:textId="192414EC" w:rsidR="00A13140" w:rsidRDefault="00A13140" w:rsidP="00A13140">
      <w:pPr>
        <w:pStyle w:val="ListNumbered"/>
      </w:pPr>
      <w:r>
        <w:t>Function</w:t>
      </w:r>
      <w:r w:rsidRPr="00A13140">
        <w:t xml:space="preserve"> </w:t>
      </w:r>
      <w:r>
        <w:t>as</w:t>
      </w:r>
      <w:r w:rsidRPr="00A13140">
        <w:t xml:space="preserve"> </w:t>
      </w:r>
      <w:r>
        <w:t>a</w:t>
      </w:r>
      <w:r w:rsidRPr="00A13140">
        <w:t xml:space="preserve"> </w:t>
      </w:r>
      <w:r>
        <w:t>member</w:t>
      </w:r>
      <w:r w:rsidRPr="00A13140">
        <w:t xml:space="preserve"> </w:t>
      </w:r>
      <w:r>
        <w:t>of</w:t>
      </w:r>
      <w:r w:rsidRPr="00A13140">
        <w:t xml:space="preserve"> </w:t>
      </w:r>
      <w:r>
        <w:t>the</w:t>
      </w:r>
      <w:r w:rsidRPr="00A13140">
        <w:t xml:space="preserve"> </w:t>
      </w:r>
      <w:r>
        <w:t>clinical</w:t>
      </w:r>
      <w:r w:rsidRPr="00A13140">
        <w:t xml:space="preserve"> </w:t>
      </w:r>
      <w:r>
        <w:t>leadership</w:t>
      </w:r>
      <w:r w:rsidRPr="00A13140">
        <w:t xml:space="preserve"> </w:t>
      </w:r>
      <w:r>
        <w:t>team</w:t>
      </w:r>
      <w:r w:rsidRPr="00A13140">
        <w:t xml:space="preserve"> </w:t>
      </w:r>
      <w:r>
        <w:t>within</w:t>
      </w:r>
      <w:r w:rsidRPr="00A13140">
        <w:t xml:space="preserve"> </w:t>
      </w:r>
      <w:r>
        <w:t>the</w:t>
      </w:r>
      <w:r w:rsidRPr="00A13140">
        <w:t xml:space="preserve"> </w:t>
      </w:r>
      <w:r>
        <w:t>organisation and</w:t>
      </w:r>
      <w:r w:rsidRPr="00A13140">
        <w:t xml:space="preserve"> </w:t>
      </w:r>
      <w:r>
        <w:t>contribute to the implementation of the strategic reform agenda of the</w:t>
      </w:r>
      <w:r w:rsidRPr="00A13140">
        <w:t xml:space="preserve"> </w:t>
      </w:r>
      <w:r>
        <w:t>organisation.</w:t>
      </w:r>
    </w:p>
    <w:p w14:paraId="6B850A26" w14:textId="77777777" w:rsidR="00A13140" w:rsidRDefault="00A13140" w:rsidP="00A13140">
      <w:pPr>
        <w:pStyle w:val="ListNumbered"/>
      </w:pPr>
      <w:r>
        <w:t>Promote and participate in quality improvement, research and best practice initiatives including inter-professional learning and education that leads to improved patient-centred outcomes.</w:t>
      </w:r>
    </w:p>
    <w:p w14:paraId="69E3464B" w14:textId="77777777" w:rsidR="00A13140" w:rsidRDefault="00A13140" w:rsidP="00A13140">
      <w:pPr>
        <w:pStyle w:val="ListNumbered"/>
      </w:pPr>
      <w:r>
        <w:t>Participate in and/or chair relevant committees as required, working to achieve organisational</w:t>
      </w:r>
      <w:r w:rsidRPr="00A13140">
        <w:t xml:space="preserve"> </w:t>
      </w:r>
      <w:r>
        <w:t>goals.</w:t>
      </w:r>
    </w:p>
    <w:p w14:paraId="4F0CA59A" w14:textId="77777777" w:rsidR="00A13140" w:rsidRDefault="00A13140" w:rsidP="00A13140">
      <w:pPr>
        <w:pStyle w:val="ListNumbered"/>
      </w:pPr>
      <w:r>
        <w:t>Practice in line with, and support others to work within, current work health and safety legislation, anti-discrimination legislation, principles of workplace diversity and the Nursing and Midwifery Board of Australia Professional Practice</w:t>
      </w:r>
      <w:r w:rsidRPr="00A13140">
        <w:t xml:space="preserve"> </w:t>
      </w:r>
      <w:r>
        <w:t>Framework.</w:t>
      </w:r>
    </w:p>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397B46D0" w14:textId="7DE3233B" w:rsidR="000C3250" w:rsidRDefault="00E91AB6" w:rsidP="00130E72">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DCB9B27" w14:textId="570BDF70" w:rsidR="000C3250" w:rsidRDefault="000C3250" w:rsidP="000C3250">
      <w:pPr>
        <w:pStyle w:val="ListNumbered"/>
        <w:numPr>
          <w:ilvl w:val="0"/>
          <w:numId w:val="0"/>
        </w:numPr>
      </w:pPr>
    </w:p>
    <w:p w14:paraId="7D87B555" w14:textId="17E491A6" w:rsidR="000C3250" w:rsidRDefault="000C3250" w:rsidP="000C3250">
      <w:pPr>
        <w:pStyle w:val="ListNumbered"/>
        <w:numPr>
          <w:ilvl w:val="0"/>
          <w:numId w:val="0"/>
        </w:numPr>
      </w:pPr>
    </w:p>
    <w:p w14:paraId="36B45CA8" w14:textId="77777777" w:rsidR="000C3250" w:rsidRDefault="000C3250" w:rsidP="000C3250">
      <w:pPr>
        <w:pStyle w:val="ListNumbered"/>
        <w:numPr>
          <w:ilvl w:val="0"/>
          <w:numId w:val="0"/>
        </w:numPr>
      </w:pPr>
    </w:p>
    <w:p w14:paraId="07C3BB8E" w14:textId="49585D86" w:rsidR="00E91AB6" w:rsidRDefault="00AF0C6B" w:rsidP="00130E72">
      <w:pPr>
        <w:pStyle w:val="Heading3"/>
      </w:pPr>
      <w:r>
        <w:lastRenderedPageBreak/>
        <w:t>Key Accountabilities and Responsibilities:</w:t>
      </w:r>
    </w:p>
    <w:p w14:paraId="6C3896BF" w14:textId="77777777" w:rsidR="00A13140" w:rsidRPr="00A13140" w:rsidRDefault="00A13140" w:rsidP="00A13140">
      <w:r w:rsidRPr="00A13140">
        <w:t>The Clinical Nurse Educator – Transition to Practice is responsible for the coordination and evaluation of Transition to Practice placements for registered and/or enrolled nurses within the designated area. The occupant of this role works in collaboration with the DON and is responsible for:</w:t>
      </w:r>
    </w:p>
    <w:p w14:paraId="51FC2109" w14:textId="77777777" w:rsidR="00A13140" w:rsidRPr="00A13140" w:rsidRDefault="00A13140" w:rsidP="00A13140">
      <w:pPr>
        <w:pStyle w:val="ListParagraph"/>
      </w:pPr>
      <w:r w:rsidRPr="00A13140">
        <w:t xml:space="preserve">Planning, </w:t>
      </w:r>
      <w:proofErr w:type="gramStart"/>
      <w:r w:rsidRPr="00A13140">
        <w:t>implementing</w:t>
      </w:r>
      <w:proofErr w:type="gramEnd"/>
      <w:r w:rsidRPr="00A13140">
        <w:t xml:space="preserve"> and evaluating the delivery of a range of educational activities for the nursing and midwifery workforce.</w:t>
      </w:r>
    </w:p>
    <w:p w14:paraId="12676F02" w14:textId="17CCE660" w:rsidR="007D4A9F" w:rsidRPr="00A13140" w:rsidRDefault="00A13140" w:rsidP="00A13140">
      <w:pPr>
        <w:pStyle w:val="ListParagraph"/>
      </w:pPr>
      <w:r w:rsidRPr="00A13140">
        <w:t xml:space="preserve">Functioning with a degree of autonomy in undertaking the role with guidance, </w:t>
      </w:r>
      <w:proofErr w:type="gramStart"/>
      <w:r w:rsidRPr="00A13140">
        <w:t>direction</w:t>
      </w:r>
      <w:proofErr w:type="gramEnd"/>
      <w:r w:rsidRPr="00A13140">
        <w:t xml:space="preserve"> and support from the DON.</w:t>
      </w:r>
    </w:p>
    <w:p w14:paraId="5F7D6A04" w14:textId="08381B39"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5AD08D1D" w:rsidR="003C43E7" w:rsidRDefault="00A13140" w:rsidP="00C82F58">
      <w:pPr>
        <w:pStyle w:val="ListParagraph"/>
      </w:pPr>
      <w:r w:rsidRPr="008803FC">
        <w:t>Always comply</w:t>
      </w:r>
      <w:r w:rsidR="003C43E7" w:rsidRPr="008803FC">
        <w:t xml:space="preserve"> with policy and protocol requirements, in</w:t>
      </w:r>
      <w:r w:rsidR="00BB12B9">
        <w:t>cluding</w:t>
      </w:r>
      <w:r w:rsidR="0051766E">
        <w:t xml:space="preserve"> </w:t>
      </w:r>
      <w:r w:rsidR="003C43E7" w:rsidRPr="008803FC">
        <w:t xml:space="preserve">those relating to mandatory education, </w:t>
      </w:r>
      <w:proofErr w:type="gramStart"/>
      <w:r w:rsidR="003C43E7" w:rsidRPr="008803FC">
        <w:t>training</w:t>
      </w:r>
      <w:proofErr w:type="gramEnd"/>
      <w:r w:rsidR="003C43E7"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4FFDCC50" w14:textId="569407E1" w:rsidR="000C3250" w:rsidRDefault="000C3250" w:rsidP="00130E72">
      <w:pPr>
        <w:pStyle w:val="Heading3"/>
      </w:pPr>
    </w:p>
    <w:p w14:paraId="07FF3562" w14:textId="64AFA0A1" w:rsidR="000C3250" w:rsidRDefault="000C3250" w:rsidP="000C3250"/>
    <w:p w14:paraId="40B22AE3" w14:textId="0E241D9C" w:rsidR="000C3250" w:rsidRDefault="000C3250" w:rsidP="000C3250"/>
    <w:p w14:paraId="1A90A6AB" w14:textId="3A569C0E" w:rsidR="000C3250" w:rsidRDefault="000C3250" w:rsidP="000C3250"/>
    <w:p w14:paraId="27AD85D3" w14:textId="46F3C718" w:rsidR="000C3250" w:rsidRDefault="000C3250" w:rsidP="000C3250"/>
    <w:p w14:paraId="1129BC96" w14:textId="09348A4E" w:rsidR="000C3250" w:rsidRDefault="000C3250" w:rsidP="000C3250"/>
    <w:p w14:paraId="3FAA9493" w14:textId="77777777" w:rsidR="000C3250" w:rsidRPr="000C3250" w:rsidRDefault="000C3250" w:rsidP="000C3250"/>
    <w:p w14:paraId="011E3DAD" w14:textId="71FE9DEF" w:rsidR="00E91AB6" w:rsidRDefault="00E91AB6" w:rsidP="00130E72">
      <w:pPr>
        <w:pStyle w:val="Heading3"/>
      </w:pPr>
      <w:r>
        <w:lastRenderedPageBreak/>
        <w:t>Selection Criteria:</w:t>
      </w:r>
    </w:p>
    <w:p w14:paraId="00677B12" w14:textId="6136109B" w:rsidR="000C3250" w:rsidRDefault="000C3250" w:rsidP="000C3250">
      <w:pPr>
        <w:pStyle w:val="ListParagraph"/>
        <w:widowControl w:val="0"/>
        <w:numPr>
          <w:ilvl w:val="0"/>
          <w:numId w:val="26"/>
        </w:numPr>
        <w:tabs>
          <w:tab w:val="clear" w:pos="567"/>
          <w:tab w:val="clear" w:pos="1134"/>
          <w:tab w:val="clear" w:pos="1701"/>
          <w:tab w:val="left" w:pos="684"/>
        </w:tabs>
        <w:autoSpaceDE w:val="0"/>
        <w:autoSpaceDN w:val="0"/>
        <w:spacing w:after="120"/>
        <w:ind w:left="680" w:right="231"/>
        <w:rPr>
          <w:sz w:val="24"/>
        </w:rPr>
      </w:pPr>
      <w:r>
        <w:rPr>
          <w:sz w:val="24"/>
        </w:rPr>
        <w:t>Advanced level of knowledge, skills, and clinical experience with demonstrated application to the development, implementation and evaluation of professional development and education activities that support quality clinical</w:t>
      </w:r>
      <w:r>
        <w:rPr>
          <w:spacing w:val="-6"/>
          <w:sz w:val="24"/>
        </w:rPr>
        <w:t xml:space="preserve"> </w:t>
      </w:r>
      <w:r>
        <w:rPr>
          <w:sz w:val="24"/>
        </w:rPr>
        <w:t>practice.</w:t>
      </w:r>
    </w:p>
    <w:p w14:paraId="1CE91D69" w14:textId="77777777" w:rsidR="000C3250" w:rsidRDefault="000C3250" w:rsidP="000C3250">
      <w:pPr>
        <w:pStyle w:val="ListParagraph"/>
        <w:widowControl w:val="0"/>
        <w:numPr>
          <w:ilvl w:val="0"/>
          <w:numId w:val="26"/>
        </w:numPr>
        <w:tabs>
          <w:tab w:val="clear" w:pos="567"/>
          <w:tab w:val="clear" w:pos="1134"/>
          <w:tab w:val="clear" w:pos="1701"/>
          <w:tab w:val="left" w:pos="684"/>
        </w:tabs>
        <w:autoSpaceDE w:val="0"/>
        <w:autoSpaceDN w:val="0"/>
        <w:spacing w:after="120"/>
        <w:ind w:left="680" w:right="230"/>
        <w:rPr>
          <w:sz w:val="24"/>
        </w:rPr>
      </w:pPr>
      <w:r>
        <w:rPr>
          <w:sz w:val="24"/>
        </w:rPr>
        <w:t>Sound</w:t>
      </w:r>
      <w:r>
        <w:rPr>
          <w:spacing w:val="-14"/>
          <w:sz w:val="24"/>
        </w:rPr>
        <w:t xml:space="preserve"> </w:t>
      </w:r>
      <w:r>
        <w:rPr>
          <w:sz w:val="24"/>
        </w:rPr>
        <w:t>knowledge</w:t>
      </w:r>
      <w:r>
        <w:rPr>
          <w:spacing w:val="-14"/>
          <w:sz w:val="24"/>
        </w:rPr>
        <w:t xml:space="preserve"> </w:t>
      </w:r>
      <w:r>
        <w:rPr>
          <w:sz w:val="24"/>
        </w:rPr>
        <w:t>of</w:t>
      </w:r>
      <w:r>
        <w:rPr>
          <w:spacing w:val="-17"/>
          <w:sz w:val="24"/>
        </w:rPr>
        <w:t xml:space="preserve"> </w:t>
      </w:r>
      <w:r>
        <w:rPr>
          <w:sz w:val="24"/>
        </w:rPr>
        <w:t>contemporary</w:t>
      </w:r>
      <w:r>
        <w:rPr>
          <w:spacing w:val="-16"/>
          <w:sz w:val="24"/>
        </w:rPr>
        <w:t xml:space="preserve"> </w:t>
      </w:r>
      <w:r>
        <w:rPr>
          <w:sz w:val="24"/>
        </w:rPr>
        <w:t>educational,</w:t>
      </w:r>
      <w:r>
        <w:rPr>
          <w:spacing w:val="-16"/>
          <w:sz w:val="24"/>
        </w:rPr>
        <w:t xml:space="preserve"> </w:t>
      </w:r>
      <w:r>
        <w:rPr>
          <w:sz w:val="24"/>
        </w:rPr>
        <w:t>professional,</w:t>
      </w:r>
      <w:r>
        <w:rPr>
          <w:spacing w:val="-16"/>
          <w:sz w:val="24"/>
        </w:rPr>
        <w:t xml:space="preserve"> </w:t>
      </w:r>
      <w:r>
        <w:rPr>
          <w:sz w:val="24"/>
        </w:rPr>
        <w:t>organisational</w:t>
      </w:r>
      <w:r>
        <w:rPr>
          <w:spacing w:val="-18"/>
          <w:sz w:val="24"/>
        </w:rPr>
        <w:t xml:space="preserve"> </w:t>
      </w:r>
      <w:r>
        <w:rPr>
          <w:sz w:val="24"/>
        </w:rPr>
        <w:t>and</w:t>
      </w:r>
      <w:r>
        <w:rPr>
          <w:spacing w:val="-13"/>
          <w:sz w:val="24"/>
        </w:rPr>
        <w:t xml:space="preserve"> </w:t>
      </w:r>
      <w:r>
        <w:rPr>
          <w:sz w:val="24"/>
        </w:rPr>
        <w:t>health</w:t>
      </w:r>
      <w:r>
        <w:rPr>
          <w:spacing w:val="-17"/>
          <w:sz w:val="24"/>
        </w:rPr>
        <w:t xml:space="preserve"> </w:t>
      </w:r>
      <w:r>
        <w:rPr>
          <w:sz w:val="24"/>
        </w:rPr>
        <w:t>care issues affecting nursing practice and their impact on the requirements for the nursing workforce and the delivery of quality patient/client</w:t>
      </w:r>
      <w:r>
        <w:rPr>
          <w:spacing w:val="-5"/>
          <w:sz w:val="24"/>
        </w:rPr>
        <w:t xml:space="preserve"> </w:t>
      </w:r>
      <w:r>
        <w:rPr>
          <w:sz w:val="24"/>
        </w:rPr>
        <w:t>care.</w:t>
      </w:r>
    </w:p>
    <w:p w14:paraId="3619FDA5" w14:textId="77777777" w:rsidR="000C3250" w:rsidRDefault="000C3250" w:rsidP="000C3250">
      <w:pPr>
        <w:pStyle w:val="ListParagraph"/>
        <w:widowControl w:val="0"/>
        <w:numPr>
          <w:ilvl w:val="0"/>
          <w:numId w:val="26"/>
        </w:numPr>
        <w:tabs>
          <w:tab w:val="clear" w:pos="567"/>
          <w:tab w:val="clear" w:pos="1134"/>
          <w:tab w:val="clear" w:pos="1701"/>
          <w:tab w:val="left" w:pos="684"/>
        </w:tabs>
        <w:autoSpaceDE w:val="0"/>
        <w:autoSpaceDN w:val="0"/>
        <w:spacing w:after="120"/>
        <w:ind w:left="680" w:right="228"/>
        <w:rPr>
          <w:sz w:val="24"/>
        </w:rPr>
      </w:pPr>
      <w:r>
        <w:rPr>
          <w:sz w:val="24"/>
        </w:rPr>
        <w:t>Demonstrated</w:t>
      </w:r>
      <w:r>
        <w:rPr>
          <w:spacing w:val="-6"/>
          <w:sz w:val="24"/>
        </w:rPr>
        <w:t xml:space="preserve"> </w:t>
      </w:r>
      <w:r>
        <w:rPr>
          <w:sz w:val="24"/>
        </w:rPr>
        <w:t>high</w:t>
      </w:r>
      <w:r>
        <w:rPr>
          <w:spacing w:val="-6"/>
          <w:sz w:val="24"/>
        </w:rPr>
        <w:t xml:space="preserve"> </w:t>
      </w:r>
      <w:r>
        <w:rPr>
          <w:sz w:val="24"/>
        </w:rPr>
        <w:t>level</w:t>
      </w:r>
      <w:r>
        <w:rPr>
          <w:spacing w:val="-7"/>
          <w:sz w:val="24"/>
        </w:rPr>
        <w:t xml:space="preserve"> </w:t>
      </w:r>
      <w:r>
        <w:rPr>
          <w:sz w:val="24"/>
        </w:rPr>
        <w:t>written</w:t>
      </w:r>
      <w:r>
        <w:rPr>
          <w:spacing w:val="-6"/>
          <w:sz w:val="24"/>
        </w:rPr>
        <w:t xml:space="preserve"> </w:t>
      </w:r>
      <w:r>
        <w:rPr>
          <w:sz w:val="24"/>
        </w:rPr>
        <w:t>and</w:t>
      </w:r>
      <w:r>
        <w:rPr>
          <w:spacing w:val="-7"/>
          <w:sz w:val="24"/>
        </w:rPr>
        <w:t xml:space="preserve"> </w:t>
      </w:r>
      <w:r>
        <w:rPr>
          <w:sz w:val="24"/>
        </w:rPr>
        <w:t>interpersonal</w:t>
      </w:r>
      <w:r>
        <w:rPr>
          <w:spacing w:val="-6"/>
          <w:sz w:val="24"/>
        </w:rPr>
        <w:t xml:space="preserve"> </w:t>
      </w:r>
      <w:r>
        <w:rPr>
          <w:sz w:val="24"/>
        </w:rPr>
        <w:t>communication</w:t>
      </w:r>
      <w:r>
        <w:rPr>
          <w:spacing w:val="-6"/>
          <w:sz w:val="24"/>
        </w:rPr>
        <w:t xml:space="preserve"> </w:t>
      </w:r>
      <w:r>
        <w:rPr>
          <w:sz w:val="24"/>
        </w:rPr>
        <w:t>skills</w:t>
      </w:r>
      <w:r>
        <w:rPr>
          <w:spacing w:val="-5"/>
          <w:sz w:val="24"/>
        </w:rPr>
        <w:t xml:space="preserve"> </w:t>
      </w:r>
      <w:r>
        <w:rPr>
          <w:sz w:val="24"/>
        </w:rPr>
        <w:t>and</w:t>
      </w:r>
      <w:r>
        <w:rPr>
          <w:spacing w:val="-6"/>
          <w:sz w:val="24"/>
        </w:rPr>
        <w:t xml:space="preserve"> </w:t>
      </w:r>
      <w:r>
        <w:rPr>
          <w:sz w:val="24"/>
        </w:rPr>
        <w:t>proven</w:t>
      </w:r>
      <w:r>
        <w:rPr>
          <w:spacing w:val="-7"/>
          <w:sz w:val="24"/>
        </w:rPr>
        <w:t xml:space="preserve"> </w:t>
      </w:r>
      <w:r>
        <w:rPr>
          <w:sz w:val="24"/>
        </w:rPr>
        <w:t>ability to</w:t>
      </w:r>
      <w:r>
        <w:rPr>
          <w:spacing w:val="-10"/>
          <w:sz w:val="24"/>
        </w:rPr>
        <w:t xml:space="preserve"> </w:t>
      </w:r>
      <w:r>
        <w:rPr>
          <w:sz w:val="24"/>
        </w:rPr>
        <w:t>function</w:t>
      </w:r>
      <w:r>
        <w:rPr>
          <w:spacing w:val="-10"/>
          <w:sz w:val="24"/>
        </w:rPr>
        <w:t xml:space="preserve"> </w:t>
      </w:r>
      <w:r>
        <w:rPr>
          <w:sz w:val="24"/>
        </w:rPr>
        <w:t>effectively</w:t>
      </w:r>
      <w:r>
        <w:rPr>
          <w:spacing w:val="-8"/>
          <w:sz w:val="24"/>
        </w:rPr>
        <w:t xml:space="preserve"> </w:t>
      </w:r>
      <w:r>
        <w:rPr>
          <w:sz w:val="24"/>
        </w:rPr>
        <w:t>and</w:t>
      </w:r>
      <w:r>
        <w:rPr>
          <w:spacing w:val="-9"/>
          <w:sz w:val="24"/>
        </w:rPr>
        <w:t xml:space="preserve"> </w:t>
      </w:r>
      <w:r>
        <w:rPr>
          <w:sz w:val="24"/>
        </w:rPr>
        <w:t>achieve</w:t>
      </w:r>
      <w:r>
        <w:rPr>
          <w:spacing w:val="-11"/>
          <w:sz w:val="24"/>
        </w:rPr>
        <w:t xml:space="preserve"> </w:t>
      </w:r>
      <w:r>
        <w:rPr>
          <w:sz w:val="24"/>
        </w:rPr>
        <w:t>results</w:t>
      </w:r>
      <w:r>
        <w:rPr>
          <w:spacing w:val="-8"/>
          <w:sz w:val="24"/>
        </w:rPr>
        <w:t xml:space="preserve"> </w:t>
      </w:r>
      <w:r>
        <w:rPr>
          <w:sz w:val="24"/>
        </w:rPr>
        <w:t>in</w:t>
      </w:r>
      <w:r>
        <w:rPr>
          <w:spacing w:val="-9"/>
          <w:sz w:val="24"/>
        </w:rPr>
        <w:t xml:space="preserve"> </w:t>
      </w:r>
      <w:r>
        <w:rPr>
          <w:sz w:val="24"/>
        </w:rPr>
        <w:t>a</w:t>
      </w:r>
      <w:r>
        <w:rPr>
          <w:spacing w:val="-11"/>
          <w:sz w:val="24"/>
        </w:rPr>
        <w:t xml:space="preserve"> </w:t>
      </w:r>
      <w:r>
        <w:rPr>
          <w:sz w:val="24"/>
        </w:rPr>
        <w:t>dynamic,</w:t>
      </w:r>
      <w:r>
        <w:rPr>
          <w:spacing w:val="-8"/>
          <w:sz w:val="24"/>
        </w:rPr>
        <w:t xml:space="preserve"> </w:t>
      </w:r>
      <w:r>
        <w:rPr>
          <w:sz w:val="24"/>
        </w:rPr>
        <w:t>multidisciplinary</w:t>
      </w:r>
      <w:r>
        <w:rPr>
          <w:spacing w:val="-11"/>
          <w:sz w:val="24"/>
        </w:rPr>
        <w:t xml:space="preserve"> </w:t>
      </w:r>
      <w:r>
        <w:rPr>
          <w:sz w:val="24"/>
        </w:rPr>
        <w:t>team</w:t>
      </w:r>
      <w:r>
        <w:rPr>
          <w:spacing w:val="-9"/>
          <w:sz w:val="24"/>
        </w:rPr>
        <w:t xml:space="preserve"> </w:t>
      </w:r>
      <w:r>
        <w:rPr>
          <w:sz w:val="24"/>
        </w:rPr>
        <w:t>environment, and to provide leadership when</w:t>
      </w:r>
      <w:r>
        <w:rPr>
          <w:spacing w:val="-1"/>
          <w:sz w:val="24"/>
        </w:rPr>
        <w:t xml:space="preserve"> </w:t>
      </w:r>
      <w:r>
        <w:rPr>
          <w:sz w:val="24"/>
        </w:rPr>
        <w:t>required.</w:t>
      </w:r>
    </w:p>
    <w:p w14:paraId="1E246328" w14:textId="3094B987" w:rsidR="000C3250" w:rsidRDefault="000C3250" w:rsidP="000C3250">
      <w:pPr>
        <w:pStyle w:val="ListParagraph"/>
        <w:widowControl w:val="0"/>
        <w:numPr>
          <w:ilvl w:val="0"/>
          <w:numId w:val="26"/>
        </w:numPr>
        <w:tabs>
          <w:tab w:val="clear" w:pos="567"/>
          <w:tab w:val="clear" w:pos="1134"/>
          <w:tab w:val="clear" w:pos="1701"/>
          <w:tab w:val="left" w:pos="684"/>
        </w:tabs>
        <w:autoSpaceDE w:val="0"/>
        <w:autoSpaceDN w:val="0"/>
        <w:spacing w:after="120"/>
        <w:ind w:left="680" w:right="227"/>
        <w:rPr>
          <w:sz w:val="24"/>
        </w:rPr>
      </w:pPr>
      <w:r>
        <w:rPr>
          <w:sz w:val="24"/>
        </w:rPr>
        <w:t>Demonstrated ability to apply the principles of quality improvement and practice development and</w:t>
      </w:r>
      <w:r>
        <w:rPr>
          <w:spacing w:val="-17"/>
          <w:sz w:val="24"/>
        </w:rPr>
        <w:t xml:space="preserve"> </w:t>
      </w:r>
      <w:r>
        <w:rPr>
          <w:sz w:val="24"/>
        </w:rPr>
        <w:t>use</w:t>
      </w:r>
      <w:r>
        <w:rPr>
          <w:spacing w:val="-17"/>
          <w:sz w:val="24"/>
        </w:rPr>
        <w:t xml:space="preserve"> </w:t>
      </w:r>
      <w:r>
        <w:rPr>
          <w:sz w:val="24"/>
        </w:rPr>
        <w:t>an</w:t>
      </w:r>
      <w:r>
        <w:rPr>
          <w:spacing w:val="-19"/>
          <w:sz w:val="24"/>
        </w:rPr>
        <w:t xml:space="preserve"> </w:t>
      </w:r>
      <w:r>
        <w:rPr>
          <w:sz w:val="24"/>
        </w:rPr>
        <w:t>evidence</w:t>
      </w:r>
      <w:r>
        <w:rPr>
          <w:spacing w:val="-18"/>
          <w:sz w:val="24"/>
        </w:rPr>
        <w:t xml:space="preserve"> </w:t>
      </w:r>
      <w:r>
        <w:rPr>
          <w:sz w:val="24"/>
        </w:rPr>
        <w:t>base</w:t>
      </w:r>
      <w:r>
        <w:rPr>
          <w:spacing w:val="-18"/>
          <w:sz w:val="24"/>
        </w:rPr>
        <w:t xml:space="preserve"> </w:t>
      </w:r>
      <w:r>
        <w:rPr>
          <w:sz w:val="24"/>
        </w:rPr>
        <w:t>and</w:t>
      </w:r>
      <w:r>
        <w:rPr>
          <w:spacing w:val="-17"/>
          <w:sz w:val="24"/>
        </w:rPr>
        <w:t xml:space="preserve"> </w:t>
      </w:r>
      <w:r>
        <w:rPr>
          <w:sz w:val="24"/>
        </w:rPr>
        <w:t>nursing</w:t>
      </w:r>
      <w:r>
        <w:rPr>
          <w:spacing w:val="-17"/>
          <w:sz w:val="24"/>
        </w:rPr>
        <w:t xml:space="preserve"> </w:t>
      </w:r>
      <w:r>
        <w:rPr>
          <w:sz w:val="24"/>
        </w:rPr>
        <w:t>research</w:t>
      </w:r>
      <w:r>
        <w:rPr>
          <w:spacing w:val="-17"/>
          <w:sz w:val="24"/>
        </w:rPr>
        <w:t xml:space="preserve"> </w:t>
      </w:r>
      <w:r>
        <w:rPr>
          <w:sz w:val="24"/>
        </w:rPr>
        <w:t>to</w:t>
      </w:r>
      <w:r>
        <w:rPr>
          <w:spacing w:val="-18"/>
          <w:sz w:val="24"/>
        </w:rPr>
        <w:t xml:space="preserve"> </w:t>
      </w:r>
      <w:r>
        <w:rPr>
          <w:sz w:val="24"/>
        </w:rPr>
        <w:t>effect</w:t>
      </w:r>
      <w:r>
        <w:rPr>
          <w:spacing w:val="-19"/>
          <w:sz w:val="24"/>
        </w:rPr>
        <w:t xml:space="preserve"> </w:t>
      </w:r>
      <w:r>
        <w:rPr>
          <w:sz w:val="24"/>
        </w:rPr>
        <w:t>change</w:t>
      </w:r>
      <w:r>
        <w:rPr>
          <w:spacing w:val="-18"/>
          <w:sz w:val="24"/>
        </w:rPr>
        <w:t xml:space="preserve"> </w:t>
      </w:r>
      <w:r>
        <w:rPr>
          <w:sz w:val="24"/>
        </w:rPr>
        <w:t>in</w:t>
      </w:r>
      <w:r>
        <w:rPr>
          <w:spacing w:val="-16"/>
          <w:sz w:val="24"/>
        </w:rPr>
        <w:t xml:space="preserve"> </w:t>
      </w:r>
      <w:r>
        <w:rPr>
          <w:sz w:val="24"/>
        </w:rPr>
        <w:t>professional practice.</w:t>
      </w:r>
    </w:p>
    <w:p w14:paraId="74FCC28E" w14:textId="5E21D7F2" w:rsidR="000C3250" w:rsidRDefault="000C3250" w:rsidP="000C3250">
      <w:pPr>
        <w:pStyle w:val="ListParagraph"/>
        <w:widowControl w:val="0"/>
        <w:numPr>
          <w:ilvl w:val="0"/>
          <w:numId w:val="26"/>
        </w:numPr>
        <w:tabs>
          <w:tab w:val="clear" w:pos="567"/>
          <w:tab w:val="clear" w:pos="1134"/>
          <w:tab w:val="clear" w:pos="1701"/>
          <w:tab w:val="left" w:pos="684"/>
        </w:tabs>
        <w:autoSpaceDE w:val="0"/>
        <w:autoSpaceDN w:val="0"/>
        <w:spacing w:after="120"/>
        <w:ind w:left="680" w:right="230"/>
        <w:rPr>
          <w:sz w:val="24"/>
        </w:rPr>
      </w:pPr>
      <w:r>
        <w:rPr>
          <w:sz w:val="24"/>
        </w:rPr>
        <w:t>Demonstrated understanding of the professional and legislative requirements that govern practice, including the Nursing and Midwifery Board of Australia Professional Practice Framework, workplace health and safety, anti-discrimination, and</w:t>
      </w:r>
      <w:r>
        <w:rPr>
          <w:spacing w:val="-6"/>
          <w:sz w:val="24"/>
        </w:rPr>
        <w:t xml:space="preserve"> </w:t>
      </w:r>
      <w:r>
        <w:rPr>
          <w:sz w:val="24"/>
        </w:rPr>
        <w:t>diversity.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3BC5FCA"/>
    <w:multiLevelType w:val="hybridMultilevel"/>
    <w:tmpl w:val="1FE87074"/>
    <w:lvl w:ilvl="0" w:tplc="986E51D2">
      <w:start w:val="1"/>
      <w:numFmt w:val="decimal"/>
      <w:lvlText w:val="%1."/>
      <w:lvlJc w:val="left"/>
      <w:pPr>
        <w:ind w:left="683" w:hanging="567"/>
      </w:pPr>
      <w:rPr>
        <w:rFonts w:ascii="Gill Sans MT" w:eastAsia="Gill Sans MT" w:hAnsi="Gill Sans MT" w:cs="Gill Sans MT" w:hint="default"/>
        <w:spacing w:val="-14"/>
        <w:w w:val="100"/>
        <w:sz w:val="24"/>
        <w:szCs w:val="24"/>
        <w:lang w:val="en-AU" w:eastAsia="en-AU" w:bidi="en-AU"/>
      </w:rPr>
    </w:lvl>
    <w:lvl w:ilvl="1" w:tplc="74985DB8">
      <w:start w:val="1"/>
      <w:numFmt w:val="decimal"/>
      <w:lvlText w:val="%2"/>
      <w:lvlJc w:val="left"/>
      <w:pPr>
        <w:ind w:left="969" w:hanging="286"/>
      </w:pPr>
      <w:rPr>
        <w:rFonts w:ascii="Gill Sans MT" w:eastAsia="Gill Sans MT" w:hAnsi="Gill Sans MT" w:cs="Gill Sans MT" w:hint="default"/>
        <w:spacing w:val="-3"/>
        <w:w w:val="100"/>
        <w:sz w:val="24"/>
        <w:szCs w:val="24"/>
        <w:lang w:val="en-AU" w:eastAsia="en-AU" w:bidi="en-AU"/>
      </w:rPr>
    </w:lvl>
    <w:lvl w:ilvl="2" w:tplc="E5881072">
      <w:start w:val="1"/>
      <w:numFmt w:val="lowerLetter"/>
      <w:lvlText w:val="%3)"/>
      <w:lvlJc w:val="left"/>
      <w:pPr>
        <w:ind w:left="1250" w:hanging="281"/>
      </w:pPr>
      <w:rPr>
        <w:rFonts w:ascii="Gill Sans MT" w:eastAsia="Gill Sans MT" w:hAnsi="Gill Sans MT" w:cs="Gill Sans MT" w:hint="default"/>
        <w:spacing w:val="-34"/>
        <w:w w:val="100"/>
        <w:sz w:val="24"/>
        <w:szCs w:val="24"/>
        <w:lang w:val="en-AU" w:eastAsia="en-AU" w:bidi="en-AU"/>
      </w:rPr>
    </w:lvl>
    <w:lvl w:ilvl="3" w:tplc="474C7ADA">
      <w:numFmt w:val="bullet"/>
      <w:lvlText w:val="•"/>
      <w:lvlJc w:val="left"/>
      <w:pPr>
        <w:ind w:left="2315" w:hanging="281"/>
      </w:pPr>
      <w:rPr>
        <w:rFonts w:hint="default"/>
        <w:lang w:val="en-AU" w:eastAsia="en-AU" w:bidi="en-AU"/>
      </w:rPr>
    </w:lvl>
    <w:lvl w:ilvl="4" w:tplc="8A84842C">
      <w:numFmt w:val="bullet"/>
      <w:lvlText w:val="•"/>
      <w:lvlJc w:val="left"/>
      <w:pPr>
        <w:ind w:left="3371" w:hanging="281"/>
      </w:pPr>
      <w:rPr>
        <w:rFonts w:hint="default"/>
        <w:lang w:val="en-AU" w:eastAsia="en-AU" w:bidi="en-AU"/>
      </w:rPr>
    </w:lvl>
    <w:lvl w:ilvl="5" w:tplc="F006D83C">
      <w:numFmt w:val="bullet"/>
      <w:lvlText w:val="•"/>
      <w:lvlJc w:val="left"/>
      <w:pPr>
        <w:ind w:left="4427" w:hanging="281"/>
      </w:pPr>
      <w:rPr>
        <w:rFonts w:hint="default"/>
        <w:lang w:val="en-AU" w:eastAsia="en-AU" w:bidi="en-AU"/>
      </w:rPr>
    </w:lvl>
    <w:lvl w:ilvl="6" w:tplc="27904052">
      <w:numFmt w:val="bullet"/>
      <w:lvlText w:val="•"/>
      <w:lvlJc w:val="left"/>
      <w:pPr>
        <w:ind w:left="5483" w:hanging="281"/>
      </w:pPr>
      <w:rPr>
        <w:rFonts w:hint="default"/>
        <w:lang w:val="en-AU" w:eastAsia="en-AU" w:bidi="en-AU"/>
      </w:rPr>
    </w:lvl>
    <w:lvl w:ilvl="7" w:tplc="F19CA272">
      <w:numFmt w:val="bullet"/>
      <w:lvlText w:val="•"/>
      <w:lvlJc w:val="left"/>
      <w:pPr>
        <w:ind w:left="6539" w:hanging="281"/>
      </w:pPr>
      <w:rPr>
        <w:rFonts w:hint="default"/>
        <w:lang w:val="en-AU" w:eastAsia="en-AU" w:bidi="en-AU"/>
      </w:rPr>
    </w:lvl>
    <w:lvl w:ilvl="8" w:tplc="7E0C1B94">
      <w:numFmt w:val="bullet"/>
      <w:lvlText w:val="•"/>
      <w:lvlJc w:val="left"/>
      <w:pPr>
        <w:ind w:left="7594" w:hanging="281"/>
      </w:pPr>
      <w:rPr>
        <w:rFonts w:hint="default"/>
        <w:lang w:val="en-AU" w:eastAsia="en-AU" w:bidi="en-AU"/>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0553970"/>
    <w:multiLevelType w:val="hybridMultilevel"/>
    <w:tmpl w:val="62E08ACE"/>
    <w:lvl w:ilvl="0" w:tplc="80F237FC">
      <w:numFmt w:val="bullet"/>
      <w:lvlText w:val=""/>
      <w:lvlJc w:val="left"/>
      <w:pPr>
        <w:ind w:left="683" w:hanging="567"/>
      </w:pPr>
      <w:rPr>
        <w:rFonts w:ascii="Symbol" w:eastAsia="Symbol" w:hAnsi="Symbol" w:cs="Symbol" w:hint="default"/>
        <w:w w:val="100"/>
        <w:sz w:val="24"/>
        <w:szCs w:val="24"/>
        <w:lang w:val="en-AU" w:eastAsia="en-AU" w:bidi="en-AU"/>
      </w:rPr>
    </w:lvl>
    <w:lvl w:ilvl="1" w:tplc="10AAA730">
      <w:numFmt w:val="bullet"/>
      <w:lvlText w:val="•"/>
      <w:lvlJc w:val="left"/>
      <w:pPr>
        <w:ind w:left="1582" w:hanging="567"/>
      </w:pPr>
      <w:rPr>
        <w:rFonts w:hint="default"/>
        <w:lang w:val="en-AU" w:eastAsia="en-AU" w:bidi="en-AU"/>
      </w:rPr>
    </w:lvl>
    <w:lvl w:ilvl="2" w:tplc="8A207AF8">
      <w:numFmt w:val="bullet"/>
      <w:lvlText w:val="•"/>
      <w:lvlJc w:val="left"/>
      <w:pPr>
        <w:ind w:left="2485" w:hanging="567"/>
      </w:pPr>
      <w:rPr>
        <w:rFonts w:hint="default"/>
        <w:lang w:val="en-AU" w:eastAsia="en-AU" w:bidi="en-AU"/>
      </w:rPr>
    </w:lvl>
    <w:lvl w:ilvl="3" w:tplc="F2A094DE">
      <w:numFmt w:val="bullet"/>
      <w:lvlText w:val="•"/>
      <w:lvlJc w:val="left"/>
      <w:pPr>
        <w:ind w:left="3387" w:hanging="567"/>
      </w:pPr>
      <w:rPr>
        <w:rFonts w:hint="default"/>
        <w:lang w:val="en-AU" w:eastAsia="en-AU" w:bidi="en-AU"/>
      </w:rPr>
    </w:lvl>
    <w:lvl w:ilvl="4" w:tplc="A40E328C">
      <w:numFmt w:val="bullet"/>
      <w:lvlText w:val="•"/>
      <w:lvlJc w:val="left"/>
      <w:pPr>
        <w:ind w:left="4290" w:hanging="567"/>
      </w:pPr>
      <w:rPr>
        <w:rFonts w:hint="default"/>
        <w:lang w:val="en-AU" w:eastAsia="en-AU" w:bidi="en-AU"/>
      </w:rPr>
    </w:lvl>
    <w:lvl w:ilvl="5" w:tplc="75883D4E">
      <w:numFmt w:val="bullet"/>
      <w:lvlText w:val="•"/>
      <w:lvlJc w:val="left"/>
      <w:pPr>
        <w:ind w:left="5193" w:hanging="567"/>
      </w:pPr>
      <w:rPr>
        <w:rFonts w:hint="default"/>
        <w:lang w:val="en-AU" w:eastAsia="en-AU" w:bidi="en-AU"/>
      </w:rPr>
    </w:lvl>
    <w:lvl w:ilvl="6" w:tplc="5666DFF2">
      <w:numFmt w:val="bullet"/>
      <w:lvlText w:val="•"/>
      <w:lvlJc w:val="left"/>
      <w:pPr>
        <w:ind w:left="6095" w:hanging="567"/>
      </w:pPr>
      <w:rPr>
        <w:rFonts w:hint="default"/>
        <w:lang w:val="en-AU" w:eastAsia="en-AU" w:bidi="en-AU"/>
      </w:rPr>
    </w:lvl>
    <w:lvl w:ilvl="7" w:tplc="F8E2A680">
      <w:numFmt w:val="bullet"/>
      <w:lvlText w:val="•"/>
      <w:lvlJc w:val="left"/>
      <w:pPr>
        <w:ind w:left="6998" w:hanging="567"/>
      </w:pPr>
      <w:rPr>
        <w:rFonts w:hint="default"/>
        <w:lang w:val="en-AU" w:eastAsia="en-AU" w:bidi="en-AU"/>
      </w:rPr>
    </w:lvl>
    <w:lvl w:ilvl="8" w:tplc="FBF46776">
      <w:numFmt w:val="bullet"/>
      <w:lvlText w:val="•"/>
      <w:lvlJc w:val="left"/>
      <w:pPr>
        <w:ind w:left="7901" w:hanging="567"/>
      </w:pPr>
      <w:rPr>
        <w:rFonts w:hint="default"/>
        <w:lang w:val="en-AU" w:eastAsia="en-AU" w:bidi="en-AU"/>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ABB7A84"/>
    <w:multiLevelType w:val="hybridMultilevel"/>
    <w:tmpl w:val="B99285B4"/>
    <w:lvl w:ilvl="0" w:tplc="EC7031C6">
      <w:start w:val="1"/>
      <w:numFmt w:val="decimal"/>
      <w:lvlText w:val="%1."/>
      <w:lvlJc w:val="left"/>
      <w:pPr>
        <w:ind w:left="683" w:hanging="567"/>
      </w:pPr>
      <w:rPr>
        <w:rFonts w:ascii="Gill Sans MT" w:eastAsia="Gill Sans MT" w:hAnsi="Gill Sans MT" w:cs="Gill Sans MT" w:hint="default"/>
        <w:spacing w:val="-9"/>
        <w:w w:val="100"/>
        <w:sz w:val="24"/>
        <w:szCs w:val="24"/>
        <w:lang w:val="en-AU" w:eastAsia="en-AU" w:bidi="en-AU"/>
      </w:rPr>
    </w:lvl>
    <w:lvl w:ilvl="1" w:tplc="FA82E3B8">
      <w:numFmt w:val="bullet"/>
      <w:lvlText w:val="•"/>
      <w:lvlJc w:val="left"/>
      <w:pPr>
        <w:ind w:left="1582" w:hanging="567"/>
      </w:pPr>
      <w:rPr>
        <w:rFonts w:hint="default"/>
        <w:lang w:val="en-AU" w:eastAsia="en-AU" w:bidi="en-AU"/>
      </w:rPr>
    </w:lvl>
    <w:lvl w:ilvl="2" w:tplc="A7CA8BDE">
      <w:numFmt w:val="bullet"/>
      <w:lvlText w:val="•"/>
      <w:lvlJc w:val="left"/>
      <w:pPr>
        <w:ind w:left="2485" w:hanging="567"/>
      </w:pPr>
      <w:rPr>
        <w:rFonts w:hint="default"/>
        <w:lang w:val="en-AU" w:eastAsia="en-AU" w:bidi="en-AU"/>
      </w:rPr>
    </w:lvl>
    <w:lvl w:ilvl="3" w:tplc="3F005788">
      <w:numFmt w:val="bullet"/>
      <w:lvlText w:val="•"/>
      <w:lvlJc w:val="left"/>
      <w:pPr>
        <w:ind w:left="3387" w:hanging="567"/>
      </w:pPr>
      <w:rPr>
        <w:rFonts w:hint="default"/>
        <w:lang w:val="en-AU" w:eastAsia="en-AU" w:bidi="en-AU"/>
      </w:rPr>
    </w:lvl>
    <w:lvl w:ilvl="4" w:tplc="6160197C">
      <w:numFmt w:val="bullet"/>
      <w:lvlText w:val="•"/>
      <w:lvlJc w:val="left"/>
      <w:pPr>
        <w:ind w:left="4290" w:hanging="567"/>
      </w:pPr>
      <w:rPr>
        <w:rFonts w:hint="default"/>
        <w:lang w:val="en-AU" w:eastAsia="en-AU" w:bidi="en-AU"/>
      </w:rPr>
    </w:lvl>
    <w:lvl w:ilvl="5" w:tplc="F146AC16">
      <w:numFmt w:val="bullet"/>
      <w:lvlText w:val="•"/>
      <w:lvlJc w:val="left"/>
      <w:pPr>
        <w:ind w:left="5193" w:hanging="567"/>
      </w:pPr>
      <w:rPr>
        <w:rFonts w:hint="default"/>
        <w:lang w:val="en-AU" w:eastAsia="en-AU" w:bidi="en-AU"/>
      </w:rPr>
    </w:lvl>
    <w:lvl w:ilvl="6" w:tplc="45F2AF02">
      <w:numFmt w:val="bullet"/>
      <w:lvlText w:val="•"/>
      <w:lvlJc w:val="left"/>
      <w:pPr>
        <w:ind w:left="6095" w:hanging="567"/>
      </w:pPr>
      <w:rPr>
        <w:rFonts w:hint="default"/>
        <w:lang w:val="en-AU" w:eastAsia="en-AU" w:bidi="en-AU"/>
      </w:rPr>
    </w:lvl>
    <w:lvl w:ilvl="7" w:tplc="8E98C22A">
      <w:numFmt w:val="bullet"/>
      <w:lvlText w:val="•"/>
      <w:lvlJc w:val="left"/>
      <w:pPr>
        <w:ind w:left="6998" w:hanging="567"/>
      </w:pPr>
      <w:rPr>
        <w:rFonts w:hint="default"/>
        <w:lang w:val="en-AU" w:eastAsia="en-AU" w:bidi="en-AU"/>
      </w:rPr>
    </w:lvl>
    <w:lvl w:ilvl="8" w:tplc="77E62B46">
      <w:numFmt w:val="bullet"/>
      <w:lvlText w:val="•"/>
      <w:lvlJc w:val="left"/>
      <w:pPr>
        <w:ind w:left="7901" w:hanging="567"/>
      </w:pPr>
      <w:rPr>
        <w:rFonts w:hint="default"/>
        <w:lang w:val="en-AU" w:eastAsia="en-AU" w:bidi="en-AU"/>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4"/>
  </w:num>
  <w:num w:numId="6">
    <w:abstractNumId w:val="10"/>
  </w:num>
  <w:num w:numId="7">
    <w:abstractNumId w:val="17"/>
  </w:num>
  <w:num w:numId="8">
    <w:abstractNumId w:val="0"/>
  </w:num>
  <w:num w:numId="9">
    <w:abstractNumId w:val="18"/>
  </w:num>
  <w:num w:numId="10">
    <w:abstractNumId w:val="15"/>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4"/>
  </w:num>
  <w:num w:numId="22">
    <w:abstractNumId w:val="7"/>
  </w:num>
  <w:num w:numId="23">
    <w:abstractNumId w:val="5"/>
  </w:num>
  <w:num w:numId="24">
    <w:abstractNumId w:val="9"/>
  </w:num>
  <w:num w:numId="25">
    <w:abstractNumId w:val="4"/>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250"/>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2B85"/>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71C73"/>
    <w:rsid w:val="00793C80"/>
    <w:rsid w:val="00793E83"/>
    <w:rsid w:val="007A158D"/>
    <w:rsid w:val="007A38CF"/>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5415C"/>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13140"/>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uiPriority w:val="99"/>
    <w:semiHidden/>
    <w:unhideWhenUsed/>
    <w:rsid w:val="00FB7923"/>
    <w:rPr>
      <w:sz w:val="16"/>
      <w:szCs w:val="16"/>
    </w:rPr>
  </w:style>
  <w:style w:type="paragraph" w:styleId="CommentText">
    <w:name w:val="annotation text"/>
    <w:basedOn w:val="Normal"/>
    <w:link w:val="CommentTextChar"/>
    <w:uiPriority w:val="99"/>
    <w:semiHidden/>
    <w:unhideWhenUsed/>
    <w:rsid w:val="00FB7923"/>
    <w:pPr>
      <w:spacing w:line="240" w:lineRule="auto"/>
    </w:pPr>
    <w:rPr>
      <w:sz w:val="20"/>
      <w:szCs w:val="20"/>
    </w:rPr>
  </w:style>
  <w:style w:type="character" w:customStyle="1" w:styleId="CommentTextChar">
    <w:name w:val="Comment Text Char"/>
    <w:basedOn w:val="DefaultParagraphFont"/>
    <w:link w:val="CommentText"/>
    <w:uiPriority w:val="99"/>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TableParagraph">
    <w:name w:val="Table Paragraph"/>
    <w:basedOn w:val="Normal"/>
    <w:uiPriority w:val="1"/>
    <w:qFormat/>
    <w:rsid w:val="00A13140"/>
    <w:pPr>
      <w:widowControl w:val="0"/>
      <w:autoSpaceDE w:val="0"/>
      <w:autoSpaceDN w:val="0"/>
      <w:spacing w:before="76" w:after="0" w:line="240" w:lineRule="auto"/>
      <w:ind w:left="107"/>
    </w:pPr>
    <w:rPr>
      <w:rFonts w:ascii="Gill Sans MT" w:eastAsia="Gill Sans MT" w:hAnsi="Gill Sans MT" w:cs="Gill Sans MT"/>
      <w:szCs w:val="2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O'Shannessy, Katherine S</cp:lastModifiedBy>
  <cp:revision>3</cp:revision>
  <cp:lastPrinted>2021-10-28T01:07:00Z</cp:lastPrinted>
  <dcterms:created xsi:type="dcterms:W3CDTF">2021-10-28T01:07:00Z</dcterms:created>
  <dcterms:modified xsi:type="dcterms:W3CDTF">2021-10-28T03:03:00Z</dcterms:modified>
</cp:coreProperties>
</file>