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012479D4" w14:textId="08E7511C" w:rsidR="00741955" w:rsidRDefault="00741955" w:rsidP="00B14519">
      <w:pPr>
        <w:shd w:val="clear" w:color="auto" w:fill="FFFFFF"/>
        <w:outlineLvl w:val="4"/>
        <w:rPr>
          <w:rFonts w:ascii="Palatino Linotype" w:hAnsi="Palatino Linotype"/>
          <w:b/>
          <w:bCs/>
          <w:color w:val="FFC000"/>
          <w:lang w:eastAsia="en-AU"/>
        </w:rPr>
      </w:pPr>
      <w:r>
        <w:rPr>
          <w:noProof/>
        </w:rPr>
        <w:drawing>
          <wp:inline distT="0" distB="0" distL="0" distR="0" wp14:anchorId="2D1F660E" wp14:editId="71F3BBD3">
            <wp:extent cx="2616200" cy="1744133"/>
            <wp:effectExtent l="0" t="0" r="0" b="8890"/>
            <wp:docPr id="295602840" name="Picture 29560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508" cy="1747005"/>
                    </a:xfrm>
                    <a:prstGeom prst="rect">
                      <a:avLst/>
                    </a:prstGeom>
                    <a:noFill/>
                    <a:ln>
                      <a:noFill/>
                    </a:ln>
                  </pic:spPr>
                </pic:pic>
              </a:graphicData>
            </a:graphic>
          </wp:inline>
        </w:drawing>
      </w:r>
    </w:p>
    <w:p w14:paraId="5EE22026" w14:textId="72CA5180" w:rsidR="00592B9F" w:rsidRDefault="000A1789" w:rsidP="009C32C6">
      <w:pPr>
        <w:shd w:val="clear" w:color="auto" w:fill="FFFFFF"/>
        <w:outlineLvl w:val="4"/>
        <w:rPr>
          <w:rFonts w:ascii="Palatino Linotype" w:hAnsi="Palatino Linotype"/>
          <w:b/>
          <w:bCs/>
          <w:color w:val="FFC000"/>
          <w:lang w:eastAsia="en-AU"/>
        </w:rPr>
      </w:pPr>
      <w:r>
        <w:rPr>
          <w:rFonts w:ascii="Palatino Linotype" w:hAnsi="Palatino Linotype"/>
          <w:b/>
          <w:bCs/>
          <w:color w:val="FFC000"/>
          <w:lang w:eastAsia="en-AU"/>
        </w:rPr>
        <w:t xml:space="preserve">A UNIQUE OPPORTUNITY </w:t>
      </w:r>
    </w:p>
    <w:p w14:paraId="701BD696" w14:textId="06190ABA" w:rsidR="009C32C6" w:rsidRPr="00BD2088" w:rsidRDefault="00592B9F" w:rsidP="009C32C6">
      <w:pPr>
        <w:shd w:val="clear" w:color="auto" w:fill="FFFFFF"/>
        <w:outlineLvl w:val="4"/>
        <w:rPr>
          <w:rFonts w:ascii="Palatino Linotype" w:hAnsi="Palatino Linotype"/>
          <w:b/>
          <w:bCs/>
          <w:color w:val="FFC000"/>
          <w:lang w:eastAsia="en-AU"/>
        </w:rPr>
      </w:pPr>
      <w:r>
        <w:rPr>
          <w:rFonts w:ascii="Palatino Linotype" w:hAnsi="Palatino Linotype"/>
          <w:b/>
          <w:bCs/>
          <w:color w:val="FFC000"/>
          <w:lang w:eastAsia="en-AU"/>
        </w:rPr>
        <w:t>USE</w:t>
      </w:r>
      <w:r w:rsidR="000A1789">
        <w:rPr>
          <w:rFonts w:ascii="Palatino Linotype" w:hAnsi="Palatino Linotype"/>
          <w:b/>
          <w:bCs/>
          <w:color w:val="FFC000"/>
          <w:lang w:eastAsia="en-AU"/>
        </w:rPr>
        <w:t xml:space="preserve"> YOUR SYSTEMS SKILLS OR </w:t>
      </w:r>
      <w:r w:rsidR="0051481C">
        <w:rPr>
          <w:rFonts w:ascii="Palatino Linotype" w:hAnsi="Palatino Linotype"/>
          <w:b/>
          <w:bCs/>
          <w:color w:val="FFC000"/>
          <w:lang w:eastAsia="en-AU"/>
        </w:rPr>
        <w:t xml:space="preserve">TAKE THE FIRST STEP </w:t>
      </w:r>
      <w:proofErr w:type="gramStart"/>
      <w:r w:rsidR="0051481C">
        <w:rPr>
          <w:rFonts w:ascii="Palatino Linotype" w:hAnsi="Palatino Linotype"/>
          <w:b/>
          <w:bCs/>
          <w:color w:val="FFC000"/>
          <w:lang w:eastAsia="en-AU"/>
        </w:rPr>
        <w:t xml:space="preserve">TO </w:t>
      </w:r>
      <w:r w:rsidR="000A1789">
        <w:rPr>
          <w:rFonts w:ascii="Palatino Linotype" w:hAnsi="Palatino Linotype"/>
          <w:b/>
          <w:bCs/>
          <w:color w:val="FFC000"/>
          <w:lang w:eastAsia="en-AU"/>
        </w:rPr>
        <w:t xml:space="preserve"> START</w:t>
      </w:r>
      <w:proofErr w:type="gramEnd"/>
      <w:r w:rsidR="000A1789">
        <w:rPr>
          <w:rFonts w:ascii="Palatino Linotype" w:hAnsi="Palatino Linotype"/>
          <w:b/>
          <w:bCs/>
          <w:color w:val="FFC000"/>
          <w:lang w:eastAsia="en-AU"/>
        </w:rPr>
        <w:t xml:space="preserve"> A CAREER IN HUMAN RESOU</w:t>
      </w:r>
      <w:r w:rsidR="0051481C">
        <w:rPr>
          <w:rFonts w:ascii="Palatino Linotype" w:hAnsi="Palatino Linotype"/>
          <w:b/>
          <w:bCs/>
          <w:color w:val="FFC000"/>
          <w:lang w:eastAsia="en-AU"/>
        </w:rPr>
        <w:t>R</w:t>
      </w:r>
      <w:r w:rsidR="000A1789">
        <w:rPr>
          <w:rFonts w:ascii="Palatino Linotype" w:hAnsi="Palatino Linotype"/>
          <w:b/>
          <w:bCs/>
          <w:color w:val="FFC000"/>
          <w:lang w:eastAsia="en-AU"/>
        </w:rPr>
        <w:t>CES</w:t>
      </w:r>
      <w:r w:rsidR="00814162">
        <w:rPr>
          <w:rFonts w:ascii="Palatino Linotype" w:hAnsi="Palatino Linotype"/>
          <w:b/>
          <w:bCs/>
          <w:color w:val="FFC000"/>
          <w:lang w:eastAsia="en-AU"/>
        </w:rPr>
        <w:t xml:space="preserve"> (HR)</w:t>
      </w:r>
    </w:p>
    <w:p w14:paraId="2EED5958" w14:textId="77777777" w:rsidR="009C32C6" w:rsidRDefault="009C32C6" w:rsidP="00BD2088">
      <w:pPr>
        <w:shd w:val="clear" w:color="auto" w:fill="FFFFFF"/>
        <w:outlineLvl w:val="4"/>
        <w:rPr>
          <w:rFonts w:ascii="Palatino Linotype" w:hAnsi="Palatino Linotype"/>
          <w:b/>
          <w:bCs/>
          <w:color w:val="FFC000"/>
          <w:lang w:eastAsia="en-AU"/>
        </w:rPr>
      </w:pPr>
    </w:p>
    <w:p w14:paraId="49914DAF" w14:textId="2B376EA1" w:rsidR="009C32C6" w:rsidRDefault="0051481C" w:rsidP="00BD2088">
      <w:pPr>
        <w:shd w:val="clear" w:color="auto" w:fill="FFFFFF"/>
        <w:outlineLvl w:val="4"/>
        <w:rPr>
          <w:rFonts w:ascii="Palatino Linotype" w:hAnsi="Palatino Linotype"/>
          <w:color w:val="000000" w:themeColor="text1"/>
          <w:sz w:val="20"/>
          <w:szCs w:val="20"/>
          <w:lang w:eastAsia="en-AU"/>
        </w:rPr>
      </w:pPr>
      <w:r w:rsidRPr="0051481C">
        <w:rPr>
          <w:rFonts w:ascii="Palatino Linotype" w:hAnsi="Palatino Linotype"/>
          <w:color w:val="000000" w:themeColor="text1"/>
          <w:sz w:val="20"/>
          <w:szCs w:val="20"/>
          <w:lang w:eastAsia="en-AU"/>
        </w:rPr>
        <w:t xml:space="preserve">These roles will suit </w:t>
      </w:r>
      <w:r>
        <w:rPr>
          <w:rFonts w:ascii="Palatino Linotype" w:hAnsi="Palatino Linotype"/>
          <w:color w:val="000000" w:themeColor="text1"/>
          <w:sz w:val="20"/>
          <w:szCs w:val="20"/>
          <w:lang w:eastAsia="en-AU"/>
        </w:rPr>
        <w:t xml:space="preserve">a range of backgrounds, from those with existing HR </w:t>
      </w:r>
      <w:r w:rsidR="009710F4">
        <w:rPr>
          <w:rFonts w:ascii="Palatino Linotype" w:hAnsi="Palatino Linotype"/>
          <w:color w:val="000000" w:themeColor="text1"/>
          <w:sz w:val="20"/>
          <w:szCs w:val="20"/>
          <w:lang w:eastAsia="en-AU"/>
        </w:rPr>
        <w:t>system skills, to those wanting to start a career or people looking to consolidate their IT/systems skills in an environment prepared to train</w:t>
      </w:r>
      <w:r w:rsidR="00F5035F">
        <w:rPr>
          <w:rFonts w:ascii="Palatino Linotype" w:hAnsi="Palatino Linotype"/>
          <w:color w:val="000000" w:themeColor="text1"/>
          <w:sz w:val="20"/>
          <w:szCs w:val="20"/>
          <w:lang w:eastAsia="en-AU"/>
        </w:rPr>
        <w:t>, develop</w:t>
      </w:r>
      <w:r w:rsidR="009710F4">
        <w:rPr>
          <w:rFonts w:ascii="Palatino Linotype" w:hAnsi="Palatino Linotype"/>
          <w:color w:val="000000" w:themeColor="text1"/>
          <w:sz w:val="20"/>
          <w:szCs w:val="20"/>
          <w:lang w:eastAsia="en-AU"/>
        </w:rPr>
        <w:t xml:space="preserve"> and support you.</w:t>
      </w:r>
    </w:p>
    <w:p w14:paraId="60C45F2B" w14:textId="77777777" w:rsidR="00F5035F" w:rsidRDefault="00F5035F" w:rsidP="00BD2088">
      <w:pPr>
        <w:shd w:val="clear" w:color="auto" w:fill="FFFFFF"/>
        <w:outlineLvl w:val="4"/>
        <w:rPr>
          <w:rFonts w:ascii="Palatino Linotype" w:hAnsi="Palatino Linotype"/>
          <w:color w:val="000000" w:themeColor="text1"/>
          <w:sz w:val="20"/>
          <w:szCs w:val="20"/>
          <w:lang w:eastAsia="en-AU"/>
        </w:rPr>
      </w:pPr>
    </w:p>
    <w:p w14:paraId="7CEC9368" w14:textId="4503EFC2" w:rsidR="00F97329" w:rsidRDefault="00F5035F" w:rsidP="00BD2088">
      <w:pPr>
        <w:shd w:val="clear" w:color="auto" w:fill="FFFFFF"/>
        <w:outlineLvl w:val="4"/>
        <w:rPr>
          <w:rFonts w:ascii="Palatino Linotype" w:hAnsi="Palatino Linotype"/>
          <w:color w:val="000000" w:themeColor="text1"/>
          <w:sz w:val="20"/>
          <w:szCs w:val="20"/>
          <w:lang w:eastAsia="en-AU"/>
        </w:rPr>
      </w:pPr>
      <w:r>
        <w:rPr>
          <w:rFonts w:ascii="Palatino Linotype" w:hAnsi="Palatino Linotype"/>
          <w:color w:val="000000" w:themeColor="text1"/>
          <w:sz w:val="20"/>
          <w:szCs w:val="20"/>
          <w:lang w:eastAsia="en-AU"/>
        </w:rPr>
        <w:t xml:space="preserve">The key requirement for these roles </w:t>
      </w:r>
      <w:proofErr w:type="gramStart"/>
      <w:r>
        <w:rPr>
          <w:rFonts w:ascii="Palatino Linotype" w:hAnsi="Palatino Linotype"/>
          <w:color w:val="000000" w:themeColor="text1"/>
          <w:sz w:val="20"/>
          <w:szCs w:val="20"/>
          <w:lang w:eastAsia="en-AU"/>
        </w:rPr>
        <w:t>are</w:t>
      </w:r>
      <w:proofErr w:type="gramEnd"/>
      <w:r>
        <w:rPr>
          <w:rFonts w:ascii="Palatino Linotype" w:hAnsi="Palatino Linotype"/>
          <w:color w:val="000000" w:themeColor="text1"/>
          <w:sz w:val="20"/>
          <w:szCs w:val="20"/>
          <w:lang w:eastAsia="en-AU"/>
        </w:rPr>
        <w:t xml:space="preserve"> general </w:t>
      </w:r>
      <w:r w:rsidR="002669A0">
        <w:rPr>
          <w:rFonts w:ascii="Palatino Linotype" w:hAnsi="Palatino Linotype"/>
          <w:color w:val="000000" w:themeColor="text1"/>
          <w:sz w:val="20"/>
          <w:szCs w:val="20"/>
          <w:lang w:eastAsia="en-AU"/>
        </w:rPr>
        <w:t>data and</w:t>
      </w:r>
      <w:r w:rsidR="001E2444">
        <w:rPr>
          <w:rFonts w:ascii="Palatino Linotype" w:hAnsi="Palatino Linotype"/>
          <w:color w:val="000000" w:themeColor="text1"/>
          <w:sz w:val="20"/>
          <w:szCs w:val="20"/>
          <w:lang w:eastAsia="en-AU"/>
        </w:rPr>
        <w:t xml:space="preserve"> system maintenance and administration skills, and we will train you in </w:t>
      </w:r>
      <w:r w:rsidR="00014FB7">
        <w:rPr>
          <w:rFonts w:ascii="Palatino Linotype" w:hAnsi="Palatino Linotype"/>
          <w:color w:val="000000" w:themeColor="text1"/>
          <w:sz w:val="20"/>
          <w:szCs w:val="20"/>
          <w:lang w:eastAsia="en-AU"/>
        </w:rPr>
        <w:t>the rest if that’s what you need</w:t>
      </w:r>
      <w:r w:rsidR="001E2444">
        <w:rPr>
          <w:rFonts w:ascii="Palatino Linotype" w:hAnsi="Palatino Linotype"/>
          <w:color w:val="000000" w:themeColor="text1"/>
          <w:sz w:val="20"/>
          <w:szCs w:val="20"/>
          <w:lang w:eastAsia="en-AU"/>
        </w:rPr>
        <w:t xml:space="preserve">.  We are </w:t>
      </w:r>
      <w:r w:rsidR="00646E96">
        <w:rPr>
          <w:rFonts w:ascii="Palatino Linotype" w:hAnsi="Palatino Linotype"/>
          <w:color w:val="000000" w:themeColor="text1"/>
          <w:sz w:val="20"/>
          <w:szCs w:val="20"/>
          <w:lang w:eastAsia="en-AU"/>
        </w:rPr>
        <w:t xml:space="preserve">keen and </w:t>
      </w:r>
      <w:r w:rsidR="001E2444">
        <w:rPr>
          <w:rFonts w:ascii="Palatino Linotype" w:hAnsi="Palatino Linotype"/>
          <w:color w:val="000000" w:themeColor="text1"/>
          <w:sz w:val="20"/>
          <w:szCs w:val="20"/>
          <w:lang w:eastAsia="en-AU"/>
        </w:rPr>
        <w:t xml:space="preserve">willing to do this as we </w:t>
      </w:r>
      <w:r w:rsidR="00646E96">
        <w:rPr>
          <w:rFonts w:ascii="Palatino Linotype" w:hAnsi="Palatino Linotype"/>
          <w:color w:val="000000" w:themeColor="text1"/>
          <w:sz w:val="20"/>
          <w:szCs w:val="20"/>
          <w:lang w:eastAsia="en-AU"/>
        </w:rPr>
        <w:t xml:space="preserve">want to bring great people to </w:t>
      </w:r>
      <w:proofErr w:type="gramStart"/>
      <w:r w:rsidR="00646E96">
        <w:rPr>
          <w:rFonts w:ascii="Palatino Linotype" w:hAnsi="Palatino Linotype"/>
          <w:color w:val="000000" w:themeColor="text1"/>
          <w:sz w:val="20"/>
          <w:szCs w:val="20"/>
          <w:lang w:eastAsia="en-AU"/>
        </w:rPr>
        <w:t>PAHSMA</w:t>
      </w:r>
      <w:proofErr w:type="gramEnd"/>
      <w:r w:rsidR="00646E96">
        <w:rPr>
          <w:rFonts w:ascii="Palatino Linotype" w:hAnsi="Palatino Linotype"/>
          <w:color w:val="000000" w:themeColor="text1"/>
          <w:sz w:val="20"/>
          <w:szCs w:val="20"/>
          <w:lang w:eastAsia="en-AU"/>
        </w:rPr>
        <w:t xml:space="preserve"> and</w:t>
      </w:r>
      <w:r w:rsidR="00390AFB">
        <w:rPr>
          <w:rFonts w:ascii="Palatino Linotype" w:hAnsi="Palatino Linotype"/>
          <w:color w:val="000000" w:themeColor="text1"/>
          <w:sz w:val="20"/>
          <w:szCs w:val="20"/>
          <w:lang w:eastAsia="en-AU"/>
        </w:rPr>
        <w:t xml:space="preserve"> we</w:t>
      </w:r>
      <w:r w:rsidR="00646E96">
        <w:rPr>
          <w:rFonts w:ascii="Palatino Linotype" w:hAnsi="Palatino Linotype"/>
          <w:color w:val="000000" w:themeColor="text1"/>
          <w:sz w:val="20"/>
          <w:szCs w:val="20"/>
          <w:lang w:eastAsia="en-AU"/>
        </w:rPr>
        <w:t xml:space="preserve"> </w:t>
      </w:r>
      <w:r w:rsidR="001E2444">
        <w:rPr>
          <w:rFonts w:ascii="Palatino Linotype" w:hAnsi="Palatino Linotype"/>
          <w:color w:val="000000" w:themeColor="text1"/>
          <w:sz w:val="20"/>
          <w:szCs w:val="20"/>
          <w:lang w:eastAsia="en-AU"/>
        </w:rPr>
        <w:t xml:space="preserve">know our site can seem a long way away to some people </w:t>
      </w:r>
      <w:r w:rsidR="00C77B7C">
        <w:rPr>
          <w:rFonts w:ascii="Palatino Linotype" w:hAnsi="Palatino Linotype"/>
          <w:color w:val="000000" w:themeColor="text1"/>
          <w:sz w:val="20"/>
          <w:szCs w:val="20"/>
          <w:lang w:eastAsia="en-AU"/>
        </w:rPr>
        <w:t>even when we have great opportunities on offer</w:t>
      </w:r>
      <w:r w:rsidR="00F97329">
        <w:rPr>
          <w:rFonts w:ascii="Palatino Linotype" w:hAnsi="Palatino Linotype"/>
          <w:color w:val="000000" w:themeColor="text1"/>
          <w:sz w:val="20"/>
          <w:szCs w:val="20"/>
          <w:lang w:eastAsia="en-AU"/>
        </w:rPr>
        <w:t>.</w:t>
      </w:r>
      <w:r w:rsidR="00FB6278">
        <w:rPr>
          <w:rFonts w:ascii="Palatino Linotype" w:hAnsi="Palatino Linotype"/>
          <w:color w:val="000000" w:themeColor="text1"/>
          <w:sz w:val="20"/>
          <w:szCs w:val="20"/>
          <w:lang w:eastAsia="en-AU"/>
        </w:rPr>
        <w:t xml:space="preserve"> These roles will allow you to build good foundations in HR, </w:t>
      </w:r>
      <w:r w:rsidR="00E35795">
        <w:rPr>
          <w:rFonts w:ascii="Palatino Linotype" w:hAnsi="Palatino Linotype"/>
          <w:color w:val="000000" w:themeColor="text1"/>
          <w:sz w:val="20"/>
          <w:szCs w:val="20"/>
          <w:lang w:eastAsia="en-AU"/>
        </w:rPr>
        <w:t xml:space="preserve">to expand your systems skills and knowledge and to learn and grow to become a </w:t>
      </w:r>
      <w:r w:rsidR="00522520">
        <w:rPr>
          <w:rFonts w:ascii="Palatino Linotype" w:hAnsi="Palatino Linotype"/>
          <w:color w:val="000000" w:themeColor="text1"/>
          <w:sz w:val="20"/>
          <w:szCs w:val="20"/>
          <w:lang w:eastAsia="en-AU"/>
        </w:rPr>
        <w:t>System Super User.</w:t>
      </w:r>
      <w:r w:rsidR="00505A43">
        <w:rPr>
          <w:rFonts w:ascii="Palatino Linotype" w:hAnsi="Palatino Linotype"/>
          <w:color w:val="000000" w:themeColor="text1"/>
          <w:sz w:val="20"/>
          <w:szCs w:val="20"/>
          <w:lang w:eastAsia="en-AU"/>
        </w:rPr>
        <w:t xml:space="preserve">  You will develop a range of skills to useful for expanding your career portfolio</w:t>
      </w:r>
      <w:r w:rsidR="00E35795">
        <w:rPr>
          <w:rFonts w:ascii="Palatino Linotype" w:hAnsi="Palatino Linotype"/>
          <w:color w:val="000000" w:themeColor="text1"/>
          <w:sz w:val="20"/>
          <w:szCs w:val="20"/>
          <w:lang w:eastAsia="en-AU"/>
        </w:rPr>
        <w:tab/>
      </w:r>
    </w:p>
    <w:p w14:paraId="33ECC4CE" w14:textId="05694C5E" w:rsidR="009C32C6" w:rsidRDefault="00F97329" w:rsidP="00BD2088">
      <w:pPr>
        <w:shd w:val="clear" w:color="auto" w:fill="FFFFFF"/>
        <w:outlineLvl w:val="4"/>
        <w:rPr>
          <w:rFonts w:ascii="Palatino Linotype" w:hAnsi="Palatino Linotype"/>
          <w:b/>
          <w:bCs/>
          <w:color w:val="FFC000"/>
          <w:lang w:eastAsia="en-AU"/>
        </w:rPr>
      </w:pPr>
      <w:r>
        <w:rPr>
          <w:rFonts w:ascii="Palatino Linotype" w:hAnsi="Palatino Linotype"/>
          <w:color w:val="000000" w:themeColor="text1"/>
          <w:sz w:val="20"/>
          <w:szCs w:val="20"/>
          <w:lang w:eastAsia="en-AU"/>
        </w:rPr>
        <w:t xml:space="preserve">These roles offer hybrid </w:t>
      </w:r>
      <w:proofErr w:type="gramStart"/>
      <w:r w:rsidR="006117BF">
        <w:rPr>
          <w:rFonts w:ascii="Palatino Linotype" w:hAnsi="Palatino Linotype"/>
          <w:color w:val="000000" w:themeColor="text1"/>
          <w:sz w:val="20"/>
          <w:szCs w:val="20"/>
          <w:lang w:eastAsia="en-AU"/>
        </w:rPr>
        <w:t>working  arrangements</w:t>
      </w:r>
      <w:proofErr w:type="gramEnd"/>
      <w:r w:rsidR="006117BF">
        <w:rPr>
          <w:rFonts w:ascii="Palatino Linotype" w:hAnsi="Palatino Linotype"/>
          <w:color w:val="000000" w:themeColor="text1"/>
          <w:sz w:val="20"/>
          <w:szCs w:val="20"/>
          <w:lang w:eastAsia="en-AU"/>
        </w:rPr>
        <w:t xml:space="preserve">, so </w:t>
      </w:r>
      <w:proofErr w:type="spellStart"/>
      <w:r w:rsidR="006117BF">
        <w:rPr>
          <w:rFonts w:ascii="Palatino Linotype" w:hAnsi="Palatino Linotype"/>
          <w:color w:val="000000" w:themeColor="text1"/>
          <w:sz w:val="20"/>
          <w:szCs w:val="20"/>
          <w:lang w:eastAsia="en-AU"/>
        </w:rPr>
        <w:t>lets</w:t>
      </w:r>
      <w:proofErr w:type="spellEnd"/>
      <w:r w:rsidR="006117BF">
        <w:rPr>
          <w:rFonts w:ascii="Palatino Linotype" w:hAnsi="Palatino Linotype"/>
          <w:color w:val="000000" w:themeColor="text1"/>
          <w:sz w:val="20"/>
          <w:szCs w:val="20"/>
          <w:lang w:eastAsia="en-AU"/>
        </w:rPr>
        <w:t xml:space="preserve"> see </w:t>
      </w:r>
      <w:r w:rsidR="008571BD">
        <w:rPr>
          <w:rFonts w:ascii="Palatino Linotype" w:hAnsi="Palatino Linotype"/>
          <w:color w:val="000000" w:themeColor="text1"/>
          <w:sz w:val="20"/>
          <w:szCs w:val="20"/>
          <w:lang w:eastAsia="en-AU"/>
        </w:rPr>
        <w:t>i</w:t>
      </w:r>
      <w:r w:rsidR="006117BF">
        <w:rPr>
          <w:rFonts w:ascii="Palatino Linotype" w:hAnsi="Palatino Linotype"/>
          <w:color w:val="000000" w:themeColor="text1"/>
          <w:sz w:val="20"/>
          <w:szCs w:val="20"/>
          <w:lang w:eastAsia="en-AU"/>
        </w:rPr>
        <w:t>f we can negotiate something that works for you</w:t>
      </w:r>
      <w:r w:rsidR="00DA7B74">
        <w:rPr>
          <w:rFonts w:ascii="Palatino Linotype" w:hAnsi="Palatino Linotype"/>
          <w:color w:val="000000" w:themeColor="text1"/>
          <w:sz w:val="20"/>
          <w:szCs w:val="20"/>
          <w:lang w:eastAsia="en-AU"/>
        </w:rPr>
        <w:t>.  We have unique workplaces at Port Arthur and in South Hobart.</w:t>
      </w:r>
    </w:p>
    <w:p w14:paraId="6B03B1F2" w14:textId="2156BC16" w:rsidR="009C32C6" w:rsidRDefault="00A777AA" w:rsidP="00B14519">
      <w:pPr>
        <w:shd w:val="clear" w:color="auto" w:fill="FFFFFF"/>
        <w:ind w:right="-71"/>
        <w:outlineLvl w:val="4"/>
        <w:rPr>
          <w:rFonts w:ascii="Palatino Linotype" w:hAnsi="Palatino Linotype"/>
          <w:b/>
          <w:bCs/>
          <w:color w:val="FFC000"/>
          <w:lang w:eastAsia="en-AU"/>
        </w:rPr>
      </w:pPr>
      <w:r>
        <w:rPr>
          <w:noProof/>
        </w:rPr>
        <w:drawing>
          <wp:inline distT="0" distB="0" distL="0" distR="0" wp14:anchorId="2D6038D2" wp14:editId="75FD7E6E">
            <wp:extent cx="1562100" cy="1041400"/>
            <wp:effectExtent l="0" t="0" r="0" b="6350"/>
            <wp:docPr id="1897488401" name="Picture 1" descr="A person standing on a rock with a backp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88401" name="Picture 1" descr="A person standing on a rock with a backpac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inline>
        </w:drawing>
      </w:r>
      <w:r w:rsidR="00AB1D98" w:rsidRPr="00AB1D98">
        <w:rPr>
          <w:noProof/>
        </w:rPr>
        <w:t xml:space="preserve"> </w:t>
      </w:r>
      <w:r w:rsidR="00AB1D98">
        <w:rPr>
          <w:noProof/>
        </w:rPr>
        <w:drawing>
          <wp:inline distT="0" distB="0" distL="0" distR="0" wp14:anchorId="3015E7F6" wp14:editId="269F5154">
            <wp:extent cx="1536700" cy="1024466"/>
            <wp:effectExtent l="0" t="0" r="6350" b="4445"/>
            <wp:docPr id="4" name="Picture 3" descr="A person in a kayak o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in a kayak on wa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563" cy="1026374"/>
                    </a:xfrm>
                    <a:prstGeom prst="rect">
                      <a:avLst/>
                    </a:prstGeom>
                    <a:noFill/>
                    <a:ln>
                      <a:noFill/>
                    </a:ln>
                  </pic:spPr>
                </pic:pic>
              </a:graphicData>
            </a:graphic>
          </wp:inline>
        </w:drawing>
      </w:r>
    </w:p>
    <w:p w14:paraId="16DC291A" w14:textId="77777777" w:rsidR="009C32C6" w:rsidRDefault="009C32C6" w:rsidP="00BD2088">
      <w:pPr>
        <w:shd w:val="clear" w:color="auto" w:fill="FFFFFF"/>
        <w:outlineLvl w:val="4"/>
        <w:rPr>
          <w:rFonts w:ascii="Palatino Linotype" w:hAnsi="Palatino Linotype"/>
          <w:b/>
          <w:bCs/>
          <w:color w:val="FFC000"/>
          <w:lang w:eastAsia="en-AU"/>
        </w:rPr>
      </w:pPr>
    </w:p>
    <w:p w14:paraId="10F55B8A" w14:textId="77777777" w:rsidR="005A3E1D" w:rsidRDefault="005A3E1D" w:rsidP="00BD2088">
      <w:pPr>
        <w:shd w:val="clear" w:color="auto" w:fill="FFFFFF"/>
        <w:outlineLvl w:val="4"/>
        <w:rPr>
          <w:rFonts w:ascii="Palatino Linotype" w:hAnsi="Palatino Linotype"/>
          <w:sz w:val="20"/>
          <w:szCs w:val="20"/>
          <w:lang w:eastAsia="en-AU"/>
        </w:rPr>
      </w:pPr>
    </w:p>
    <w:p w14:paraId="468EE18D" w14:textId="2B8305CF" w:rsidR="005A3E1D" w:rsidRDefault="005A3E1D" w:rsidP="00BD2088">
      <w:pPr>
        <w:shd w:val="clear" w:color="auto" w:fill="FFFFFF"/>
        <w:outlineLvl w:val="4"/>
        <w:rPr>
          <w:rFonts w:ascii="Palatino Linotype" w:hAnsi="Palatino Linotype"/>
          <w:sz w:val="20"/>
          <w:szCs w:val="20"/>
          <w:lang w:eastAsia="en-AU"/>
        </w:rPr>
      </w:pPr>
      <w:r>
        <w:rPr>
          <w:rFonts w:ascii="Palatino Linotype" w:hAnsi="Palatino Linotype"/>
          <w:color w:val="000000" w:themeColor="text1"/>
          <w:sz w:val="20"/>
          <w:szCs w:val="20"/>
          <w:lang w:eastAsia="en-AU"/>
        </w:rPr>
        <w:t xml:space="preserve">You might </w:t>
      </w:r>
      <w:r w:rsidR="00B14519">
        <w:rPr>
          <w:rFonts w:ascii="Palatino Linotype" w:hAnsi="Palatino Linotype"/>
          <w:color w:val="000000" w:themeColor="text1"/>
          <w:sz w:val="20"/>
          <w:szCs w:val="20"/>
          <w:lang w:eastAsia="en-AU"/>
        </w:rPr>
        <w:t xml:space="preserve">already </w:t>
      </w:r>
      <w:r>
        <w:rPr>
          <w:rFonts w:ascii="Palatino Linotype" w:hAnsi="Palatino Linotype"/>
          <w:color w:val="000000" w:themeColor="text1"/>
          <w:sz w:val="20"/>
          <w:szCs w:val="20"/>
          <w:lang w:eastAsia="en-AU"/>
        </w:rPr>
        <w:t xml:space="preserve">live down our way, or find that our low cost accommodation at Port Arthur provides the perfect opportunity for a low cost holiday lifestyle for someone looking </w:t>
      </w:r>
      <w:proofErr w:type="gramStart"/>
      <w:r>
        <w:rPr>
          <w:rFonts w:ascii="Palatino Linotype" w:hAnsi="Palatino Linotype"/>
          <w:color w:val="000000" w:themeColor="text1"/>
          <w:sz w:val="20"/>
          <w:szCs w:val="20"/>
          <w:lang w:eastAsia="en-AU"/>
        </w:rPr>
        <w:t>for  relaxation</w:t>
      </w:r>
      <w:proofErr w:type="gramEnd"/>
      <w:r>
        <w:rPr>
          <w:rFonts w:ascii="Palatino Linotype" w:hAnsi="Palatino Linotype"/>
          <w:color w:val="000000" w:themeColor="text1"/>
          <w:sz w:val="20"/>
          <w:szCs w:val="20"/>
          <w:lang w:eastAsia="en-AU"/>
        </w:rPr>
        <w:t xml:space="preserve"> or adventure</w:t>
      </w:r>
      <w:r w:rsidR="00B14519">
        <w:rPr>
          <w:rFonts w:ascii="Palatino Linotype" w:hAnsi="Palatino Linotype"/>
          <w:color w:val="000000" w:themeColor="text1"/>
          <w:sz w:val="20"/>
          <w:szCs w:val="20"/>
          <w:lang w:eastAsia="en-AU"/>
        </w:rPr>
        <w:t>. SO many options.</w:t>
      </w:r>
    </w:p>
    <w:p w14:paraId="102F00BC" w14:textId="726FB789" w:rsidR="009C32C6" w:rsidRDefault="00F02837" w:rsidP="005A3E1D">
      <w:pPr>
        <w:shd w:val="clear" w:color="auto" w:fill="FFFFFF"/>
        <w:spacing w:before="120" w:after="120"/>
        <w:outlineLvl w:val="4"/>
        <w:rPr>
          <w:rFonts w:ascii="Palatino Linotype" w:hAnsi="Palatino Linotype"/>
          <w:sz w:val="20"/>
          <w:szCs w:val="20"/>
          <w:lang w:eastAsia="en-AU"/>
        </w:rPr>
      </w:pPr>
      <w:r>
        <w:rPr>
          <w:rFonts w:ascii="Palatino Linotype" w:hAnsi="Palatino Linotype"/>
          <w:sz w:val="20"/>
          <w:szCs w:val="20"/>
          <w:lang w:eastAsia="en-AU"/>
        </w:rPr>
        <w:t xml:space="preserve">These opportunities would suit </w:t>
      </w:r>
      <w:r w:rsidR="00780FE2">
        <w:rPr>
          <w:rFonts w:ascii="Palatino Linotype" w:hAnsi="Palatino Linotype"/>
          <w:sz w:val="20"/>
          <w:szCs w:val="20"/>
          <w:lang w:eastAsia="en-AU"/>
        </w:rPr>
        <w:t>such diverse applicants -y</w:t>
      </w:r>
      <w:r w:rsidRPr="00F02837">
        <w:rPr>
          <w:rFonts w:ascii="Palatino Linotype" w:hAnsi="Palatino Linotype"/>
          <w:sz w:val="20"/>
          <w:szCs w:val="20"/>
          <w:lang w:eastAsia="en-AU"/>
        </w:rPr>
        <w:t>ou really should give us a call to find out more</w:t>
      </w:r>
      <w:r>
        <w:rPr>
          <w:rFonts w:ascii="Palatino Linotype" w:hAnsi="Palatino Linotype"/>
          <w:sz w:val="20"/>
          <w:szCs w:val="20"/>
          <w:lang w:eastAsia="en-AU"/>
        </w:rPr>
        <w:t>.</w:t>
      </w:r>
    </w:p>
    <w:p w14:paraId="36CBE27E" w14:textId="6F69E78C" w:rsidR="00780FE2" w:rsidRDefault="00AF7B74" w:rsidP="00BD2088">
      <w:pPr>
        <w:shd w:val="clear" w:color="auto" w:fill="FFFFFF"/>
        <w:outlineLvl w:val="4"/>
        <w:rPr>
          <w:rFonts w:ascii="Palatino Linotype" w:hAnsi="Palatino Linotype"/>
          <w:color w:val="FFC000"/>
          <w:lang w:eastAsia="en-AU"/>
        </w:rPr>
      </w:pPr>
      <w:r w:rsidRPr="00AF7B74">
        <w:rPr>
          <w:rFonts w:ascii="Palatino Linotype" w:hAnsi="Palatino Linotype"/>
          <w:color w:val="FFC000"/>
          <w:lang w:eastAsia="en-AU"/>
        </w:rPr>
        <w:t>ALL</w:t>
      </w:r>
      <w:r w:rsidR="00780FE2" w:rsidRPr="00AF7B74">
        <w:rPr>
          <w:rFonts w:ascii="Palatino Linotype" w:hAnsi="Palatino Linotype"/>
          <w:color w:val="FFC000"/>
          <w:lang w:eastAsia="en-AU"/>
        </w:rPr>
        <w:t xml:space="preserve"> YOU NEED TO BRING</w:t>
      </w:r>
    </w:p>
    <w:p w14:paraId="27A55304" w14:textId="4DD2177A" w:rsidR="00AF7B74" w:rsidRPr="008571BD" w:rsidRDefault="00AE5D2B" w:rsidP="008571BD">
      <w:pPr>
        <w:pStyle w:val="ListParagraph"/>
        <w:numPr>
          <w:ilvl w:val="0"/>
          <w:numId w:val="23"/>
        </w:numPr>
        <w:shd w:val="clear" w:color="auto" w:fill="FFFFFF"/>
        <w:spacing w:before="120" w:after="120"/>
        <w:ind w:left="709"/>
        <w:outlineLvl w:val="4"/>
        <w:rPr>
          <w:rFonts w:ascii="Palatino Linotype" w:hAnsi="Palatino Linotype"/>
          <w:sz w:val="20"/>
          <w:szCs w:val="20"/>
          <w:lang w:eastAsia="en-AU"/>
        </w:rPr>
      </w:pPr>
      <w:r w:rsidRPr="008571BD">
        <w:rPr>
          <w:rFonts w:ascii="Palatino Linotype" w:hAnsi="Palatino Linotype"/>
          <w:sz w:val="20"/>
          <w:szCs w:val="20"/>
          <w:lang w:eastAsia="en-AU"/>
        </w:rPr>
        <w:t>Is a great attitude and can do approach</w:t>
      </w:r>
    </w:p>
    <w:p w14:paraId="1B8625CD" w14:textId="1C89ACD2" w:rsidR="008571BD" w:rsidRPr="008571BD" w:rsidRDefault="008571BD" w:rsidP="008571BD">
      <w:pPr>
        <w:pStyle w:val="ListParagraph"/>
        <w:numPr>
          <w:ilvl w:val="0"/>
          <w:numId w:val="23"/>
        </w:numPr>
        <w:shd w:val="clear" w:color="auto" w:fill="FFFFFF"/>
        <w:spacing w:before="120" w:after="120"/>
        <w:ind w:left="709"/>
        <w:outlineLvl w:val="4"/>
        <w:rPr>
          <w:rFonts w:ascii="Palatino Linotype" w:hAnsi="Palatino Linotype"/>
          <w:sz w:val="20"/>
          <w:szCs w:val="20"/>
          <w:lang w:eastAsia="en-AU"/>
        </w:rPr>
      </w:pPr>
      <w:r w:rsidRPr="008571BD">
        <w:rPr>
          <w:rFonts w:ascii="Palatino Linotype" w:hAnsi="Palatino Linotype"/>
          <w:sz w:val="20"/>
          <w:szCs w:val="20"/>
          <w:lang w:eastAsia="en-AU"/>
        </w:rPr>
        <w:t>Values that align with ours</w:t>
      </w:r>
    </w:p>
    <w:p w14:paraId="71B986EF" w14:textId="100CB64B" w:rsidR="00AE5D2B" w:rsidRPr="008571BD" w:rsidRDefault="008571BD" w:rsidP="008571BD">
      <w:pPr>
        <w:pStyle w:val="ListParagraph"/>
        <w:numPr>
          <w:ilvl w:val="0"/>
          <w:numId w:val="23"/>
        </w:numPr>
        <w:shd w:val="clear" w:color="auto" w:fill="FFFFFF"/>
        <w:spacing w:before="120" w:after="120"/>
        <w:ind w:left="709"/>
        <w:outlineLvl w:val="4"/>
        <w:rPr>
          <w:rFonts w:ascii="Palatino Linotype" w:hAnsi="Palatino Linotype"/>
          <w:sz w:val="20"/>
          <w:szCs w:val="20"/>
          <w:lang w:eastAsia="en-AU"/>
        </w:rPr>
      </w:pPr>
      <w:r w:rsidRPr="008571BD">
        <w:rPr>
          <w:rFonts w:ascii="Palatino Linotype" w:hAnsi="Palatino Linotype"/>
          <w:sz w:val="20"/>
          <w:szCs w:val="20"/>
          <w:lang w:eastAsia="en-AU"/>
        </w:rPr>
        <w:t>Flexibility, adaptability, proactivity and creativity</w:t>
      </w:r>
    </w:p>
    <w:p w14:paraId="06FA4543" w14:textId="68C8B195" w:rsidR="00AF7B74" w:rsidRPr="008571BD" w:rsidRDefault="008571BD" w:rsidP="008571BD">
      <w:pPr>
        <w:pStyle w:val="ListParagraph"/>
        <w:numPr>
          <w:ilvl w:val="0"/>
          <w:numId w:val="23"/>
        </w:numPr>
        <w:shd w:val="clear" w:color="auto" w:fill="FFFFFF"/>
        <w:spacing w:before="120" w:after="120"/>
        <w:ind w:left="709"/>
        <w:outlineLvl w:val="4"/>
        <w:rPr>
          <w:rFonts w:ascii="Palatino Linotype" w:hAnsi="Palatino Linotype"/>
          <w:sz w:val="20"/>
          <w:szCs w:val="20"/>
          <w:lang w:eastAsia="en-AU"/>
        </w:rPr>
      </w:pPr>
      <w:proofErr w:type="gramStart"/>
      <w:r w:rsidRPr="008571BD">
        <w:rPr>
          <w:rFonts w:ascii="Palatino Linotype" w:hAnsi="Palatino Linotype"/>
          <w:sz w:val="20"/>
          <w:szCs w:val="20"/>
          <w:lang w:eastAsia="en-AU"/>
        </w:rPr>
        <w:t xml:space="preserve">and </w:t>
      </w:r>
      <w:r w:rsidR="00AF7B74" w:rsidRPr="008571BD">
        <w:rPr>
          <w:rFonts w:ascii="Palatino Linotype" w:hAnsi="Palatino Linotype"/>
          <w:sz w:val="20"/>
          <w:szCs w:val="20"/>
          <w:lang w:eastAsia="en-AU"/>
        </w:rPr>
        <w:t xml:space="preserve"> maybe</w:t>
      </w:r>
      <w:proofErr w:type="gramEnd"/>
      <w:r w:rsidR="00AF7B74" w:rsidRPr="008571BD">
        <w:rPr>
          <w:rFonts w:ascii="Palatino Linotype" w:hAnsi="Palatino Linotype"/>
          <w:sz w:val="20"/>
          <w:szCs w:val="20"/>
          <w:lang w:eastAsia="en-AU"/>
        </w:rPr>
        <w:t xml:space="preserve"> a kayak, a surf board or walking shoes if you’re interested in staying down our way for a while</w:t>
      </w:r>
    </w:p>
    <w:p w14:paraId="540CD783" w14:textId="0A33B801"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 xml:space="preserve">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w:t>
      </w:r>
      <w:proofErr w:type="spellStart"/>
      <w:r w:rsidRPr="00BD2088">
        <w:rPr>
          <w:rFonts w:ascii="Palatino Linotype" w:hAnsi="Palatino Linotype"/>
          <w:sz w:val="20"/>
          <w:szCs w:val="20"/>
          <w:lang w:eastAsia="en-AU"/>
        </w:rPr>
        <w:t>lutruwita</w:t>
      </w:r>
      <w:proofErr w:type="spellEnd"/>
      <w:r w:rsidRPr="00BD2088">
        <w:rPr>
          <w:rFonts w:ascii="Palatino Linotype" w:hAnsi="Palatino Linotype"/>
          <w:sz w:val="20"/>
          <w:szCs w:val="20"/>
          <w:lang w:eastAsia="en-AU"/>
        </w:rPr>
        <w:t>/Tasmania,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11"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232BB6" w:rsidP="007C3B02">
      <w:pPr>
        <w:shd w:val="clear" w:color="auto" w:fill="FFFFFF"/>
        <w:spacing w:line="276" w:lineRule="auto"/>
        <w:outlineLvl w:val="4"/>
        <w:rPr>
          <w:rFonts w:ascii="Palatino Linotype" w:hAnsi="Palatino Linotype"/>
          <w:sz w:val="20"/>
          <w:szCs w:val="20"/>
          <w:lang w:eastAsia="en-AU"/>
        </w:rPr>
      </w:pPr>
      <w:hyperlink r:id="rId12" w:history="1">
        <w:r w:rsidR="007C3B02" w:rsidRPr="002911EC">
          <w:rPr>
            <w:rStyle w:val="Hyperlink"/>
            <w:rFonts w:ascii="Palatino Linotype" w:hAnsi="Palatino Linotype"/>
            <w:sz w:val="20"/>
            <w:szCs w:val="20"/>
            <w:lang w:eastAsia="en-AU"/>
          </w:rPr>
          <w:t>www.coalmines.org.au</w:t>
        </w:r>
      </w:hyperlink>
      <w:r w:rsidR="007C3B02">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12E4857B" w14:textId="77777777" w:rsidR="00390AFB" w:rsidRDefault="00390AFB" w:rsidP="00A53BA6">
      <w:pPr>
        <w:shd w:val="clear" w:color="auto" w:fill="FFFFFF"/>
        <w:outlineLvl w:val="4"/>
        <w:rPr>
          <w:rFonts w:ascii="Palatino Linotype" w:hAnsi="Palatino Linotype"/>
          <w:b/>
          <w:color w:val="F2A90A"/>
          <w:lang w:eastAsia="en-AU"/>
        </w:rPr>
      </w:pPr>
    </w:p>
    <w:p w14:paraId="2415501B" w14:textId="05A4808E"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3"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w:t>
      </w:r>
      <w:proofErr w:type="spellStart"/>
      <w:r w:rsidRPr="00380F2F">
        <w:rPr>
          <w:rFonts w:ascii="Palatino Linotype" w:hAnsi="Palatino Linotype" w:cs="Calibri"/>
          <w:color w:val="000000" w:themeColor="text1"/>
          <w:sz w:val="20"/>
          <w:szCs w:val="20"/>
          <w:lang w:eastAsia="en-AU"/>
        </w:rPr>
        <w:t>eg</w:t>
      </w:r>
      <w:proofErr w:type="spellEnd"/>
      <w:r w:rsidRPr="00380F2F">
        <w:rPr>
          <w:rFonts w:ascii="Palatino Linotype" w:hAnsi="Palatino Linotype" w:cs="Calibri"/>
          <w:color w:val="000000" w:themeColor="text1"/>
          <w:sz w:val="20"/>
          <w:szCs w:val="20"/>
          <w:lang w:eastAsia="en-AU"/>
        </w:rPr>
        <w:t xml:space="preserve">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12243F81" w14:textId="77777777" w:rsidR="00D06D45" w:rsidRDefault="00B6548D" w:rsidP="00E64432">
      <w:pPr>
        <w:pStyle w:val="NormalWeb"/>
        <w:spacing w:before="0" w:beforeAutospacing="0" w:after="0" w:afterAutospacing="0"/>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5EDD0A84" w14:textId="102E7DDA" w:rsidR="00F3255A" w:rsidRDefault="00DC472D" w:rsidP="00D06D45">
      <w:pPr>
        <w:pStyle w:val="NormalWeb"/>
        <w:spacing w:before="0" w:beforeAutospacing="0" w:after="0" w:afterAutospacing="0"/>
      </w:pPr>
      <w:r>
        <w:t>Brie Christ</w:t>
      </w:r>
      <w:r w:rsidR="00C32E1A">
        <w:t>od</w:t>
      </w:r>
      <w:r w:rsidR="007C7A74">
        <w:t>oulou</w:t>
      </w:r>
      <w:r w:rsidR="00F3255A">
        <w:t xml:space="preserve"> (The BelRose Group)</w:t>
      </w:r>
    </w:p>
    <w:p w14:paraId="28E50B10" w14:textId="09B7AA91" w:rsidR="00D06D45" w:rsidRDefault="007C7A74" w:rsidP="00D06D45">
      <w:pPr>
        <w:pStyle w:val="NormalWeb"/>
        <w:spacing w:before="0" w:beforeAutospacing="0" w:after="0" w:afterAutospacing="0"/>
      </w:pPr>
      <w:r>
        <w:t>04</w:t>
      </w:r>
      <w:r w:rsidR="002B0004">
        <w:t xml:space="preserve">05 </w:t>
      </w:r>
      <w:r w:rsidR="00232BB6">
        <w:t>123 145</w:t>
      </w:r>
      <w:r w:rsidR="00440BEC" w:rsidRPr="00440BEC">
        <w:br/>
      </w:r>
      <w:r w:rsidR="00232BB6">
        <w:t>Brie</w:t>
      </w:r>
      <w:r w:rsidR="00F3255A">
        <w:t>@BelRoseGroup.com.au</w:t>
      </w:r>
    </w:p>
    <w:p w14:paraId="77066497" w14:textId="77777777" w:rsidR="00440BEC" w:rsidRDefault="00440BEC" w:rsidP="00D06D45">
      <w:pPr>
        <w:pStyle w:val="NormalWeb"/>
        <w:spacing w:before="0" w:beforeAutospacing="0" w:after="0" w:afterAutospacing="0"/>
      </w:pPr>
    </w:p>
    <w:p w14:paraId="12757E39" w14:textId="77777777" w:rsidR="00440BEC" w:rsidRPr="00F74A01" w:rsidRDefault="00440BEC" w:rsidP="00D06D45">
      <w:pPr>
        <w:pStyle w:val="NormalWeb"/>
        <w:spacing w:before="0" w:beforeAutospacing="0" w:after="0" w:afterAutospacing="0"/>
        <w:rPr>
          <w:rFonts w:ascii="Palatino Linotype" w:eastAsia="Gill Sans MT" w:hAnsi="Palatino Linotype" w:cs="Times New Roman (Body CS)"/>
          <w:color w:val="000000" w:themeColor="text1"/>
          <w:sz w:val="14"/>
          <w:szCs w:val="20"/>
        </w:rPr>
      </w:pPr>
    </w:p>
    <w:p w14:paraId="39C6DD82" w14:textId="397DC658"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w:t>
      </w:r>
      <w:r w:rsidR="00E64432">
        <w:rPr>
          <w:rFonts w:ascii="Palatino Linotype" w:eastAsia="Gill Sans MT" w:hAnsi="Palatino Linotype" w:cs="Times New Roman (Body CS)"/>
          <w:b/>
          <w:color w:val="000000" w:themeColor="text1"/>
          <w:sz w:val="20"/>
          <w:szCs w:val="20"/>
        </w:rPr>
        <w:t>team</w:t>
      </w:r>
      <w:r w:rsidRPr="005D231B">
        <w:rPr>
          <w:rFonts w:ascii="Palatino Linotype" w:eastAsia="Gill Sans MT" w:hAnsi="Palatino Linotype" w:cs="Times New Roman (Body CS)"/>
          <w:b/>
          <w:color w:val="000000" w:themeColor="text1"/>
          <w:sz w:val="20"/>
          <w:szCs w:val="20"/>
        </w:rPr>
        <w:t xml:space="preserve">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p w14:paraId="1F15AE19" w14:textId="77777777" w:rsidR="00390AFB" w:rsidRDefault="00390AFB"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p>
    <w:p w14:paraId="1CFC0231" w14:textId="77777777" w:rsidR="00390AFB" w:rsidRDefault="00390AFB"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p>
    <w:p w14:paraId="3B1666E9" w14:textId="77777777" w:rsidR="00390AFB" w:rsidRDefault="00390AFB"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p>
    <w:p w14:paraId="510FC0A1" w14:textId="6234B95D" w:rsidR="00390AFB" w:rsidRPr="0070597F" w:rsidRDefault="005A3E1D" w:rsidP="00390AFB">
      <w:pPr>
        <w:shd w:val="clear" w:color="auto" w:fill="FFFFFF"/>
        <w:outlineLvl w:val="4"/>
        <w:rPr>
          <w:rFonts w:ascii="Palatino Linotype" w:hAnsi="Palatino Linotype"/>
          <w:b/>
          <w:bCs/>
          <w:i/>
          <w:iCs/>
          <w:sz w:val="16"/>
          <w:szCs w:val="16"/>
          <w:lang w:eastAsia="en-AU"/>
        </w:rPr>
      </w:pPr>
      <w:r>
        <w:rPr>
          <w:rFonts w:ascii="Palatino Linotype" w:hAnsi="Palatino Linotype"/>
          <w:b/>
          <w:bCs/>
          <w:i/>
          <w:iCs/>
          <w:sz w:val="16"/>
          <w:szCs w:val="16"/>
          <w:lang w:eastAsia="en-AU"/>
        </w:rPr>
        <w:t>P</w:t>
      </w:r>
      <w:r w:rsidR="00390AFB" w:rsidRPr="0070597F">
        <w:rPr>
          <w:rFonts w:ascii="Palatino Linotype" w:hAnsi="Palatino Linotype"/>
          <w:b/>
          <w:bCs/>
          <w:i/>
          <w:iCs/>
          <w:sz w:val="16"/>
          <w:szCs w:val="16"/>
          <w:lang w:eastAsia="en-AU"/>
        </w:rPr>
        <w:t xml:space="preserve">hoto credits </w:t>
      </w:r>
      <w:r w:rsidR="00390AFB">
        <w:rPr>
          <w:rFonts w:ascii="Palatino Linotype" w:hAnsi="Palatino Linotype"/>
          <w:b/>
          <w:bCs/>
          <w:i/>
          <w:iCs/>
          <w:sz w:val="16"/>
          <w:szCs w:val="16"/>
          <w:lang w:eastAsia="en-AU"/>
        </w:rPr>
        <w:t xml:space="preserve">Tasmanian </w:t>
      </w:r>
      <w:r w:rsidR="00390AFB" w:rsidRPr="0070597F">
        <w:rPr>
          <w:rFonts w:ascii="Palatino Linotype" w:hAnsi="Palatino Linotype"/>
          <w:b/>
          <w:bCs/>
          <w:i/>
          <w:iCs/>
          <w:sz w:val="16"/>
          <w:szCs w:val="16"/>
          <w:lang w:eastAsia="en-AU"/>
        </w:rPr>
        <w:t xml:space="preserve">Parks </w:t>
      </w:r>
      <w:r w:rsidR="00390AFB">
        <w:rPr>
          <w:rFonts w:ascii="Palatino Linotype" w:hAnsi="Palatino Linotype"/>
          <w:b/>
          <w:bCs/>
          <w:i/>
          <w:iCs/>
          <w:sz w:val="16"/>
          <w:szCs w:val="16"/>
          <w:lang w:eastAsia="en-AU"/>
        </w:rPr>
        <w:t xml:space="preserve">and </w:t>
      </w:r>
      <w:r w:rsidR="00390AFB" w:rsidRPr="0070597F">
        <w:rPr>
          <w:rFonts w:ascii="Palatino Linotype" w:hAnsi="Palatino Linotype"/>
          <w:b/>
          <w:bCs/>
          <w:i/>
          <w:iCs/>
          <w:sz w:val="16"/>
          <w:szCs w:val="16"/>
          <w:lang w:eastAsia="en-AU"/>
        </w:rPr>
        <w:t xml:space="preserve">Wildlife, Tourism Tasmania </w:t>
      </w:r>
      <w:r w:rsidR="00390AFB">
        <w:rPr>
          <w:rFonts w:ascii="Palatino Linotype" w:hAnsi="Palatino Linotype"/>
          <w:b/>
          <w:bCs/>
          <w:i/>
          <w:iCs/>
          <w:sz w:val="16"/>
          <w:szCs w:val="16"/>
          <w:lang w:eastAsia="en-AU"/>
        </w:rPr>
        <w:t xml:space="preserve">and Tourism </w:t>
      </w:r>
      <w:r w:rsidR="00390AFB" w:rsidRPr="0070597F">
        <w:rPr>
          <w:rFonts w:ascii="Palatino Linotype" w:hAnsi="Palatino Linotype"/>
          <w:b/>
          <w:bCs/>
          <w:i/>
          <w:iCs/>
          <w:sz w:val="16"/>
          <w:szCs w:val="16"/>
          <w:lang w:eastAsia="en-AU"/>
        </w:rPr>
        <w:t>Australia</w:t>
      </w:r>
    </w:p>
    <w:p w14:paraId="645DD380" w14:textId="77777777" w:rsidR="00390AFB" w:rsidRDefault="00390AFB" w:rsidP="00390AFB">
      <w:pPr>
        <w:shd w:val="clear" w:color="auto" w:fill="FFFFFF"/>
        <w:outlineLvl w:val="4"/>
        <w:rPr>
          <w:rFonts w:ascii="Palatino Linotype" w:hAnsi="Palatino Linotype"/>
          <w:b/>
          <w:bCs/>
          <w:color w:val="FFC000"/>
          <w:lang w:eastAsia="en-AU"/>
        </w:rPr>
      </w:pPr>
    </w:p>
    <w:p w14:paraId="284A30EB" w14:textId="77777777" w:rsidR="00390AFB" w:rsidRPr="00FE326B" w:rsidRDefault="00390AFB"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p>
    <w:sectPr w:rsidR="00390AFB" w:rsidRPr="00FE326B" w:rsidSect="005A3E1D">
      <w:headerReference w:type="default" r:id="rId14"/>
      <w:footerReference w:type="default" r:id="rId15"/>
      <w:pgSz w:w="11906" w:h="16838" w:code="9"/>
      <w:pgMar w:top="2269" w:right="567" w:bottom="1418"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7DD50" w14:textId="77777777" w:rsidR="006D7607" w:rsidRDefault="006D7607" w:rsidP="00DD7527">
      <w:r>
        <w:separator/>
      </w:r>
    </w:p>
  </w:endnote>
  <w:endnote w:type="continuationSeparator" w:id="0">
    <w:p w14:paraId="31F05964" w14:textId="77777777" w:rsidR="006D7607" w:rsidRDefault="006D7607" w:rsidP="00DD7527">
      <w:r>
        <w:continuationSeparator/>
      </w:r>
    </w:p>
  </w:endnote>
  <w:endnote w:type="continuationNotice" w:id="1">
    <w:p w14:paraId="1FCF0566" w14:textId="77777777" w:rsidR="008A4520" w:rsidRDefault="008A4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GillSan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charset w:val="00"/>
    <w:family w:val="swiss"/>
    <w:pitch w:val="variable"/>
    <w:sig w:usb0="00000007" w:usb1="00000000" w:usb2="00000000" w:usb3="00000000" w:csb0="0000000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58240"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333460672" name="Picture 333460672"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963610451" name="Picture 9636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58241"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ABA50" w14:textId="77777777" w:rsidR="006D7607" w:rsidRDefault="006D7607" w:rsidP="00DD7527">
      <w:r>
        <w:separator/>
      </w:r>
    </w:p>
  </w:footnote>
  <w:footnote w:type="continuationSeparator" w:id="0">
    <w:p w14:paraId="166524F8" w14:textId="77777777" w:rsidR="006D7607" w:rsidRDefault="006D7607" w:rsidP="00DD7527">
      <w:r>
        <w:continuationSeparator/>
      </w:r>
    </w:p>
  </w:footnote>
  <w:footnote w:type="continuationNotice" w:id="1">
    <w:p w14:paraId="27FDEA95" w14:textId="77777777" w:rsidR="008A4520" w:rsidRDefault="008A4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58243"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58242"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331301407" name="Picture 331301407"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743C8"/>
    <w:multiLevelType w:val="hybridMultilevel"/>
    <w:tmpl w:val="60B0A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72590263"/>
    <w:multiLevelType w:val="hybridMultilevel"/>
    <w:tmpl w:val="6BB8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2"/>
  </w:num>
  <w:num w:numId="3" w16cid:durableId="573274970">
    <w:abstractNumId w:val="5"/>
  </w:num>
  <w:num w:numId="4" w16cid:durableId="864714195">
    <w:abstractNumId w:val="19"/>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20"/>
  </w:num>
  <w:num w:numId="10" w16cid:durableId="525682452">
    <w:abstractNumId w:val="18"/>
  </w:num>
  <w:num w:numId="11" w16cid:durableId="193423399">
    <w:abstractNumId w:val="3"/>
  </w:num>
  <w:num w:numId="12" w16cid:durableId="1785685354">
    <w:abstractNumId w:val="17"/>
  </w:num>
  <w:num w:numId="13" w16cid:durableId="468089962">
    <w:abstractNumId w:val="14"/>
  </w:num>
  <w:num w:numId="14" w16cid:durableId="72360394">
    <w:abstractNumId w:val="6"/>
  </w:num>
  <w:num w:numId="15" w16cid:durableId="1204054055">
    <w:abstractNumId w:val="13"/>
  </w:num>
  <w:num w:numId="16" w16cid:durableId="1325744938">
    <w:abstractNumId w:val="11"/>
  </w:num>
  <w:num w:numId="17" w16cid:durableId="1185485726">
    <w:abstractNumId w:val="8"/>
  </w:num>
  <w:num w:numId="18" w16cid:durableId="1672291199">
    <w:abstractNumId w:val="4"/>
  </w:num>
  <w:num w:numId="19" w16cid:durableId="2084520051">
    <w:abstractNumId w:val="12"/>
  </w:num>
  <w:num w:numId="20" w16cid:durableId="536427088">
    <w:abstractNumId w:val="16"/>
  </w:num>
  <w:num w:numId="21" w16cid:durableId="742945089">
    <w:abstractNumId w:val="15"/>
  </w:num>
  <w:num w:numId="22" w16cid:durableId="1791126227">
    <w:abstractNumId w:val="10"/>
  </w:num>
  <w:num w:numId="23" w16cid:durableId="12954049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14FB7"/>
    <w:rsid w:val="000224A9"/>
    <w:rsid w:val="00026A7E"/>
    <w:rsid w:val="00083002"/>
    <w:rsid w:val="00084874"/>
    <w:rsid w:val="00087F3E"/>
    <w:rsid w:val="000A1789"/>
    <w:rsid w:val="000A4063"/>
    <w:rsid w:val="000C4F1D"/>
    <w:rsid w:val="000F2C27"/>
    <w:rsid w:val="000F7731"/>
    <w:rsid w:val="001007FE"/>
    <w:rsid w:val="00110119"/>
    <w:rsid w:val="00120E05"/>
    <w:rsid w:val="00126629"/>
    <w:rsid w:val="00131322"/>
    <w:rsid w:val="00133D0E"/>
    <w:rsid w:val="001451DD"/>
    <w:rsid w:val="00146EB9"/>
    <w:rsid w:val="0017408A"/>
    <w:rsid w:val="001829FF"/>
    <w:rsid w:val="001B6FE3"/>
    <w:rsid w:val="001E088B"/>
    <w:rsid w:val="001E2444"/>
    <w:rsid w:val="001F281B"/>
    <w:rsid w:val="0022790E"/>
    <w:rsid w:val="00232BB6"/>
    <w:rsid w:val="002669A0"/>
    <w:rsid w:val="002720F0"/>
    <w:rsid w:val="002754DA"/>
    <w:rsid w:val="002805E8"/>
    <w:rsid w:val="00281AEC"/>
    <w:rsid w:val="00291CC1"/>
    <w:rsid w:val="00295919"/>
    <w:rsid w:val="002B0004"/>
    <w:rsid w:val="002B15B9"/>
    <w:rsid w:val="002C6DD5"/>
    <w:rsid w:val="002F00E1"/>
    <w:rsid w:val="00314C4D"/>
    <w:rsid w:val="00367324"/>
    <w:rsid w:val="00373252"/>
    <w:rsid w:val="00380F2F"/>
    <w:rsid w:val="00390AFB"/>
    <w:rsid w:val="003B4E9A"/>
    <w:rsid w:val="003D6BA2"/>
    <w:rsid w:val="003E18FD"/>
    <w:rsid w:val="003F7413"/>
    <w:rsid w:val="004053D0"/>
    <w:rsid w:val="00422AB2"/>
    <w:rsid w:val="00433111"/>
    <w:rsid w:val="00440BEC"/>
    <w:rsid w:val="0045259D"/>
    <w:rsid w:val="00462685"/>
    <w:rsid w:val="00497DDF"/>
    <w:rsid w:val="004A0013"/>
    <w:rsid w:val="00505A43"/>
    <w:rsid w:val="00513911"/>
    <w:rsid w:val="0051481C"/>
    <w:rsid w:val="00522520"/>
    <w:rsid w:val="00554823"/>
    <w:rsid w:val="00556A96"/>
    <w:rsid w:val="005706EA"/>
    <w:rsid w:val="00573328"/>
    <w:rsid w:val="005853E9"/>
    <w:rsid w:val="005919D1"/>
    <w:rsid w:val="00592B9F"/>
    <w:rsid w:val="0059573E"/>
    <w:rsid w:val="005A1E53"/>
    <w:rsid w:val="005A3E1D"/>
    <w:rsid w:val="005D1876"/>
    <w:rsid w:val="005D231B"/>
    <w:rsid w:val="006117BF"/>
    <w:rsid w:val="006270E2"/>
    <w:rsid w:val="00632143"/>
    <w:rsid w:val="00646E96"/>
    <w:rsid w:val="006701D6"/>
    <w:rsid w:val="0068120B"/>
    <w:rsid w:val="00684070"/>
    <w:rsid w:val="006B02E3"/>
    <w:rsid w:val="006B1C08"/>
    <w:rsid w:val="006B7CA4"/>
    <w:rsid w:val="006C2394"/>
    <w:rsid w:val="006C3B1C"/>
    <w:rsid w:val="006D1DB0"/>
    <w:rsid w:val="006D1E17"/>
    <w:rsid w:val="006D7607"/>
    <w:rsid w:val="006E08DC"/>
    <w:rsid w:val="006E1AB2"/>
    <w:rsid w:val="006F3EBB"/>
    <w:rsid w:val="0070597F"/>
    <w:rsid w:val="007130F6"/>
    <w:rsid w:val="0071550F"/>
    <w:rsid w:val="00723583"/>
    <w:rsid w:val="00741955"/>
    <w:rsid w:val="007433EE"/>
    <w:rsid w:val="00756E56"/>
    <w:rsid w:val="007605DD"/>
    <w:rsid w:val="007606B7"/>
    <w:rsid w:val="00775FC4"/>
    <w:rsid w:val="00780FE2"/>
    <w:rsid w:val="00796FD2"/>
    <w:rsid w:val="007B267D"/>
    <w:rsid w:val="007C3B02"/>
    <w:rsid w:val="007C7A74"/>
    <w:rsid w:val="007E5B1B"/>
    <w:rsid w:val="007F16D8"/>
    <w:rsid w:val="00800036"/>
    <w:rsid w:val="00806A80"/>
    <w:rsid w:val="00813BC2"/>
    <w:rsid w:val="00814162"/>
    <w:rsid w:val="008271B2"/>
    <w:rsid w:val="00841D3D"/>
    <w:rsid w:val="008571BD"/>
    <w:rsid w:val="008624BE"/>
    <w:rsid w:val="0087232B"/>
    <w:rsid w:val="008A3E56"/>
    <w:rsid w:val="008A4520"/>
    <w:rsid w:val="008D3461"/>
    <w:rsid w:val="008D78B9"/>
    <w:rsid w:val="009021DC"/>
    <w:rsid w:val="00905C88"/>
    <w:rsid w:val="00930069"/>
    <w:rsid w:val="00933E39"/>
    <w:rsid w:val="009424C6"/>
    <w:rsid w:val="00944727"/>
    <w:rsid w:val="00944957"/>
    <w:rsid w:val="00945831"/>
    <w:rsid w:val="00956D01"/>
    <w:rsid w:val="00963F5F"/>
    <w:rsid w:val="009710F4"/>
    <w:rsid w:val="009A05C4"/>
    <w:rsid w:val="009C32C6"/>
    <w:rsid w:val="009C5304"/>
    <w:rsid w:val="009E47DE"/>
    <w:rsid w:val="009F191F"/>
    <w:rsid w:val="00A005A8"/>
    <w:rsid w:val="00A10D0B"/>
    <w:rsid w:val="00A207DF"/>
    <w:rsid w:val="00A37C09"/>
    <w:rsid w:val="00A50783"/>
    <w:rsid w:val="00A53BA6"/>
    <w:rsid w:val="00A568BF"/>
    <w:rsid w:val="00A5745D"/>
    <w:rsid w:val="00A777AA"/>
    <w:rsid w:val="00A80E6A"/>
    <w:rsid w:val="00A92FE3"/>
    <w:rsid w:val="00AB1D98"/>
    <w:rsid w:val="00AB458E"/>
    <w:rsid w:val="00AC325D"/>
    <w:rsid w:val="00AC66C7"/>
    <w:rsid w:val="00AE5D2B"/>
    <w:rsid w:val="00AF0A58"/>
    <w:rsid w:val="00AF40A9"/>
    <w:rsid w:val="00AF7B74"/>
    <w:rsid w:val="00B118A6"/>
    <w:rsid w:val="00B14519"/>
    <w:rsid w:val="00B51230"/>
    <w:rsid w:val="00B57EFE"/>
    <w:rsid w:val="00B6548D"/>
    <w:rsid w:val="00B7224C"/>
    <w:rsid w:val="00B8084C"/>
    <w:rsid w:val="00BA68CE"/>
    <w:rsid w:val="00BD2088"/>
    <w:rsid w:val="00C0273A"/>
    <w:rsid w:val="00C10804"/>
    <w:rsid w:val="00C231FF"/>
    <w:rsid w:val="00C3085E"/>
    <w:rsid w:val="00C32E1A"/>
    <w:rsid w:val="00C35788"/>
    <w:rsid w:val="00C36A01"/>
    <w:rsid w:val="00C42B27"/>
    <w:rsid w:val="00C610EA"/>
    <w:rsid w:val="00C6357B"/>
    <w:rsid w:val="00C77B7C"/>
    <w:rsid w:val="00CA68A2"/>
    <w:rsid w:val="00CF0119"/>
    <w:rsid w:val="00CF2118"/>
    <w:rsid w:val="00D06D45"/>
    <w:rsid w:val="00D2710C"/>
    <w:rsid w:val="00D70946"/>
    <w:rsid w:val="00D73A01"/>
    <w:rsid w:val="00D94C29"/>
    <w:rsid w:val="00DA7B74"/>
    <w:rsid w:val="00DB3A23"/>
    <w:rsid w:val="00DC472D"/>
    <w:rsid w:val="00DD30B1"/>
    <w:rsid w:val="00DD4BB8"/>
    <w:rsid w:val="00DD7527"/>
    <w:rsid w:val="00E07F9B"/>
    <w:rsid w:val="00E35795"/>
    <w:rsid w:val="00E41341"/>
    <w:rsid w:val="00E44229"/>
    <w:rsid w:val="00E52520"/>
    <w:rsid w:val="00E534A0"/>
    <w:rsid w:val="00E64432"/>
    <w:rsid w:val="00E7394E"/>
    <w:rsid w:val="00EA68C9"/>
    <w:rsid w:val="00EB314E"/>
    <w:rsid w:val="00EF66F4"/>
    <w:rsid w:val="00F02837"/>
    <w:rsid w:val="00F11C27"/>
    <w:rsid w:val="00F3255A"/>
    <w:rsid w:val="00F5035F"/>
    <w:rsid w:val="00F671E7"/>
    <w:rsid w:val="00F74A01"/>
    <w:rsid w:val="00F97329"/>
    <w:rsid w:val="00FA01F5"/>
    <w:rsid w:val="00FB6278"/>
    <w:rsid w:val="00FC218B"/>
    <w:rsid w:val="00FD1667"/>
    <w:rsid w:val="00FD6FE8"/>
    <w:rsid w:val="00FE326B"/>
    <w:rsid w:val="00FE5B46"/>
    <w:rsid w:val="00FE7F41"/>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92D4B11D-54A6-4DBF-9E87-DC2E39F1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1"/>
    <w:qFormat/>
    <w:rsid w:val="00146EB9"/>
    <w:pPr>
      <w:ind w:left="720"/>
      <w:contextualSpacing/>
    </w:pPr>
  </w:style>
  <w:style w:type="character" w:styleId="UnresolvedMention">
    <w:name w:val="Unresolved Mention"/>
    <w:basedOn w:val="DefaultParagraphFont"/>
    <w:uiPriority w:val="99"/>
    <w:semiHidden/>
    <w:unhideWhenUsed/>
    <w:rsid w:val="0044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711563647">
          <w:marLeft w:val="0"/>
          <w:marRight w:val="0"/>
          <w:marTop w:val="0"/>
          <w:marBottom w:val="0"/>
          <w:divBdr>
            <w:top w:val="none" w:sz="0" w:space="0" w:color="auto"/>
            <w:left w:val="none" w:sz="0" w:space="0" w:color="auto"/>
            <w:bottom w:val="none" w:sz="0" w:space="0" w:color="auto"/>
            <w:right w:val="none" w:sz="0" w:space="0" w:color="auto"/>
          </w:divBdr>
        </w:div>
      </w:divsChild>
    </w:div>
    <w:div w:id="563952435">
      <w:bodyDiv w:val="1"/>
      <w:marLeft w:val="0"/>
      <w:marRight w:val="0"/>
      <w:marTop w:val="0"/>
      <w:marBottom w:val="0"/>
      <w:divBdr>
        <w:top w:val="none" w:sz="0" w:space="0" w:color="auto"/>
        <w:left w:val="none" w:sz="0" w:space="0" w:color="auto"/>
        <w:bottom w:val="none" w:sz="0" w:space="0" w:color="auto"/>
        <w:right w:val="none" w:sz="0" w:space="0" w:color="auto"/>
      </w:divBdr>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 w:id="1484346557">
      <w:bodyDiv w:val="1"/>
      <w:marLeft w:val="0"/>
      <w:marRight w:val="0"/>
      <w:marTop w:val="0"/>
      <w:marBottom w:val="0"/>
      <w:divBdr>
        <w:top w:val="none" w:sz="0" w:space="0" w:color="auto"/>
        <w:left w:val="none" w:sz="0" w:space="0" w:color="auto"/>
        <w:bottom w:val="none" w:sz="0" w:space="0" w:color="auto"/>
        <w:right w:val="none" w:sz="0" w:space="0" w:color="auto"/>
      </w:divBdr>
    </w:div>
    <w:div w:id="15903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bs.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lmines.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malefactory.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1057</Words>
  <Characters>6029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7072</CharactersWithSpaces>
  <SharedDoc>false</SharedDoc>
  <HLinks>
    <vt:vector size="18" baseType="variant">
      <vt:variant>
        <vt:i4>7733307</vt:i4>
      </vt:variant>
      <vt:variant>
        <vt:i4>9</vt:i4>
      </vt:variant>
      <vt:variant>
        <vt:i4>0</vt:i4>
      </vt:variant>
      <vt:variant>
        <vt:i4>5</vt:i4>
      </vt:variant>
      <vt:variant>
        <vt:lpwstr>http://www.jobs.tas.gov.au/</vt:lpwstr>
      </vt:variant>
      <vt:variant>
        <vt:lpwstr/>
      </vt:variant>
      <vt:variant>
        <vt:i4>2031704</vt:i4>
      </vt:variant>
      <vt:variant>
        <vt:i4>6</vt:i4>
      </vt:variant>
      <vt:variant>
        <vt:i4>0</vt:i4>
      </vt:variant>
      <vt:variant>
        <vt:i4>5</vt:i4>
      </vt:variant>
      <vt:variant>
        <vt:lpwstr>http://www.coalmines.org.au/</vt:lpwstr>
      </vt:variant>
      <vt:variant>
        <vt:lpwstr/>
      </vt:variant>
      <vt:variant>
        <vt:i4>1638481</vt:i4>
      </vt:variant>
      <vt:variant>
        <vt:i4>3</vt:i4>
      </vt:variant>
      <vt:variant>
        <vt:i4>0</vt:i4>
      </vt:variant>
      <vt:variant>
        <vt:i4>5</vt:i4>
      </vt:variant>
      <vt:variant>
        <vt:lpwstr>http://www.femalefactory.org.au/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clhdxw</dc:creator>
  <cp:keywords/>
  <cp:lastModifiedBy>Lynn Pitt</cp:lastModifiedBy>
  <cp:revision>40</cp:revision>
  <cp:lastPrinted>2018-01-12T18:49:00Z</cp:lastPrinted>
  <dcterms:created xsi:type="dcterms:W3CDTF">2024-09-11T22:15:00Z</dcterms:created>
  <dcterms:modified xsi:type="dcterms:W3CDTF">2024-09-13T21:25:00Z</dcterms:modified>
</cp:coreProperties>
</file>