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74FC9C6" w:rsidR="0031127F" w:rsidRPr="00A57742" w:rsidRDefault="00C515F9" w:rsidP="0031127F">
            <w:pPr>
              <w:rPr>
                <w:rFonts w:ascii="Gill Sans MT" w:hAnsi="Gill Sans MT" w:cs="Gill Sans"/>
              </w:rPr>
            </w:pPr>
            <w:r>
              <w:rPr>
                <w:rFonts w:ascii="Gill Sans MT" w:hAnsi="Gill Sans MT" w:cs="Gill Sans"/>
              </w:rPr>
              <w:t>Clinical Nurse Consultant - Stomal Therapy Care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5B41D03" w:rsidR="0031127F" w:rsidRPr="007708FA" w:rsidRDefault="00C515F9" w:rsidP="0031127F">
            <w:pPr>
              <w:rPr>
                <w:rFonts w:ascii="Gill Sans MT" w:hAnsi="Gill Sans MT" w:cs="Gill Sans"/>
              </w:rPr>
            </w:pPr>
            <w:r>
              <w:rPr>
                <w:rFonts w:ascii="Gill Sans MT" w:hAnsi="Gill Sans MT" w:cs="Gill Sans"/>
              </w:rPr>
              <w:t>509279</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5EFA531" w:rsidR="0031127F" w:rsidRPr="007708FA" w:rsidRDefault="00C515F9" w:rsidP="0031127F">
            <w:pPr>
              <w:rPr>
                <w:rFonts w:ascii="Gill Sans MT" w:hAnsi="Gill Sans MT" w:cs="Gill Sans"/>
              </w:rPr>
            </w:pPr>
            <w:r>
              <w:rPr>
                <w:rFonts w:ascii="Gill Sans MT" w:hAnsi="Gill Sans MT" w:cs="Gill San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F33FC59" w:rsidR="0031127F" w:rsidRPr="007708FA" w:rsidRDefault="00C515F9"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3FD8F672" w14:textId="77777777" w:rsidR="00A57742" w:rsidRDefault="00C515F9" w:rsidP="00022200">
            <w:pPr>
              <w:spacing w:after="0"/>
              <w:rPr>
                <w:rFonts w:ascii="Gill Sans MT" w:hAnsi="Gill Sans MT" w:cs="Gill Sans"/>
              </w:rPr>
            </w:pPr>
            <w:r>
              <w:rPr>
                <w:rFonts w:ascii="Gill Sans MT" w:hAnsi="Gill Sans MT" w:cs="Gill Sans"/>
              </w:rPr>
              <w:t>Hospitals South - Royal Hobart Hospital</w:t>
            </w:r>
          </w:p>
          <w:p w14:paraId="41DFE068" w14:textId="3410A1BB" w:rsidR="00C515F9" w:rsidRPr="007708FA" w:rsidRDefault="00C515F9" w:rsidP="0031127F">
            <w:pPr>
              <w:rPr>
                <w:rFonts w:ascii="Gill Sans MT" w:hAnsi="Gill Sans MT" w:cs="Gill Sans"/>
              </w:rPr>
            </w:pPr>
            <w:r>
              <w:rPr>
                <w:rFonts w:ascii="Gill Sans MT" w:hAnsi="Gill Sans MT" w:cs="Gill Sans"/>
              </w:rPr>
              <w:t>Surgical and Perioperative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7312F" w:rsidR="0031127F" w:rsidRPr="007B65A4" w:rsidRDefault="00C515F9"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A50D995" w:rsidR="0031127F" w:rsidRPr="007B65A4" w:rsidRDefault="00C515F9"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3758F2C" w:rsidR="0031127F" w:rsidRPr="00A57742" w:rsidRDefault="00C515F9" w:rsidP="0031127F">
            <w:pPr>
              <w:rPr>
                <w:rFonts w:ascii="Gill Sans MT" w:hAnsi="Gill Sans MT" w:cs="Gill Sans"/>
              </w:rPr>
            </w:pPr>
            <w:r>
              <w:rPr>
                <w:rFonts w:ascii="Gill Sans MT" w:hAnsi="Gill Sans MT" w:cs="Gill Sans"/>
              </w:rPr>
              <w:t>Nurse Unit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99B99F8" w:rsidR="0031127F" w:rsidRDefault="00C515F9" w:rsidP="0031127F">
            <w:pPr>
              <w:rPr>
                <w:rFonts w:ascii="Gill Sans MT" w:hAnsi="Gill Sans MT" w:cs="Gill Sans"/>
              </w:rPr>
            </w:pPr>
            <w:r>
              <w:rPr>
                <w:rFonts w:ascii="Gill Sans MT" w:hAnsi="Gill Sans MT" w:cs="Gill Sans"/>
              </w:rPr>
              <w:t>February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A6C8051" w:rsidR="0031127F" w:rsidRDefault="00C515F9"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163D726" w:rsidR="0031127F" w:rsidRDefault="00C515F9"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40C9865E" w14:textId="6F5EEC73" w:rsidR="00C515F9" w:rsidRPr="00C515F9" w:rsidRDefault="00F0690E" w:rsidP="0031127F">
            <w:pPr>
              <w:rPr>
                <w:rStyle w:val="InformationBlockChar"/>
                <w:rFonts w:eastAsiaTheme="minorHAnsi"/>
                <w:b w:val="0"/>
              </w:rPr>
            </w:pPr>
            <w:r w:rsidRPr="00F0690E">
              <w:rPr>
                <w:rStyle w:val="InformationBlockChar"/>
                <w:rFonts w:eastAsiaTheme="minorHAnsi"/>
                <w:b w:val="0"/>
              </w:rPr>
              <w:t>Registered with the Nursing and Midwifery Board of Australia as a Registered Nurse</w:t>
            </w:r>
          </w:p>
          <w:p w14:paraId="1519F94B" w14:textId="2DC02EA0" w:rsidR="00DA11E5" w:rsidRDefault="00DA11E5" w:rsidP="0031127F">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6DE608EB" w14:textId="77777777" w:rsidR="00400E85" w:rsidRDefault="00F0690E" w:rsidP="002D308A">
            <w:pPr>
              <w:rPr>
                <w:rStyle w:val="InformationBlockChar"/>
                <w:rFonts w:eastAsiaTheme="minorHAnsi"/>
                <w:b w:val="0"/>
              </w:rPr>
            </w:pPr>
            <w:r>
              <w:rPr>
                <w:rStyle w:val="InformationBlockChar"/>
                <w:rFonts w:eastAsiaTheme="minorHAnsi"/>
                <w:b w:val="0"/>
              </w:rPr>
              <w:t>Holds, or working towards, Stomal Therapy postgraduate qualifications</w:t>
            </w:r>
          </w:p>
          <w:p w14:paraId="42A54C29" w14:textId="4E3E4947" w:rsidR="00F0690E" w:rsidRPr="00F0690E" w:rsidRDefault="00F0690E" w:rsidP="00022200">
            <w:pPr>
              <w:spacing w:after="240"/>
              <w:rPr>
                <w:rStyle w:val="InformationBlockChar"/>
                <w:rFonts w:eastAsiaTheme="minorHAnsi"/>
                <w:b w:val="0"/>
              </w:rPr>
            </w:pPr>
            <w:r>
              <w:rPr>
                <w:rStyle w:val="InformationBlockChar"/>
                <w:rFonts w:eastAsiaTheme="minorHAnsi"/>
                <w:b w:val="0"/>
              </w:rP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BFA25AE" w14:textId="77777777" w:rsidR="00C515F9" w:rsidRDefault="002D308A" w:rsidP="00C515F9">
      <w:pPr>
        <w:pStyle w:val="Heading3"/>
        <w:tabs>
          <w:tab w:val="left" w:pos="3360"/>
        </w:tabs>
      </w:pPr>
      <w:r>
        <w:lastRenderedPageBreak/>
        <w:t>P</w:t>
      </w:r>
      <w:r w:rsidR="003C0450" w:rsidRPr="00405739">
        <w:t>rimary Purpose:</w:t>
      </w:r>
    </w:p>
    <w:p w14:paraId="16842D20" w14:textId="4CF8056D" w:rsidR="00C515F9" w:rsidRDefault="00C515F9" w:rsidP="00C515F9">
      <w:pPr>
        <w:spacing w:after="120"/>
        <w:ind w:left="-15"/>
      </w:pPr>
      <w:r>
        <w:t xml:space="preserve">Within the application of the National Safety and Quality Health Service (NSQHS) Standards, Agency policies, legal requirements and professional competencies, the Clinical Nurse Consultant - Stomal Therapy Care ensures the provision of high quality, accountable and measurable healthcare by: </w:t>
      </w:r>
    </w:p>
    <w:p w14:paraId="67C3DED8" w14:textId="77777777" w:rsidR="00C515F9" w:rsidRDefault="00C515F9" w:rsidP="00C515F9">
      <w:pPr>
        <w:numPr>
          <w:ilvl w:val="0"/>
          <w:numId w:val="34"/>
        </w:numPr>
        <w:spacing w:after="120"/>
        <w:ind w:hanging="567"/>
      </w:pPr>
      <w:r>
        <w:t xml:space="preserve">Providing leadership and expertise in the development, implementation and evaluation of Stomal Therapy Care whilst fostering a culture of safety and learning for improvement.  </w:t>
      </w:r>
    </w:p>
    <w:p w14:paraId="6048E37A" w14:textId="77777777" w:rsidR="00C515F9" w:rsidRDefault="00C515F9" w:rsidP="00C515F9">
      <w:pPr>
        <w:numPr>
          <w:ilvl w:val="0"/>
          <w:numId w:val="34"/>
        </w:numPr>
        <w:spacing w:after="120"/>
        <w:ind w:hanging="567"/>
      </w:pPr>
      <w:r>
        <w:t>Advising and coordinating the inpatient and outpatient management and care of ostomy products.</w:t>
      </w:r>
    </w:p>
    <w:p w14:paraId="674BA572" w14:textId="4C4AC987" w:rsidR="00C515F9" w:rsidRDefault="00C515F9" w:rsidP="00C515F9">
      <w:pPr>
        <w:numPr>
          <w:ilvl w:val="0"/>
          <w:numId w:val="34"/>
        </w:numPr>
        <w:spacing w:after="120"/>
        <w:ind w:hanging="567"/>
      </w:pPr>
      <w:r>
        <w:t xml:space="preserve">Fostering a culture that strives for excellence in safe patient care through collaboration, support, education, learning, research, and workforce development using a Safety and Quality Framework. </w:t>
      </w:r>
    </w:p>
    <w:p w14:paraId="643BDE1C" w14:textId="6741D857" w:rsidR="003C0450" w:rsidRDefault="00C515F9" w:rsidP="00C515F9">
      <w:pPr>
        <w:numPr>
          <w:ilvl w:val="0"/>
          <w:numId w:val="34"/>
        </w:numPr>
        <w:spacing w:after="120"/>
        <w:ind w:hanging="567"/>
      </w:pPr>
      <w:r>
        <w:t xml:space="preserve">Facilitating a patient safety ethos with all employees within Surgical and Perioperative Services to achieve an organisational culture in which patient safety and clinical risk management becomes an integral part of core business. </w:t>
      </w:r>
    </w:p>
    <w:p w14:paraId="005DD4B6" w14:textId="25B176B7" w:rsidR="00E91AB6" w:rsidRPr="00405739" w:rsidRDefault="00E91AB6" w:rsidP="00405739">
      <w:pPr>
        <w:pStyle w:val="Heading3"/>
      </w:pPr>
      <w:r w:rsidRPr="00405739">
        <w:t>Duties:</w:t>
      </w:r>
    </w:p>
    <w:p w14:paraId="585BD856" w14:textId="58F07555" w:rsidR="00F0690E" w:rsidRDefault="00F0690E" w:rsidP="00F0690E">
      <w:pPr>
        <w:pStyle w:val="ListNumbered"/>
        <w:numPr>
          <w:ilvl w:val="0"/>
          <w:numId w:val="30"/>
        </w:numPr>
        <w:spacing w:after="120"/>
      </w:pPr>
      <w:r>
        <w:t xml:space="preserve">Provide professional advanced clinical advice, patient information documents, leadership, support and direction in the development and implementation of Stomal Therapy products for patients and carers. </w:t>
      </w:r>
    </w:p>
    <w:p w14:paraId="56872F63" w14:textId="1967CDA5" w:rsidR="00F0690E" w:rsidRDefault="00F0690E" w:rsidP="00F0690E">
      <w:pPr>
        <w:pStyle w:val="ListNumbered"/>
        <w:numPr>
          <w:ilvl w:val="0"/>
          <w:numId w:val="30"/>
        </w:numPr>
        <w:spacing w:after="120"/>
      </w:pPr>
      <w:r>
        <w:t xml:space="preserve">Act as a clinical resource and mentor to other senior clinical leaders who are responsible for, and influence the delivery of, appropriate, consistent, and safe care of Stomal Therapy services. </w:t>
      </w:r>
    </w:p>
    <w:p w14:paraId="1B31C222" w14:textId="77777777" w:rsidR="00F0690E" w:rsidRDefault="00F0690E" w:rsidP="00F0690E">
      <w:pPr>
        <w:pStyle w:val="ListNumbered"/>
        <w:numPr>
          <w:ilvl w:val="0"/>
          <w:numId w:val="30"/>
        </w:numPr>
        <w:spacing w:after="120"/>
      </w:pPr>
      <w:r>
        <w:t xml:space="preserve">Promote a patient safety approach by working with individual clinical units to ensure the understanding and application of guidelines and policies relating to Stomal Therapy Care are adhered to. </w:t>
      </w:r>
    </w:p>
    <w:p w14:paraId="5EF14BAC" w14:textId="51E34B72" w:rsidR="00F0690E" w:rsidRDefault="00F0690E" w:rsidP="00F0690E">
      <w:pPr>
        <w:pStyle w:val="ListNumbered"/>
        <w:numPr>
          <w:ilvl w:val="0"/>
          <w:numId w:val="30"/>
        </w:numPr>
        <w:spacing w:after="120"/>
      </w:pPr>
      <w:r>
        <w:t xml:space="preserve">Lead and coordinate the provision of educational programs and opportunities for other staff members via in-services at the Royal Hobart Hospital and Repatriation Centre to promote knowledge and experience in managing Stomal Therapy products. </w:t>
      </w:r>
    </w:p>
    <w:p w14:paraId="69F0DD99" w14:textId="77777777" w:rsidR="00F0690E" w:rsidRDefault="00F0690E" w:rsidP="00F0690E">
      <w:pPr>
        <w:pStyle w:val="ListNumbered"/>
        <w:numPr>
          <w:ilvl w:val="0"/>
          <w:numId w:val="30"/>
        </w:numPr>
        <w:spacing w:after="120"/>
      </w:pPr>
      <w:r>
        <w:t xml:space="preserve">Lead and participate in the improvement processes with other senior clinical leaders for prevention and minimisation to identified problems with individual clinical units and respond to opportunities for improvement related to current and evolving best practices.  </w:t>
      </w:r>
    </w:p>
    <w:p w14:paraId="587227CC" w14:textId="77777777" w:rsidR="00F0690E" w:rsidRDefault="00F0690E" w:rsidP="00F0690E">
      <w:pPr>
        <w:pStyle w:val="ListNumbered"/>
        <w:numPr>
          <w:ilvl w:val="0"/>
          <w:numId w:val="30"/>
        </w:numPr>
        <w:spacing w:after="120"/>
      </w:pPr>
      <w:r>
        <w:t xml:space="preserve">Initiate the review, development and implementation of clinical policy and guidelines to support best practice regarding Stomal Therapy Care. </w:t>
      </w:r>
    </w:p>
    <w:p w14:paraId="2E6DA88F" w14:textId="42EC7C32" w:rsidR="00F0690E" w:rsidRDefault="00F0690E" w:rsidP="00F0690E">
      <w:pPr>
        <w:pStyle w:val="ListNumbered"/>
        <w:numPr>
          <w:ilvl w:val="0"/>
          <w:numId w:val="30"/>
        </w:numPr>
        <w:spacing w:after="120"/>
      </w:pPr>
      <w:r>
        <w:t xml:space="preserve">Collect, monitor, and evaluate database information for inpatients and outpatients with Stomal Therapy products, delivering relevant expert advice which includes producing, reviewing, and supporting literature, and provide analysis and audits on clinically focused recommendation reports for the Surgical and Perioperative Services senior clinical leaders. </w:t>
      </w:r>
    </w:p>
    <w:p w14:paraId="3FE83B8F" w14:textId="2A1D2B99" w:rsidR="00F0690E" w:rsidRDefault="00F0690E" w:rsidP="00F0690E">
      <w:pPr>
        <w:pStyle w:val="ListNumbered"/>
        <w:numPr>
          <w:ilvl w:val="0"/>
          <w:numId w:val="30"/>
        </w:numPr>
        <w:spacing w:after="120"/>
      </w:pPr>
      <w:r>
        <w:t xml:space="preserve">Maintain own professional development through reflective practice and participation in continuous learning activities, including networking and engaging with local and national colleagues and by participating in an annual performance development program. </w:t>
      </w:r>
    </w:p>
    <w:p w14:paraId="779AC6A6" w14:textId="59CDEC97" w:rsidR="00E91AB6" w:rsidRPr="004B1E48" w:rsidRDefault="00E91AB6" w:rsidP="00F0690E">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07BB6E4E" w14:textId="38179651" w:rsidR="00F0690E" w:rsidRDefault="00F0690E" w:rsidP="00F0690E">
      <w:pPr>
        <w:spacing w:after="120"/>
        <w:ind w:left="-15"/>
      </w:pPr>
      <w:r>
        <w:t xml:space="preserve">The Clinical Nurse Consultant - Stomal Therapy Care works under the direction of the Surgical and Perioperative Services stream Managers, with limited professional supervision, and a significant degree of autonomy and will be responsible for:  </w:t>
      </w:r>
    </w:p>
    <w:p w14:paraId="3C835BC3" w14:textId="7BEE678E" w:rsidR="00F0690E" w:rsidRDefault="00F0690E" w:rsidP="00F0690E">
      <w:pPr>
        <w:numPr>
          <w:ilvl w:val="0"/>
          <w:numId w:val="36"/>
        </w:numPr>
        <w:spacing w:after="120"/>
        <w:ind w:left="567" w:hanging="567"/>
      </w:pPr>
      <w:r>
        <w:t xml:space="preserve">Implementing evidence-based practices through teaching, research, policy, and protocol development and through direct example within the practice setting. </w:t>
      </w:r>
    </w:p>
    <w:p w14:paraId="166425DE" w14:textId="38FCB25E" w:rsidR="00F0690E" w:rsidRDefault="00F0690E" w:rsidP="00F0690E">
      <w:pPr>
        <w:numPr>
          <w:ilvl w:val="0"/>
          <w:numId w:val="36"/>
        </w:numPr>
        <w:spacing w:after="120"/>
        <w:ind w:left="567" w:hanging="567"/>
      </w:pPr>
      <w:r>
        <w:t xml:space="preserve">Maintaining a high level of knowledge regarding international, national, and state best practice for Stomal Therapy Care, including relevant legislation, overarching standards and policy direction.  </w:t>
      </w:r>
    </w:p>
    <w:p w14:paraId="1B0D7EA2" w14:textId="77777777" w:rsidR="00F0690E" w:rsidRDefault="00F0690E" w:rsidP="00F0690E">
      <w:pPr>
        <w:numPr>
          <w:ilvl w:val="0"/>
          <w:numId w:val="36"/>
        </w:numPr>
        <w:spacing w:after="120"/>
        <w:ind w:left="567" w:hanging="567"/>
      </w:pPr>
      <w:r>
        <w:t xml:space="preserve">Exercising a significant level of responsibility, initiative and professional judgement in the leadership and coordination of work in Stomal Therapy Care associated with Surgical and Perioperative Services.  </w:t>
      </w:r>
    </w:p>
    <w:p w14:paraId="6FBFBD2D" w14:textId="129E46D5" w:rsidR="00F0690E" w:rsidRDefault="00F0690E" w:rsidP="00F0690E">
      <w:pPr>
        <w:numPr>
          <w:ilvl w:val="0"/>
          <w:numId w:val="36"/>
        </w:numPr>
        <w:spacing w:after="120"/>
        <w:ind w:left="567" w:hanging="567"/>
      </w:pPr>
      <w:r>
        <w:t xml:space="preserve">Demonstrating honesty, integrity and respect for all patients, families/carers, and staff. </w:t>
      </w:r>
    </w:p>
    <w:p w14:paraId="29C96D9F" w14:textId="77777777" w:rsidR="00F0690E" w:rsidRDefault="00F0690E" w:rsidP="00F0690E">
      <w:pPr>
        <w:numPr>
          <w:ilvl w:val="0"/>
          <w:numId w:val="36"/>
        </w:numPr>
        <w:spacing w:after="120"/>
        <w:ind w:left="567" w:hanging="567"/>
      </w:pPr>
      <w:r>
        <w:t xml:space="preserve">Providing high level consultancy and support to the relevant Directors, Managers, senior clinical and other staff in relation to best practice patient care. </w:t>
      </w:r>
    </w:p>
    <w:p w14:paraId="5F7D6A04" w14:textId="5FBD4084" w:rsidR="00DB2338" w:rsidRDefault="00EE1C89" w:rsidP="00F0690E">
      <w:pPr>
        <w:pStyle w:val="NumberedList"/>
        <w:numPr>
          <w:ilvl w:val="0"/>
          <w:numId w:val="36"/>
        </w:numPr>
        <w:ind w:left="567" w:hanging="567"/>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B61D194" w14:textId="77777777" w:rsidR="00022200" w:rsidRDefault="003C43E7" w:rsidP="00022200">
      <w:pPr>
        <w:pStyle w:val="NumberedList"/>
        <w:numPr>
          <w:ilvl w:val="0"/>
          <w:numId w:val="36"/>
        </w:numPr>
        <w:ind w:left="567" w:hanging="567"/>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64F53C1" w14:textId="6D7DBA52" w:rsidR="00022200" w:rsidRPr="00022200" w:rsidRDefault="00022200" w:rsidP="00022200">
      <w:pPr>
        <w:pStyle w:val="NumberedList"/>
        <w:numPr>
          <w:ilvl w:val="0"/>
          <w:numId w:val="36"/>
        </w:numPr>
        <w:spacing w:after="240"/>
        <w:ind w:left="567" w:hanging="567"/>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F0690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0690E">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0690E">
      <w:pPr>
        <w:pStyle w:val="ListNumbered"/>
        <w:numPr>
          <w:ilvl w:val="0"/>
          <w:numId w:val="16"/>
        </w:numPr>
        <w:spacing w:after="120"/>
      </w:pPr>
      <w:r>
        <w:t>Conviction checks in the following areas:</w:t>
      </w:r>
    </w:p>
    <w:p w14:paraId="147CDE9F" w14:textId="77777777" w:rsidR="00E91AB6" w:rsidRDefault="00E91AB6" w:rsidP="00F0690E">
      <w:pPr>
        <w:pStyle w:val="ListNumbered"/>
        <w:numPr>
          <w:ilvl w:val="1"/>
          <w:numId w:val="13"/>
        </w:numPr>
        <w:spacing w:after="120"/>
      </w:pPr>
      <w:r>
        <w:t>crimes of violence</w:t>
      </w:r>
    </w:p>
    <w:p w14:paraId="15754481" w14:textId="77777777" w:rsidR="00E91AB6" w:rsidRDefault="00E91AB6" w:rsidP="00F0690E">
      <w:pPr>
        <w:pStyle w:val="ListNumbered"/>
        <w:numPr>
          <w:ilvl w:val="1"/>
          <w:numId w:val="13"/>
        </w:numPr>
        <w:spacing w:after="120"/>
      </w:pPr>
      <w:r>
        <w:t>sex related offences</w:t>
      </w:r>
    </w:p>
    <w:p w14:paraId="4ED1D6AD" w14:textId="77777777" w:rsidR="00E91AB6" w:rsidRDefault="00E91AB6" w:rsidP="00F0690E">
      <w:pPr>
        <w:pStyle w:val="ListNumbered"/>
        <w:numPr>
          <w:ilvl w:val="1"/>
          <w:numId w:val="13"/>
        </w:numPr>
        <w:spacing w:after="120"/>
      </w:pPr>
      <w:r>
        <w:t>serious drug offences</w:t>
      </w:r>
    </w:p>
    <w:p w14:paraId="2F95386B" w14:textId="77777777" w:rsidR="00405739" w:rsidRDefault="00E91AB6" w:rsidP="00F0690E">
      <w:pPr>
        <w:pStyle w:val="ListNumbered"/>
        <w:numPr>
          <w:ilvl w:val="1"/>
          <w:numId w:val="13"/>
        </w:numPr>
        <w:spacing w:after="120"/>
      </w:pPr>
      <w:r>
        <w:t>crimes involving dishonesty</w:t>
      </w:r>
    </w:p>
    <w:p w14:paraId="526590A3" w14:textId="77777777" w:rsidR="00E91AB6" w:rsidRDefault="00E91AB6" w:rsidP="00F0690E">
      <w:pPr>
        <w:pStyle w:val="ListNumbered"/>
        <w:spacing w:after="120"/>
      </w:pPr>
      <w:r>
        <w:t>Identification check</w:t>
      </w:r>
    </w:p>
    <w:p w14:paraId="301DC513" w14:textId="107DCD3A" w:rsidR="00E91AB6" w:rsidRPr="008803FC" w:rsidRDefault="00E91AB6" w:rsidP="00F0690E">
      <w:pPr>
        <w:pStyle w:val="ListNumbered"/>
        <w:spacing w:after="120"/>
      </w:pPr>
      <w:r>
        <w:t>Disciplinary action in previous employment check.</w:t>
      </w:r>
    </w:p>
    <w:p w14:paraId="011E3DAD" w14:textId="77777777" w:rsidR="00E91AB6" w:rsidRDefault="00E91AB6" w:rsidP="00130E72">
      <w:pPr>
        <w:pStyle w:val="Heading3"/>
      </w:pPr>
      <w:r>
        <w:lastRenderedPageBreak/>
        <w:t>Selection Criteria:</w:t>
      </w:r>
    </w:p>
    <w:p w14:paraId="455FCD7E" w14:textId="51566F9D" w:rsidR="00F0690E" w:rsidRDefault="00F0690E" w:rsidP="00F0690E">
      <w:pPr>
        <w:pStyle w:val="ListParagraph"/>
        <w:numPr>
          <w:ilvl w:val="0"/>
          <w:numId w:val="38"/>
        </w:numPr>
        <w:spacing w:after="120"/>
        <w:ind w:left="567" w:hanging="567"/>
      </w:pPr>
      <w:r>
        <w:t xml:space="preserve">Extensive knowledge of, and commitment to, best practice in Stomal Therapy products, management, and patient care.  </w:t>
      </w:r>
    </w:p>
    <w:p w14:paraId="075B4194" w14:textId="33042A0D" w:rsidR="00F0690E" w:rsidRDefault="00F0690E" w:rsidP="00F0690E">
      <w:pPr>
        <w:pStyle w:val="ListParagraph"/>
        <w:numPr>
          <w:ilvl w:val="0"/>
          <w:numId w:val="38"/>
        </w:numPr>
        <w:spacing w:after="120"/>
        <w:ind w:left="567" w:hanging="567"/>
      </w:pPr>
      <w:r>
        <w:t xml:space="preserve">Broad clinical and operational experience with inpatient and outpatient Surgical and Perioperative Services, in the acute setting, and a demonstrated understanding of patient safety. </w:t>
      </w:r>
      <w:r w:rsidRPr="00F0690E">
        <w:rPr>
          <w:b/>
        </w:rPr>
        <w:t xml:space="preserve"> </w:t>
      </w:r>
      <w:r>
        <w:t xml:space="preserve"> </w:t>
      </w:r>
    </w:p>
    <w:p w14:paraId="52EF8655" w14:textId="41CDF8FC" w:rsidR="00F0690E" w:rsidRDefault="00F0690E" w:rsidP="00F0690E">
      <w:pPr>
        <w:pStyle w:val="ListParagraph"/>
        <w:numPr>
          <w:ilvl w:val="0"/>
          <w:numId w:val="38"/>
        </w:numPr>
        <w:spacing w:after="120"/>
        <w:ind w:left="567" w:hanging="567"/>
      </w:pPr>
      <w:r>
        <w:t xml:space="preserve">Demonstrated high level interpersonal, communication, mediation, and conflict resolution skills with the ability to effectively liaise with a broad range of internal and external stakeholders and have a demonstrated ability to influence and motivate staff.  </w:t>
      </w:r>
    </w:p>
    <w:p w14:paraId="4A01543A" w14:textId="77777777" w:rsidR="00F0690E" w:rsidRDefault="00F0690E" w:rsidP="00F0690E">
      <w:pPr>
        <w:pStyle w:val="ListParagraph"/>
        <w:numPr>
          <w:ilvl w:val="0"/>
          <w:numId w:val="38"/>
        </w:numPr>
        <w:spacing w:after="120"/>
        <w:ind w:left="567" w:hanging="567"/>
      </w:pPr>
      <w:r>
        <w:t xml:space="preserve">Highly developed organisational skills including a demonstrated ability to work under pressure and within rigid timeframes.  </w:t>
      </w:r>
    </w:p>
    <w:p w14:paraId="30091DBF" w14:textId="77777777" w:rsidR="00F0690E" w:rsidRDefault="00F0690E" w:rsidP="00F0690E">
      <w:pPr>
        <w:pStyle w:val="ListParagraph"/>
        <w:numPr>
          <w:ilvl w:val="0"/>
          <w:numId w:val="38"/>
        </w:numPr>
        <w:spacing w:after="120"/>
        <w:ind w:left="567" w:hanging="567"/>
      </w:pPr>
      <w:r>
        <w:t xml:space="preserve">Knowledge of legal requirements and relevant policies and procedures relating to Stomal Therapy products. </w:t>
      </w:r>
    </w:p>
    <w:p w14:paraId="68C6F8B5" w14:textId="77777777" w:rsidR="00F0690E" w:rsidRPr="003A15EA" w:rsidRDefault="00F0690E" w:rsidP="00F0690E">
      <w:pPr>
        <w:pStyle w:val="ListParagraph"/>
        <w:numPr>
          <w:ilvl w:val="0"/>
          <w:numId w:val="38"/>
        </w:numPr>
        <w:spacing w:after="120"/>
        <w:ind w:left="567" w:hanging="567"/>
      </w:pPr>
      <w:r>
        <w:t xml:space="preserve">Experience in the areas of data collection and analysis and the ability to produce high-level written reports and correspondence.  </w:t>
      </w:r>
    </w:p>
    <w:p w14:paraId="185F40C6" w14:textId="2C76452C" w:rsidR="00E91AB6" w:rsidRDefault="00E91AB6" w:rsidP="00130E72">
      <w:pPr>
        <w:pStyle w:val="Heading3"/>
      </w:pPr>
      <w:r>
        <w:t>Working Environment:</w:t>
      </w:r>
    </w:p>
    <w:p w14:paraId="54FF7CA8" w14:textId="77777777" w:rsidR="005C2076" w:rsidRPr="00D04ECA" w:rsidRDefault="005C2076" w:rsidP="005C2076">
      <w:pPr>
        <w:autoSpaceDE w:val="0"/>
        <w:autoSpaceDN w:val="0"/>
        <w:adjustRightInd w:val="0"/>
        <w:spacing w:after="120"/>
        <w:rPr>
          <w:rFonts w:cs="Gill Sans MT"/>
          <w:color w:val="000000"/>
        </w:rPr>
      </w:pPr>
      <w:r w:rsidRPr="00D04ECA">
        <w:rPr>
          <w:rFonts w:cs="Gill Sans MT"/>
          <w:color w:val="000000"/>
        </w:rPr>
        <w:t xml:space="preserve">Surgical and Perioperative Services mission and purpose is to deliver high quality healthcare through the most efficient and innovative use of available resources, using planning and evidence-based strategies. Our vision is to be renowned for Surgical and Perioperative Services healthcare, teaching and research. Surgical and Perioperative Services is a values-based department. If your personal and work values are consistent with those developed by our staff, we’re sure you’ll find Surgical and Perioperative Services a great workplace. Our decisions and behaviours are guided by the following workplace values: </w:t>
      </w:r>
    </w:p>
    <w:p w14:paraId="685E1BDC" w14:textId="77777777" w:rsidR="005C2076" w:rsidRPr="00D04ECA" w:rsidRDefault="005C2076" w:rsidP="005C2076">
      <w:pPr>
        <w:numPr>
          <w:ilvl w:val="0"/>
          <w:numId w:val="39"/>
        </w:numPr>
        <w:tabs>
          <w:tab w:val="left" w:pos="567"/>
        </w:tabs>
        <w:autoSpaceDE w:val="0"/>
        <w:autoSpaceDN w:val="0"/>
        <w:adjustRightInd w:val="0"/>
        <w:spacing w:after="120"/>
        <w:ind w:left="426" w:hanging="426"/>
        <w:rPr>
          <w:rFonts w:cs="Gill Sans MT"/>
          <w:color w:val="000000"/>
        </w:rPr>
      </w:pPr>
      <w:r w:rsidRPr="00D04ECA">
        <w:rPr>
          <w:rFonts w:cs="Gill Sans MT"/>
          <w:b/>
          <w:bCs/>
          <w:color w:val="000000"/>
        </w:rPr>
        <w:t>Patient first -</w:t>
      </w:r>
      <w:r w:rsidRPr="00D04ECA">
        <w:rPr>
          <w:rFonts w:cs="Gill Sans MT"/>
          <w:color w:val="000000"/>
        </w:rPr>
        <w:t xml:space="preserve"> Patient and family-centred care is about putting patients’ and families’ experiences, priorities, and trust first. </w:t>
      </w:r>
    </w:p>
    <w:p w14:paraId="7D5FB729" w14:textId="77777777" w:rsidR="005C2076" w:rsidRPr="00D04ECA" w:rsidRDefault="005C2076" w:rsidP="005C2076">
      <w:pPr>
        <w:numPr>
          <w:ilvl w:val="0"/>
          <w:numId w:val="39"/>
        </w:numPr>
        <w:tabs>
          <w:tab w:val="left" w:pos="567"/>
        </w:tabs>
        <w:autoSpaceDE w:val="0"/>
        <w:autoSpaceDN w:val="0"/>
        <w:adjustRightInd w:val="0"/>
        <w:spacing w:after="120"/>
        <w:ind w:left="426" w:hanging="426"/>
        <w:rPr>
          <w:rFonts w:cs="Gill Sans MT"/>
          <w:color w:val="000000"/>
        </w:rPr>
      </w:pPr>
      <w:r w:rsidRPr="00D04ECA">
        <w:rPr>
          <w:rFonts w:cs="Gill Sans MT"/>
          <w:b/>
          <w:bCs/>
          <w:color w:val="000000"/>
        </w:rPr>
        <w:t xml:space="preserve">Personal responsibility - </w:t>
      </w:r>
      <w:r w:rsidRPr="00D04ECA">
        <w:rPr>
          <w:rFonts w:cs="Gill Sans MT"/>
          <w:color w:val="000000"/>
        </w:rPr>
        <w:t xml:space="preserve">Being responsible for our own actions and behaviours. </w:t>
      </w:r>
    </w:p>
    <w:p w14:paraId="5C02A3D8" w14:textId="77777777" w:rsidR="005C2076" w:rsidRPr="00D04ECA" w:rsidRDefault="005C2076" w:rsidP="005C2076">
      <w:pPr>
        <w:numPr>
          <w:ilvl w:val="0"/>
          <w:numId w:val="39"/>
        </w:numPr>
        <w:tabs>
          <w:tab w:val="left" w:pos="567"/>
        </w:tabs>
        <w:autoSpaceDE w:val="0"/>
        <w:autoSpaceDN w:val="0"/>
        <w:adjustRightInd w:val="0"/>
        <w:spacing w:after="120"/>
        <w:ind w:left="426" w:hanging="426"/>
        <w:rPr>
          <w:rFonts w:cs="Gill Sans MT"/>
          <w:color w:val="000000"/>
        </w:rPr>
      </w:pPr>
      <w:r w:rsidRPr="00D04ECA">
        <w:rPr>
          <w:rFonts w:cs="Gill Sans MT"/>
          <w:b/>
          <w:bCs/>
          <w:color w:val="000000"/>
        </w:rPr>
        <w:t>Pride in what we do -</w:t>
      </w:r>
      <w:r w:rsidRPr="00D04ECA">
        <w:rPr>
          <w:rFonts w:cs="Gill Sans MT"/>
          <w:color w:val="000000"/>
        </w:rPr>
        <w:t xml:space="preserve"> We take pride in who we are and what we do, and we do what is right, always. </w:t>
      </w:r>
    </w:p>
    <w:p w14:paraId="6C546A5C" w14:textId="77777777" w:rsidR="005C2076" w:rsidRPr="00D04ECA" w:rsidRDefault="005C2076" w:rsidP="005C2076">
      <w:pPr>
        <w:numPr>
          <w:ilvl w:val="0"/>
          <w:numId w:val="39"/>
        </w:numPr>
        <w:tabs>
          <w:tab w:val="left" w:pos="567"/>
        </w:tabs>
        <w:autoSpaceDE w:val="0"/>
        <w:autoSpaceDN w:val="0"/>
        <w:adjustRightInd w:val="0"/>
        <w:spacing w:after="120"/>
        <w:ind w:left="426" w:hanging="426"/>
        <w:rPr>
          <w:rFonts w:cs="Gill Sans MT"/>
          <w:color w:val="000000"/>
        </w:rPr>
      </w:pPr>
      <w:r w:rsidRPr="00D04ECA">
        <w:rPr>
          <w:rFonts w:cs="Gill Sans MT"/>
          <w:b/>
          <w:bCs/>
          <w:color w:val="000000"/>
        </w:rPr>
        <w:t>Passion for improvement -</w:t>
      </w:r>
      <w:r w:rsidRPr="00D04ECA">
        <w:rPr>
          <w:rFonts w:cs="Gill Sans MT"/>
          <w:color w:val="000000"/>
        </w:rPr>
        <w:t xml:space="preserve"> As it inspires us to achieve great things. </w:t>
      </w:r>
    </w:p>
    <w:p w14:paraId="79968BCE" w14:textId="15D5A13C" w:rsidR="00DD5FB3" w:rsidRDefault="000D5AF4" w:rsidP="005C207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5C207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EB489F"/>
    <w:multiLevelType w:val="hybridMultilevel"/>
    <w:tmpl w:val="88583E00"/>
    <w:lvl w:ilvl="0" w:tplc="EB2E0C56">
      <w:start w:val="1"/>
      <w:numFmt w:val="decimal"/>
      <w:lvlText w:val="%1."/>
      <w:lvlJc w:val="left"/>
      <w:pPr>
        <w:ind w:left="720" w:hanging="3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4316CA"/>
    <w:multiLevelType w:val="hybridMultilevel"/>
    <w:tmpl w:val="015A324E"/>
    <w:lvl w:ilvl="0" w:tplc="67A208F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26954">
      <w:start w:val="1"/>
      <w:numFmt w:val="decimal"/>
      <w:lvlText w:val="%2."/>
      <w:lvlJc w:val="left"/>
      <w:pPr>
        <w:ind w:left="9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2B61CA4">
      <w:start w:val="1"/>
      <w:numFmt w:val="lowerLetter"/>
      <w:lvlText w:val="%3)"/>
      <w:lvlJc w:val="left"/>
      <w:pPr>
        <w:ind w:left="14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5B08688">
      <w:start w:val="1"/>
      <w:numFmt w:val="decimal"/>
      <w:lvlText w:val="%4"/>
      <w:lvlJc w:val="left"/>
      <w:pPr>
        <w:ind w:left="20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2A2EF5E">
      <w:start w:val="1"/>
      <w:numFmt w:val="lowerLetter"/>
      <w:lvlText w:val="%5"/>
      <w:lvlJc w:val="left"/>
      <w:pPr>
        <w:ind w:left="27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18C6D0A">
      <w:start w:val="1"/>
      <w:numFmt w:val="lowerRoman"/>
      <w:lvlText w:val="%6"/>
      <w:lvlJc w:val="left"/>
      <w:pPr>
        <w:ind w:left="351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1EEC630">
      <w:start w:val="1"/>
      <w:numFmt w:val="decimal"/>
      <w:lvlText w:val="%7"/>
      <w:lvlJc w:val="left"/>
      <w:pPr>
        <w:ind w:left="423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6482DB2">
      <w:start w:val="1"/>
      <w:numFmt w:val="lowerLetter"/>
      <w:lvlText w:val="%8"/>
      <w:lvlJc w:val="left"/>
      <w:pPr>
        <w:ind w:left="495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974E3CA">
      <w:start w:val="1"/>
      <w:numFmt w:val="lowerRoman"/>
      <w:lvlText w:val="%9"/>
      <w:lvlJc w:val="left"/>
      <w:pPr>
        <w:ind w:left="56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896406"/>
    <w:multiLevelType w:val="hybridMultilevel"/>
    <w:tmpl w:val="F806B77E"/>
    <w:lvl w:ilvl="0" w:tplc="EB2E0C56">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7DC68FB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1E0336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43880F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01ECCD6">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6123844">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0367C0E">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E06F2CC">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2166608">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C492235"/>
    <w:multiLevelType w:val="hybridMultilevel"/>
    <w:tmpl w:val="16D2F0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A114A5"/>
    <w:multiLevelType w:val="hybridMultilevel"/>
    <w:tmpl w:val="865E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3250B6"/>
    <w:multiLevelType w:val="hybridMultilevel"/>
    <w:tmpl w:val="DA60272A"/>
    <w:lvl w:ilvl="0" w:tplc="0C090001">
      <w:start w:val="1"/>
      <w:numFmt w:val="bullet"/>
      <w:lvlText w:val=""/>
      <w:lvlJc w:val="left"/>
      <w:pPr>
        <w:ind w:left="5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28E9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0E4C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2AB2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062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C2B1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727E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C2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CE5E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4"/>
  </w:num>
  <w:num w:numId="3">
    <w:abstractNumId w:val="2"/>
  </w:num>
  <w:num w:numId="4">
    <w:abstractNumId w:val="14"/>
  </w:num>
  <w:num w:numId="5">
    <w:abstractNumId w:val="19"/>
  </w:num>
  <w:num w:numId="6">
    <w:abstractNumId w:val="16"/>
  </w:num>
  <w:num w:numId="7">
    <w:abstractNumId w:val="22"/>
  </w:num>
  <w:num w:numId="8">
    <w:abstractNumId w:val="1"/>
  </w:num>
  <w:num w:numId="9">
    <w:abstractNumId w:val="23"/>
  </w:num>
  <w:num w:numId="10">
    <w:abstractNumId w:val="20"/>
  </w:num>
  <w:num w:numId="11">
    <w:abstractNumId w:val="8"/>
  </w:num>
  <w:num w:numId="12">
    <w:abstractNumId w:val="1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18"/>
  </w:num>
  <w:num w:numId="20">
    <w:abstractNumId w:val="21"/>
  </w:num>
  <w:num w:numId="21">
    <w:abstractNumId w:val="8"/>
  </w:num>
  <w:num w:numId="22">
    <w:abstractNumId w:val="0"/>
  </w:num>
  <w:num w:numId="23">
    <w:abstractNumId w:val="4"/>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13"/>
  </w:num>
  <w:num w:numId="34">
    <w:abstractNumId w:val="11"/>
  </w:num>
  <w:num w:numId="35">
    <w:abstractNumId w:val="6"/>
  </w:num>
  <w:num w:numId="36">
    <w:abstractNumId w:val="10"/>
  </w:num>
  <w:num w:numId="37">
    <w:abstractNumId w:val="7"/>
  </w:num>
  <w:num w:numId="38">
    <w:abstractNumId w:val="5"/>
  </w:num>
  <w:num w:numId="3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200"/>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2076"/>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0B1B"/>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15F9"/>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690E"/>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2022-02-28T00:04:00Z</cp:lastPrinted>
  <dcterms:created xsi:type="dcterms:W3CDTF">2022-07-27T04:14:00Z</dcterms:created>
  <dcterms:modified xsi:type="dcterms:W3CDTF">2022-07-27T04:14:00Z</dcterms:modified>
</cp:coreProperties>
</file>