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2F63" w14:textId="77777777" w:rsidR="001573D4" w:rsidRPr="00524291" w:rsidRDefault="001573D4" w:rsidP="001573D4">
      <w:pPr>
        <w:spacing w:before="120" w:after="120"/>
        <w:rPr>
          <w:rFonts w:ascii="GillSans Light" w:hAnsi="GillSans Light" w:cs="Tahoma"/>
          <w:szCs w:val="24"/>
        </w:rPr>
      </w:pPr>
      <w:r w:rsidRPr="00524291">
        <w:rPr>
          <w:noProof/>
          <w:lang w:eastAsia="en-AU"/>
        </w:rPr>
        <w:drawing>
          <wp:anchor distT="0" distB="0" distL="114300" distR="114300" simplePos="0" relativeHeight="251658240" behindDoc="0" locked="0" layoutInCell="1" allowOverlap="1" wp14:anchorId="43E55148" wp14:editId="4F6BFEA3">
            <wp:simplePos x="0" y="0"/>
            <wp:positionH relativeFrom="column">
              <wp:posOffset>5203190</wp:posOffset>
            </wp:positionH>
            <wp:positionV relativeFrom="paragraph">
              <wp:posOffset>-454660</wp:posOffset>
            </wp:positionV>
            <wp:extent cx="1000125" cy="923925"/>
            <wp:effectExtent l="0" t="0" r="9525" b="9525"/>
            <wp:wrapSquare wrapText="bothSides"/>
            <wp:docPr id="1" name="Picture 1" descr="TasGovt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Govt 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0DF47" w14:textId="5856BE52" w:rsidR="002F6805" w:rsidRPr="00524291" w:rsidRDefault="001573D4" w:rsidP="00B05DBA">
      <w:pPr>
        <w:pStyle w:val="Heading1"/>
        <w:rPr>
          <w:sz w:val="44"/>
          <w:szCs w:val="44"/>
        </w:rPr>
      </w:pPr>
      <w:bookmarkStart w:id="0" w:name="_Toc191355609"/>
      <w:bookmarkStart w:id="1" w:name="_Toc194395455"/>
      <w:r w:rsidRPr="00524291">
        <w:rPr>
          <w:sz w:val="44"/>
          <w:szCs w:val="44"/>
        </w:rPr>
        <w:t>Department of Premier and Cabinet</w:t>
      </w:r>
      <w:r w:rsidRPr="00524291">
        <w:rPr>
          <w:sz w:val="52"/>
        </w:rPr>
        <w:br/>
      </w:r>
      <w:r w:rsidR="002B74D4">
        <w:rPr>
          <w:sz w:val="44"/>
          <w:szCs w:val="44"/>
        </w:rPr>
        <w:t xml:space="preserve">Reform </w:t>
      </w:r>
      <w:r w:rsidR="00D40B82">
        <w:rPr>
          <w:sz w:val="44"/>
          <w:szCs w:val="44"/>
        </w:rPr>
        <w:t>Lead</w:t>
      </w:r>
      <w:r w:rsidR="00EE1DAC" w:rsidRPr="00524291">
        <w:rPr>
          <w:sz w:val="44"/>
          <w:szCs w:val="44"/>
        </w:rPr>
        <w:t xml:space="preserve"> – </w:t>
      </w:r>
      <w:r w:rsidR="00B933DD">
        <w:rPr>
          <w:sz w:val="44"/>
          <w:szCs w:val="44"/>
        </w:rPr>
        <w:t>Keeping Children Safe</w:t>
      </w:r>
    </w:p>
    <w:p w14:paraId="0BAC7D22" w14:textId="77777777" w:rsidR="00272A4F" w:rsidRPr="00524291" w:rsidRDefault="00272A4F" w:rsidP="00272A4F"/>
    <w:p w14:paraId="73493BF1" w14:textId="77777777" w:rsidR="001573D4" w:rsidRPr="00524291" w:rsidRDefault="001573D4" w:rsidP="001573D4">
      <w:pPr>
        <w:pStyle w:val="Heading1"/>
        <w:ind w:left="851" w:hanging="851"/>
        <w:jc w:val="center"/>
        <w:rPr>
          <w:sz w:val="32"/>
        </w:rPr>
      </w:pPr>
      <w:r w:rsidRPr="00524291">
        <w:rPr>
          <w:sz w:val="32"/>
        </w:rPr>
        <w:t>Statement of Duties</w:t>
      </w:r>
    </w:p>
    <w:tbl>
      <w:tblPr>
        <w:tblW w:w="9468" w:type="dxa"/>
        <w:tblLayout w:type="fixed"/>
        <w:tblLook w:val="0000" w:firstRow="0" w:lastRow="0" w:firstColumn="0" w:lastColumn="0" w:noHBand="0" w:noVBand="0"/>
      </w:tblPr>
      <w:tblGrid>
        <w:gridCol w:w="2518"/>
        <w:gridCol w:w="6950"/>
      </w:tblGrid>
      <w:tr w:rsidR="00E656B2" w:rsidRPr="00524291" w14:paraId="7844B1A8" w14:textId="77777777" w:rsidTr="00D7417B">
        <w:tc>
          <w:tcPr>
            <w:tcW w:w="2518" w:type="dxa"/>
          </w:tcPr>
          <w:p w14:paraId="5B8D8E66" w14:textId="77777777" w:rsidR="00E656B2" w:rsidRPr="00524291" w:rsidRDefault="00E656B2" w:rsidP="00D7417B">
            <w:pPr>
              <w:spacing w:line="360" w:lineRule="auto"/>
              <w:rPr>
                <w:rFonts w:ascii="Arial" w:hAnsi="Arial" w:cs="Arial"/>
                <w:b/>
              </w:rPr>
            </w:pPr>
            <w:r w:rsidRPr="00524291">
              <w:rPr>
                <w:rFonts w:ascii="Arial" w:hAnsi="Arial" w:cs="Arial"/>
                <w:b/>
              </w:rPr>
              <w:t>Office Details</w:t>
            </w:r>
          </w:p>
          <w:p w14:paraId="609CD703"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Establishment Number</w:t>
            </w:r>
          </w:p>
        </w:tc>
        <w:tc>
          <w:tcPr>
            <w:tcW w:w="6950" w:type="dxa"/>
          </w:tcPr>
          <w:p w14:paraId="7BF186DF" w14:textId="77777777" w:rsidR="00E656B2" w:rsidRPr="00524291" w:rsidRDefault="00E656B2" w:rsidP="00D7417B">
            <w:pPr>
              <w:spacing w:line="360" w:lineRule="auto"/>
              <w:rPr>
                <w:rFonts w:ascii="GillSans" w:hAnsi="GillSans" w:cs="Arial"/>
                <w:sz w:val="22"/>
                <w:szCs w:val="22"/>
              </w:rPr>
            </w:pPr>
          </w:p>
          <w:p w14:paraId="7BD011B8" w14:textId="0CAFB51B" w:rsidR="00E656B2" w:rsidRPr="00524291" w:rsidRDefault="002E4138" w:rsidP="00E656B2">
            <w:pPr>
              <w:rPr>
                <w:rFonts w:ascii="Arial" w:hAnsi="Arial" w:cs="Arial"/>
                <w:sz w:val="22"/>
                <w:szCs w:val="22"/>
              </w:rPr>
            </w:pPr>
            <w:r>
              <w:rPr>
                <w:rFonts w:ascii="Arial" w:hAnsi="Arial" w:cs="Arial"/>
                <w:sz w:val="22"/>
                <w:szCs w:val="22"/>
              </w:rPr>
              <w:t>TBC</w:t>
            </w:r>
          </w:p>
        </w:tc>
      </w:tr>
      <w:tr w:rsidR="00E656B2" w:rsidRPr="00524291" w14:paraId="347F7EBE" w14:textId="77777777" w:rsidTr="00D7417B">
        <w:tc>
          <w:tcPr>
            <w:tcW w:w="2518" w:type="dxa"/>
          </w:tcPr>
          <w:p w14:paraId="7E6076EF"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Location</w:t>
            </w:r>
          </w:p>
        </w:tc>
        <w:tc>
          <w:tcPr>
            <w:tcW w:w="6950" w:type="dxa"/>
          </w:tcPr>
          <w:p w14:paraId="55BFA73C"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Hobart</w:t>
            </w:r>
          </w:p>
        </w:tc>
      </w:tr>
      <w:tr w:rsidR="00E656B2" w:rsidRPr="00524291" w14:paraId="1F92D63E" w14:textId="77777777" w:rsidTr="00D7417B">
        <w:tc>
          <w:tcPr>
            <w:tcW w:w="2518" w:type="dxa"/>
          </w:tcPr>
          <w:p w14:paraId="1A2DFF9D"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Division</w:t>
            </w:r>
          </w:p>
        </w:tc>
        <w:tc>
          <w:tcPr>
            <w:tcW w:w="6950" w:type="dxa"/>
          </w:tcPr>
          <w:p w14:paraId="71B3F389" w14:textId="28B26155" w:rsidR="00E656B2" w:rsidRPr="00524291" w:rsidRDefault="003C3C75" w:rsidP="006009AE">
            <w:pPr>
              <w:spacing w:line="360" w:lineRule="auto"/>
              <w:rPr>
                <w:rFonts w:ascii="Arial" w:hAnsi="Arial" w:cs="Arial"/>
                <w:sz w:val="22"/>
                <w:szCs w:val="22"/>
              </w:rPr>
            </w:pPr>
            <w:r>
              <w:rPr>
                <w:rFonts w:ascii="Arial" w:hAnsi="Arial" w:cs="Arial"/>
                <w:sz w:val="22"/>
                <w:szCs w:val="22"/>
              </w:rPr>
              <w:t>Office of the Secretary</w:t>
            </w:r>
          </w:p>
        </w:tc>
      </w:tr>
      <w:tr w:rsidR="00E656B2" w:rsidRPr="00524291" w14:paraId="28E33222" w14:textId="77777777" w:rsidTr="00D7417B">
        <w:tc>
          <w:tcPr>
            <w:tcW w:w="2518" w:type="dxa"/>
          </w:tcPr>
          <w:p w14:paraId="5F31CB95"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Classification</w:t>
            </w:r>
          </w:p>
        </w:tc>
        <w:tc>
          <w:tcPr>
            <w:tcW w:w="6950" w:type="dxa"/>
          </w:tcPr>
          <w:p w14:paraId="145C02C6" w14:textId="4D72C31F"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 xml:space="preserve">Senior Executive Service – Level </w:t>
            </w:r>
            <w:r w:rsidR="00C06DB7">
              <w:rPr>
                <w:rFonts w:ascii="Arial" w:hAnsi="Arial" w:cs="Arial"/>
                <w:sz w:val="22"/>
                <w:szCs w:val="22"/>
              </w:rPr>
              <w:t>4</w:t>
            </w:r>
          </w:p>
        </w:tc>
      </w:tr>
      <w:tr w:rsidR="00E656B2" w:rsidRPr="00524291" w14:paraId="1F8D5D8C" w14:textId="77777777" w:rsidTr="00D7417B">
        <w:tc>
          <w:tcPr>
            <w:tcW w:w="2518" w:type="dxa"/>
          </w:tcPr>
          <w:p w14:paraId="2F0711C7"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Reports To</w:t>
            </w:r>
          </w:p>
        </w:tc>
        <w:tc>
          <w:tcPr>
            <w:tcW w:w="6950" w:type="dxa"/>
          </w:tcPr>
          <w:p w14:paraId="3D41C773" w14:textId="03A7CB73" w:rsidR="00E656B2" w:rsidRPr="00524291" w:rsidRDefault="00D9319B" w:rsidP="00D7417B">
            <w:pPr>
              <w:spacing w:line="360" w:lineRule="auto"/>
              <w:rPr>
                <w:rFonts w:ascii="Arial" w:hAnsi="Arial" w:cs="Arial"/>
                <w:sz w:val="22"/>
                <w:szCs w:val="22"/>
              </w:rPr>
            </w:pPr>
            <w:r>
              <w:rPr>
                <w:rFonts w:ascii="Arial" w:hAnsi="Arial" w:cs="Arial"/>
                <w:sz w:val="22"/>
                <w:szCs w:val="22"/>
              </w:rPr>
              <w:t>Secretary.</w:t>
            </w:r>
          </w:p>
        </w:tc>
      </w:tr>
      <w:tr w:rsidR="00E656B2" w:rsidRPr="00524291" w14:paraId="6A6CB65F" w14:textId="77777777" w:rsidTr="00D7417B">
        <w:tc>
          <w:tcPr>
            <w:tcW w:w="2518" w:type="dxa"/>
          </w:tcPr>
          <w:p w14:paraId="0D4A8460" w14:textId="77777777"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Employment Status</w:t>
            </w:r>
          </w:p>
        </w:tc>
        <w:tc>
          <w:tcPr>
            <w:tcW w:w="6950" w:type="dxa"/>
          </w:tcPr>
          <w:p w14:paraId="7EC51968" w14:textId="110C241D" w:rsidR="00E656B2" w:rsidRPr="00524291" w:rsidRDefault="00E656B2" w:rsidP="00D7417B">
            <w:pPr>
              <w:spacing w:line="360" w:lineRule="auto"/>
              <w:rPr>
                <w:rFonts w:ascii="Arial" w:hAnsi="Arial" w:cs="Arial"/>
                <w:sz w:val="22"/>
                <w:szCs w:val="22"/>
              </w:rPr>
            </w:pPr>
            <w:r w:rsidRPr="00524291">
              <w:rPr>
                <w:rFonts w:ascii="Arial" w:hAnsi="Arial" w:cs="Arial"/>
                <w:sz w:val="22"/>
                <w:szCs w:val="22"/>
              </w:rPr>
              <w:t xml:space="preserve">Fixed-Term, Full-Time day work; </w:t>
            </w:r>
            <w:r w:rsidR="00EE1DAC" w:rsidRPr="00524291">
              <w:rPr>
                <w:rFonts w:ascii="Arial" w:hAnsi="Arial" w:cs="Arial"/>
                <w:sz w:val="22"/>
                <w:szCs w:val="22"/>
              </w:rPr>
              <w:t>5-year</w:t>
            </w:r>
            <w:r w:rsidRPr="00524291">
              <w:rPr>
                <w:rFonts w:ascii="Arial" w:hAnsi="Arial" w:cs="Arial"/>
                <w:sz w:val="22"/>
                <w:szCs w:val="22"/>
              </w:rPr>
              <w:t xml:space="preserve"> Contract</w:t>
            </w:r>
          </w:p>
        </w:tc>
      </w:tr>
    </w:tbl>
    <w:p w14:paraId="173897FD" w14:textId="77777777" w:rsidR="001573D4" w:rsidRPr="00524291" w:rsidRDefault="001573D4" w:rsidP="001573D4">
      <w:pPr>
        <w:pStyle w:val="Headinglevel2"/>
        <w:shd w:val="clear" w:color="auto" w:fill="FFFFFF"/>
        <w:rPr>
          <w:rFonts w:cs="Arial"/>
          <w:color w:val="auto"/>
          <w:sz w:val="24"/>
        </w:rPr>
      </w:pPr>
      <w:r w:rsidRPr="00524291">
        <w:rPr>
          <w:rFonts w:cs="Arial"/>
          <w:color w:val="auto"/>
          <w:sz w:val="24"/>
        </w:rPr>
        <w:t>Your Role Objective</w:t>
      </w:r>
    </w:p>
    <w:p w14:paraId="2CCD1A82" w14:textId="1FEEA568" w:rsidR="00EE1DAC" w:rsidRPr="00524291" w:rsidRDefault="003C3C75" w:rsidP="00EE1DAC">
      <w:pPr>
        <w:pStyle w:val="Headinglevel2"/>
        <w:spacing w:before="0"/>
        <w:rPr>
          <w:rFonts w:cs="Arial"/>
          <w:b w:val="0"/>
          <w:color w:val="auto"/>
          <w:szCs w:val="22"/>
        </w:rPr>
      </w:pPr>
      <w:r>
        <w:rPr>
          <w:rFonts w:cs="Arial"/>
          <w:b w:val="0"/>
          <w:color w:val="auto"/>
          <w:szCs w:val="22"/>
        </w:rPr>
        <w:t xml:space="preserve">Lead transformational change in child safety issues by providing </w:t>
      </w:r>
      <w:r w:rsidR="00EE1DAC" w:rsidRPr="00524291">
        <w:rPr>
          <w:rFonts w:cs="Arial"/>
          <w:b w:val="0"/>
          <w:color w:val="auto"/>
          <w:szCs w:val="22"/>
        </w:rPr>
        <w:t>strategic leadership</w:t>
      </w:r>
      <w:r>
        <w:rPr>
          <w:rFonts w:cs="Arial"/>
          <w:b w:val="0"/>
          <w:color w:val="auto"/>
          <w:szCs w:val="22"/>
        </w:rPr>
        <w:t xml:space="preserve">, </w:t>
      </w:r>
      <w:proofErr w:type="gramStart"/>
      <w:r>
        <w:rPr>
          <w:rFonts w:cs="Arial"/>
          <w:b w:val="0"/>
          <w:color w:val="auto"/>
          <w:szCs w:val="22"/>
        </w:rPr>
        <w:t>co-ordination</w:t>
      </w:r>
      <w:proofErr w:type="gramEnd"/>
      <w:r w:rsidR="00EE1DAC" w:rsidRPr="00524291">
        <w:rPr>
          <w:rFonts w:cs="Arial"/>
          <w:b w:val="0"/>
          <w:color w:val="auto"/>
          <w:szCs w:val="22"/>
        </w:rPr>
        <w:t xml:space="preserve"> and direction </w:t>
      </w:r>
      <w:r>
        <w:rPr>
          <w:rFonts w:cs="Arial"/>
          <w:b w:val="0"/>
          <w:color w:val="auto"/>
          <w:szCs w:val="22"/>
        </w:rPr>
        <w:t>to ensure a united approach across Government</w:t>
      </w:r>
      <w:r w:rsidR="00F45C65">
        <w:rPr>
          <w:rFonts w:cs="Arial"/>
          <w:b w:val="0"/>
          <w:color w:val="auto"/>
          <w:szCs w:val="22"/>
        </w:rPr>
        <w:t xml:space="preserve">, including government funded agencies and </w:t>
      </w:r>
      <w:r w:rsidR="00CE2ABE">
        <w:rPr>
          <w:rFonts w:cs="Arial"/>
          <w:b w:val="0"/>
          <w:color w:val="auto"/>
          <w:szCs w:val="22"/>
        </w:rPr>
        <w:t>statutory bodies,</w:t>
      </w:r>
      <w:r>
        <w:rPr>
          <w:rFonts w:cs="Arial"/>
          <w:b w:val="0"/>
          <w:color w:val="auto"/>
          <w:szCs w:val="22"/>
        </w:rPr>
        <w:t xml:space="preserve"> to keeping children and young people safe in Tasmanian Government institutions. Build a culture across Government that is child centred, </w:t>
      </w:r>
      <w:r w:rsidR="00D714EE">
        <w:rPr>
          <w:rFonts w:cs="Arial"/>
          <w:b w:val="0"/>
          <w:color w:val="auto"/>
          <w:szCs w:val="22"/>
        </w:rPr>
        <w:t>trauma informed, listens to the voices of children and young people, adults with lived experience of child sexual abuse as children</w:t>
      </w:r>
      <w:r w:rsidR="00F45C65">
        <w:rPr>
          <w:rFonts w:cs="Arial"/>
          <w:b w:val="0"/>
          <w:color w:val="auto"/>
          <w:szCs w:val="22"/>
        </w:rPr>
        <w:t xml:space="preserve"> and voices from diverse communities</w:t>
      </w:r>
      <w:r w:rsidR="00D714EE">
        <w:rPr>
          <w:rFonts w:cs="Arial"/>
          <w:b w:val="0"/>
          <w:color w:val="auto"/>
          <w:szCs w:val="22"/>
        </w:rPr>
        <w:t xml:space="preserve">; and ensures contemporaneous education to change attitudes and beliefs. </w:t>
      </w:r>
    </w:p>
    <w:p w14:paraId="4765D699" w14:textId="59AB2704" w:rsidR="00D64E4E" w:rsidRPr="00524291" w:rsidRDefault="001573D4" w:rsidP="00CC2F3E">
      <w:pPr>
        <w:pStyle w:val="Headinglevel2"/>
        <w:shd w:val="clear" w:color="auto" w:fill="FFFFFF"/>
        <w:rPr>
          <w:rFonts w:cs="Arial"/>
          <w:b w:val="0"/>
          <w:color w:val="auto"/>
          <w:szCs w:val="22"/>
        </w:rPr>
      </w:pPr>
      <w:r w:rsidRPr="00524291">
        <w:rPr>
          <w:rFonts w:cs="Arial"/>
          <w:color w:val="auto"/>
          <w:sz w:val="24"/>
        </w:rPr>
        <w:t>Your Major Duties</w:t>
      </w:r>
    </w:p>
    <w:p w14:paraId="05A62DAB" w14:textId="08AB19C0" w:rsidR="001B750C" w:rsidRPr="00524291" w:rsidRDefault="001B750C" w:rsidP="001B750C">
      <w:pPr>
        <w:pStyle w:val="Headinglevel2"/>
        <w:spacing w:before="120"/>
        <w:rPr>
          <w:rFonts w:cs="Arial"/>
          <w:b w:val="0"/>
          <w:color w:val="auto"/>
          <w:szCs w:val="22"/>
        </w:rPr>
      </w:pPr>
      <w:r w:rsidRPr="00524291">
        <w:rPr>
          <w:rFonts w:cs="Arial"/>
          <w:b w:val="0"/>
          <w:color w:val="auto"/>
          <w:szCs w:val="22"/>
        </w:rPr>
        <w:t xml:space="preserve">Key result areas include: </w:t>
      </w:r>
    </w:p>
    <w:p w14:paraId="24671E82" w14:textId="214C5768" w:rsidR="00D607FC" w:rsidRDefault="00D9319B"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Lead a whole-of-government response to </w:t>
      </w:r>
      <w:r w:rsidR="00067631" w:rsidRPr="00D607FC">
        <w:rPr>
          <w:rFonts w:ascii="Arial" w:hAnsi="Arial" w:cs="Arial"/>
          <w:szCs w:val="24"/>
        </w:rPr>
        <w:t>all</w:t>
      </w:r>
      <w:r w:rsidR="002F3987" w:rsidRPr="00D607FC">
        <w:rPr>
          <w:rFonts w:ascii="Arial" w:hAnsi="Arial" w:cs="Arial"/>
          <w:szCs w:val="24"/>
        </w:rPr>
        <w:t xml:space="preserve"> </w:t>
      </w:r>
      <w:r w:rsidR="00AA18C4" w:rsidRPr="00D607FC">
        <w:rPr>
          <w:rFonts w:ascii="Arial" w:hAnsi="Arial" w:cs="Arial"/>
          <w:szCs w:val="24"/>
        </w:rPr>
        <w:t xml:space="preserve">recommendations </w:t>
      </w:r>
      <w:r w:rsidR="002F3987" w:rsidRPr="00D607FC">
        <w:rPr>
          <w:rFonts w:ascii="Arial" w:hAnsi="Arial" w:cs="Arial"/>
          <w:szCs w:val="24"/>
        </w:rPr>
        <w:t>arising</w:t>
      </w:r>
      <w:r w:rsidR="00AA18C4" w:rsidRPr="00D607FC">
        <w:rPr>
          <w:rFonts w:ascii="Arial" w:hAnsi="Arial" w:cs="Arial"/>
          <w:szCs w:val="24"/>
        </w:rPr>
        <w:t xml:space="preserve"> from the Tasmanian Government Commission of Inquiry into Child Sex Abuse in Institutional Settings </w:t>
      </w:r>
    </w:p>
    <w:p w14:paraId="7311644E" w14:textId="77777777" w:rsidR="002B74D4" w:rsidRPr="002B74D4" w:rsidRDefault="002B74D4" w:rsidP="002B74D4">
      <w:pPr>
        <w:numPr>
          <w:ilvl w:val="0"/>
          <w:numId w:val="9"/>
        </w:numPr>
        <w:spacing w:after="120" w:line="300" w:lineRule="atLeast"/>
        <w:jc w:val="both"/>
        <w:rPr>
          <w:rFonts w:ascii="Arial" w:hAnsi="Arial" w:cs="Arial"/>
          <w:szCs w:val="24"/>
        </w:rPr>
      </w:pPr>
      <w:r w:rsidRPr="002B74D4">
        <w:rPr>
          <w:rFonts w:ascii="Arial" w:hAnsi="Arial" w:cs="Arial"/>
          <w:szCs w:val="24"/>
        </w:rPr>
        <w:t>Manage a multi-disciplinary policy team working across all portfolios in government to provide definitive advice to the Premier and Cabinet on government policy direction and complex whole of government and multi-agency matters including:</w:t>
      </w:r>
    </w:p>
    <w:p w14:paraId="7D4205A9" w14:textId="77777777" w:rsidR="002B74D4" w:rsidRPr="002B74D4" w:rsidRDefault="002B74D4" w:rsidP="002B74D4">
      <w:pPr>
        <w:numPr>
          <w:ilvl w:val="1"/>
          <w:numId w:val="9"/>
        </w:numPr>
        <w:spacing w:after="120" w:line="300" w:lineRule="atLeast"/>
        <w:jc w:val="both"/>
        <w:rPr>
          <w:rFonts w:ascii="Arial" w:hAnsi="Arial" w:cs="Arial"/>
          <w:szCs w:val="24"/>
        </w:rPr>
      </w:pPr>
      <w:r w:rsidRPr="002B74D4">
        <w:rPr>
          <w:rFonts w:ascii="Arial" w:hAnsi="Arial" w:cs="Arial"/>
          <w:szCs w:val="24"/>
        </w:rPr>
        <w:t xml:space="preserve">the Keeping Children Safer Unit and leadership of the Unit’s responsibility for coordination and delivery of Whole of Government reforms relating to the Government’s priority of Keeping Children Safer, including Tasmanian Government’s Response to the Commission of Inquiry into Child Sex Abuse in Institutional Settings </w:t>
      </w:r>
    </w:p>
    <w:p w14:paraId="68E01203" w14:textId="77777777" w:rsidR="002B74D4" w:rsidRPr="002B74D4" w:rsidRDefault="002B74D4" w:rsidP="002B74D4">
      <w:pPr>
        <w:numPr>
          <w:ilvl w:val="1"/>
          <w:numId w:val="9"/>
        </w:numPr>
        <w:spacing w:after="120" w:line="300" w:lineRule="atLeast"/>
        <w:jc w:val="both"/>
        <w:rPr>
          <w:rFonts w:ascii="Arial" w:hAnsi="Arial" w:cs="Arial"/>
          <w:szCs w:val="24"/>
        </w:rPr>
      </w:pPr>
      <w:r w:rsidRPr="002B74D4">
        <w:rPr>
          <w:rFonts w:ascii="Arial" w:hAnsi="Arial" w:cs="Arial"/>
          <w:szCs w:val="24"/>
        </w:rPr>
        <w:t>strategic policy advice and leadership to coordinate, manage and deliver complex governance and policy and programs in relation to Child and Youth Wellbeing.</w:t>
      </w:r>
    </w:p>
    <w:p w14:paraId="3B67430B" w14:textId="08C1F558" w:rsidR="002B74D4" w:rsidRPr="002B74D4" w:rsidRDefault="002B74D4" w:rsidP="002B74D4">
      <w:pPr>
        <w:numPr>
          <w:ilvl w:val="0"/>
          <w:numId w:val="9"/>
        </w:numPr>
        <w:spacing w:after="120" w:line="300" w:lineRule="atLeast"/>
        <w:jc w:val="both"/>
        <w:rPr>
          <w:rFonts w:ascii="Arial" w:hAnsi="Arial" w:cs="Arial"/>
          <w:szCs w:val="24"/>
        </w:rPr>
      </w:pPr>
      <w:r w:rsidRPr="002B74D4">
        <w:rPr>
          <w:rFonts w:ascii="Arial" w:hAnsi="Arial" w:cs="Arial"/>
          <w:szCs w:val="24"/>
        </w:rPr>
        <w:t xml:space="preserve">Provide strategic leadership and direction in developing and implementing whole of government reform initiatives and associated change management activities </w:t>
      </w:r>
      <w:r w:rsidRPr="002B74D4">
        <w:rPr>
          <w:rFonts w:ascii="Arial" w:hAnsi="Arial" w:cs="Arial"/>
          <w:szCs w:val="24"/>
        </w:rPr>
        <w:lastRenderedPageBreak/>
        <w:t xml:space="preserve">including the development of whole of governance framework, strategies, policies, </w:t>
      </w:r>
      <w:proofErr w:type="gramStart"/>
      <w:r w:rsidRPr="002B74D4">
        <w:rPr>
          <w:rFonts w:ascii="Arial" w:hAnsi="Arial" w:cs="Arial"/>
          <w:szCs w:val="24"/>
        </w:rPr>
        <w:t>systems</w:t>
      </w:r>
      <w:proofErr w:type="gramEnd"/>
      <w:r w:rsidRPr="002B74D4">
        <w:rPr>
          <w:rFonts w:ascii="Arial" w:hAnsi="Arial" w:cs="Arial"/>
          <w:szCs w:val="24"/>
        </w:rPr>
        <w:t xml:space="preserve"> and processes. </w:t>
      </w:r>
    </w:p>
    <w:p w14:paraId="5459B6CD" w14:textId="0379EA9E" w:rsidR="00A07759" w:rsidRDefault="00A07759" w:rsidP="00D607FC">
      <w:pPr>
        <w:numPr>
          <w:ilvl w:val="0"/>
          <w:numId w:val="9"/>
        </w:numPr>
        <w:spacing w:after="120" w:line="300" w:lineRule="atLeast"/>
        <w:jc w:val="both"/>
        <w:rPr>
          <w:rFonts w:ascii="Arial" w:hAnsi="Arial" w:cs="Arial"/>
          <w:szCs w:val="24"/>
        </w:rPr>
      </w:pPr>
      <w:proofErr w:type="gramStart"/>
      <w:r>
        <w:rPr>
          <w:rFonts w:ascii="Arial" w:hAnsi="Arial" w:cs="Arial"/>
          <w:szCs w:val="24"/>
        </w:rPr>
        <w:t>Specifically</w:t>
      </w:r>
      <w:proofErr w:type="gramEnd"/>
      <w:r>
        <w:rPr>
          <w:rFonts w:ascii="Arial" w:hAnsi="Arial" w:cs="Arial"/>
          <w:szCs w:val="24"/>
        </w:rPr>
        <w:t xml:space="preserve"> co-ordinate the development of a whole of Government child sexual abuse reform strategy for preventing, identifying and responding to child sexual abuse.</w:t>
      </w:r>
    </w:p>
    <w:p w14:paraId="57CBCB36" w14:textId="7D08C425" w:rsidR="00D607FC" w:rsidRPr="00D607FC" w:rsidRDefault="00D607FC"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Direct the development, implementation and ongoing evaluation and review of policies, </w:t>
      </w:r>
      <w:proofErr w:type="gramStart"/>
      <w:r w:rsidRPr="00D607FC">
        <w:rPr>
          <w:rFonts w:ascii="Arial" w:hAnsi="Arial" w:cs="Arial"/>
          <w:szCs w:val="24"/>
        </w:rPr>
        <w:t>programs</w:t>
      </w:r>
      <w:proofErr w:type="gramEnd"/>
      <w:r w:rsidRPr="00D607FC">
        <w:rPr>
          <w:rFonts w:ascii="Arial" w:hAnsi="Arial" w:cs="Arial"/>
          <w:szCs w:val="24"/>
        </w:rPr>
        <w:t xml:space="preserve"> and priorities </w:t>
      </w:r>
      <w:r>
        <w:rPr>
          <w:rFonts w:ascii="Arial" w:hAnsi="Arial" w:cs="Arial"/>
          <w:szCs w:val="24"/>
        </w:rPr>
        <w:t xml:space="preserve">in relation to the implement of the Commission of Inquiry </w:t>
      </w:r>
      <w:r w:rsidRPr="00D607FC">
        <w:rPr>
          <w:rFonts w:ascii="Arial" w:hAnsi="Arial" w:cs="Arial"/>
          <w:szCs w:val="24"/>
        </w:rPr>
        <w:t>to ensure alignment with Government's strategic policy direction.</w:t>
      </w:r>
    </w:p>
    <w:p w14:paraId="403FCB48" w14:textId="09F606B7" w:rsidR="00D607FC" w:rsidRPr="00D607FC" w:rsidRDefault="00D607FC"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Collaborate to deliver effective governance </w:t>
      </w:r>
      <w:r w:rsidR="00A07759">
        <w:rPr>
          <w:rFonts w:ascii="Arial" w:hAnsi="Arial" w:cs="Arial"/>
          <w:szCs w:val="24"/>
        </w:rPr>
        <w:t xml:space="preserve">across Government and </w:t>
      </w:r>
      <w:r w:rsidRPr="00D607FC">
        <w:rPr>
          <w:rFonts w:ascii="Arial" w:hAnsi="Arial" w:cs="Arial"/>
          <w:szCs w:val="24"/>
        </w:rPr>
        <w:t>within the Agency as a key participant in critical planning and decision-making processes</w:t>
      </w:r>
      <w:r w:rsidR="00A07759">
        <w:rPr>
          <w:rFonts w:ascii="Arial" w:hAnsi="Arial" w:cs="Arial"/>
          <w:szCs w:val="24"/>
        </w:rPr>
        <w:t>.</w:t>
      </w:r>
    </w:p>
    <w:p w14:paraId="6A665BE0" w14:textId="1441ABD7" w:rsidR="00D607FC" w:rsidRPr="00D607FC" w:rsidRDefault="00D607FC"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Lead and enhance strategic long-term </w:t>
      </w:r>
      <w:r w:rsidR="00F45C65">
        <w:rPr>
          <w:rFonts w:ascii="Arial" w:hAnsi="Arial" w:cs="Arial"/>
          <w:szCs w:val="24"/>
        </w:rPr>
        <w:t>engagement</w:t>
      </w:r>
      <w:r w:rsidRPr="00D607FC">
        <w:rPr>
          <w:rFonts w:ascii="Arial" w:hAnsi="Arial" w:cs="Arial"/>
          <w:szCs w:val="24"/>
        </w:rPr>
        <w:t xml:space="preserve"> with </w:t>
      </w:r>
      <w:r w:rsidR="00F45C65">
        <w:rPr>
          <w:rFonts w:ascii="Arial" w:hAnsi="Arial" w:cs="Arial"/>
          <w:szCs w:val="24"/>
        </w:rPr>
        <w:t>non-government organisations</w:t>
      </w:r>
      <w:r w:rsidRPr="00D607FC">
        <w:rPr>
          <w:rFonts w:ascii="Arial" w:hAnsi="Arial" w:cs="Arial"/>
          <w:szCs w:val="24"/>
        </w:rPr>
        <w:t xml:space="preserve"> to ensure that all perspectives and implications are considered in formulation of </w:t>
      </w:r>
      <w:r w:rsidR="00F45C65">
        <w:rPr>
          <w:rFonts w:ascii="Arial" w:hAnsi="Arial" w:cs="Arial"/>
          <w:szCs w:val="24"/>
        </w:rPr>
        <w:t>the reform strategy and action plan.</w:t>
      </w:r>
    </w:p>
    <w:p w14:paraId="626E3E79" w14:textId="1EC2B52E" w:rsidR="00D607FC" w:rsidRPr="00D607FC" w:rsidRDefault="00D607FC"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Provide timely, strategic, </w:t>
      </w:r>
      <w:proofErr w:type="gramStart"/>
      <w:r w:rsidRPr="00D607FC">
        <w:rPr>
          <w:rFonts w:ascii="Arial" w:hAnsi="Arial" w:cs="Arial"/>
          <w:szCs w:val="24"/>
        </w:rPr>
        <w:t>expert</w:t>
      </w:r>
      <w:proofErr w:type="gramEnd"/>
      <w:r w:rsidRPr="00D607FC">
        <w:rPr>
          <w:rFonts w:ascii="Arial" w:hAnsi="Arial" w:cs="Arial"/>
          <w:szCs w:val="24"/>
        </w:rPr>
        <w:t xml:space="preserve"> and authoritative advice to the </w:t>
      </w:r>
      <w:r w:rsidR="00CE2ABE">
        <w:rPr>
          <w:rFonts w:ascii="Arial" w:hAnsi="Arial" w:cs="Arial"/>
          <w:szCs w:val="24"/>
        </w:rPr>
        <w:t>Premier, Ministers,</w:t>
      </w:r>
      <w:r w:rsidRPr="00D607FC">
        <w:rPr>
          <w:rFonts w:ascii="Arial" w:hAnsi="Arial" w:cs="Arial"/>
          <w:szCs w:val="24"/>
        </w:rPr>
        <w:t xml:space="preserve"> Secretary </w:t>
      </w:r>
      <w:r w:rsidR="00CE2ABE">
        <w:rPr>
          <w:rFonts w:ascii="Arial" w:hAnsi="Arial" w:cs="Arial"/>
          <w:szCs w:val="24"/>
        </w:rPr>
        <w:t xml:space="preserve">and Secretaries Board </w:t>
      </w:r>
      <w:r w:rsidRPr="00D607FC">
        <w:rPr>
          <w:rFonts w:ascii="Arial" w:hAnsi="Arial" w:cs="Arial"/>
          <w:szCs w:val="24"/>
        </w:rPr>
        <w:t>to enable fully informed evidence-based strategic policy recommendations and decisions</w:t>
      </w:r>
      <w:r w:rsidR="00D01EA7">
        <w:rPr>
          <w:rFonts w:ascii="Arial" w:hAnsi="Arial" w:cs="Arial"/>
          <w:szCs w:val="24"/>
        </w:rPr>
        <w:t>.</w:t>
      </w:r>
    </w:p>
    <w:p w14:paraId="61E2E83C" w14:textId="77777777" w:rsidR="00CE2ABE" w:rsidRPr="00D607FC" w:rsidRDefault="00CE2ABE" w:rsidP="00CE2ABE">
      <w:pPr>
        <w:numPr>
          <w:ilvl w:val="0"/>
          <w:numId w:val="9"/>
        </w:numPr>
        <w:spacing w:after="120" w:line="300" w:lineRule="atLeast"/>
        <w:jc w:val="both"/>
        <w:rPr>
          <w:rFonts w:ascii="Arial" w:hAnsi="Arial" w:cs="Arial"/>
          <w:szCs w:val="24"/>
        </w:rPr>
      </w:pPr>
      <w:r w:rsidRPr="0059089A">
        <w:rPr>
          <w:rFonts w:ascii="Arial" w:hAnsi="Arial" w:cs="Arial"/>
          <w:szCs w:val="24"/>
        </w:rPr>
        <w:t xml:space="preserve">Provide the central point of reference for Government, the </w:t>
      </w:r>
      <w:r>
        <w:rPr>
          <w:rFonts w:ascii="Arial" w:hAnsi="Arial" w:cs="Arial"/>
          <w:szCs w:val="24"/>
        </w:rPr>
        <w:t>non-government</w:t>
      </w:r>
      <w:r w:rsidRPr="0059089A">
        <w:rPr>
          <w:rFonts w:ascii="Arial" w:hAnsi="Arial" w:cs="Arial"/>
          <w:szCs w:val="24"/>
        </w:rPr>
        <w:t xml:space="preserve"> sector and the broader community on strategic matters and policy decisions relating to children and young people. </w:t>
      </w:r>
    </w:p>
    <w:p w14:paraId="3A5F9F78" w14:textId="2EAD6D1E" w:rsidR="00D607FC" w:rsidRPr="00D607FC" w:rsidRDefault="00D607FC"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Represent the </w:t>
      </w:r>
      <w:r w:rsidR="00CE2ABE">
        <w:rPr>
          <w:rFonts w:ascii="Arial" w:hAnsi="Arial" w:cs="Arial"/>
          <w:szCs w:val="24"/>
        </w:rPr>
        <w:t xml:space="preserve">Government and the </w:t>
      </w:r>
      <w:r w:rsidRPr="00D607FC">
        <w:rPr>
          <w:rFonts w:ascii="Arial" w:hAnsi="Arial" w:cs="Arial"/>
          <w:szCs w:val="24"/>
        </w:rPr>
        <w:t>Agency in consultations and negotiations with key external stakeholders, including other government jurisdictions nationally and/or internationally</w:t>
      </w:r>
      <w:r w:rsidR="00B35416">
        <w:rPr>
          <w:rFonts w:ascii="Arial" w:hAnsi="Arial" w:cs="Arial"/>
          <w:szCs w:val="24"/>
        </w:rPr>
        <w:t xml:space="preserve"> at chief executive and senior executive level</w:t>
      </w:r>
      <w:r w:rsidRPr="00D607FC">
        <w:rPr>
          <w:rFonts w:ascii="Arial" w:hAnsi="Arial" w:cs="Arial"/>
          <w:szCs w:val="24"/>
        </w:rPr>
        <w:t xml:space="preserve">, to optimise outcomes for </w:t>
      </w:r>
      <w:r w:rsidR="00CE2ABE">
        <w:rPr>
          <w:rFonts w:ascii="Arial" w:hAnsi="Arial" w:cs="Arial"/>
          <w:szCs w:val="24"/>
        </w:rPr>
        <w:t xml:space="preserve">Tasmanian children and young people, </w:t>
      </w:r>
      <w:r w:rsidRPr="00D607FC">
        <w:rPr>
          <w:rFonts w:ascii="Arial" w:hAnsi="Arial" w:cs="Arial"/>
          <w:szCs w:val="24"/>
        </w:rPr>
        <w:t xml:space="preserve">the </w:t>
      </w:r>
      <w:proofErr w:type="gramStart"/>
      <w:r w:rsidRPr="00D607FC">
        <w:rPr>
          <w:rFonts w:ascii="Arial" w:hAnsi="Arial" w:cs="Arial"/>
          <w:szCs w:val="24"/>
        </w:rPr>
        <w:t>Agency</w:t>
      </w:r>
      <w:proofErr w:type="gramEnd"/>
      <w:r w:rsidRPr="00D607FC">
        <w:rPr>
          <w:rFonts w:ascii="Arial" w:hAnsi="Arial" w:cs="Arial"/>
          <w:szCs w:val="24"/>
        </w:rPr>
        <w:t xml:space="preserve"> and the Government</w:t>
      </w:r>
      <w:r w:rsidR="00B35416">
        <w:rPr>
          <w:rFonts w:ascii="Arial" w:hAnsi="Arial" w:cs="Arial"/>
          <w:szCs w:val="24"/>
        </w:rPr>
        <w:t>.</w:t>
      </w:r>
    </w:p>
    <w:p w14:paraId="2A6E86BD" w14:textId="14CF9403" w:rsidR="00BB0681" w:rsidRPr="00D607FC" w:rsidRDefault="00E50801" w:rsidP="00D607FC">
      <w:pPr>
        <w:numPr>
          <w:ilvl w:val="0"/>
          <w:numId w:val="9"/>
        </w:numPr>
        <w:spacing w:after="120" w:line="300" w:lineRule="atLeast"/>
        <w:jc w:val="both"/>
        <w:rPr>
          <w:rFonts w:ascii="Arial" w:hAnsi="Arial" w:cs="Arial"/>
          <w:szCs w:val="24"/>
        </w:rPr>
      </w:pPr>
      <w:r w:rsidRPr="00D607FC">
        <w:rPr>
          <w:rFonts w:ascii="Arial" w:hAnsi="Arial" w:cs="Arial"/>
          <w:szCs w:val="24"/>
        </w:rPr>
        <w:t>Lead high level collaboration and connectedness across agencies</w:t>
      </w:r>
      <w:r w:rsidR="00BB0681" w:rsidRPr="00D607FC">
        <w:rPr>
          <w:rFonts w:ascii="Arial" w:hAnsi="Arial" w:cs="Arial"/>
          <w:szCs w:val="24"/>
        </w:rPr>
        <w:t xml:space="preserve">, governments, the private sector and non-government organisations, including the negotiation of key </w:t>
      </w:r>
      <w:proofErr w:type="gramStart"/>
      <w:r w:rsidR="00BB0681" w:rsidRPr="00D607FC">
        <w:rPr>
          <w:rFonts w:ascii="Arial" w:hAnsi="Arial" w:cs="Arial"/>
          <w:szCs w:val="24"/>
        </w:rPr>
        <w:t>agreements</w:t>
      </w:r>
      <w:proofErr w:type="gramEnd"/>
      <w:r w:rsidR="00A13E85">
        <w:rPr>
          <w:rFonts w:ascii="Arial" w:hAnsi="Arial" w:cs="Arial"/>
          <w:szCs w:val="24"/>
        </w:rPr>
        <w:t xml:space="preserve"> when necessary</w:t>
      </w:r>
      <w:r w:rsidR="00BB0681" w:rsidRPr="00D607FC">
        <w:rPr>
          <w:rFonts w:ascii="Arial" w:hAnsi="Arial" w:cs="Arial"/>
          <w:szCs w:val="24"/>
        </w:rPr>
        <w:t xml:space="preserve">, to influence decision making that will support the </w:t>
      </w:r>
      <w:r w:rsidR="00A13E85">
        <w:rPr>
          <w:rFonts w:ascii="Arial" w:hAnsi="Arial" w:cs="Arial"/>
          <w:szCs w:val="24"/>
        </w:rPr>
        <w:t>reform agenda and keep children safe</w:t>
      </w:r>
      <w:r w:rsidR="00BB0681" w:rsidRPr="00D607FC">
        <w:rPr>
          <w:rFonts w:ascii="Arial" w:hAnsi="Arial" w:cs="Arial"/>
          <w:szCs w:val="24"/>
        </w:rPr>
        <w:t>.</w:t>
      </w:r>
    </w:p>
    <w:p w14:paraId="4A1CC633" w14:textId="245D7DA6" w:rsidR="00C06DB7" w:rsidRPr="00D607FC" w:rsidRDefault="0042277E" w:rsidP="00D607FC">
      <w:pPr>
        <w:numPr>
          <w:ilvl w:val="0"/>
          <w:numId w:val="9"/>
        </w:numPr>
        <w:spacing w:after="120" w:line="300" w:lineRule="atLeast"/>
        <w:jc w:val="both"/>
        <w:rPr>
          <w:rFonts w:ascii="Arial" w:hAnsi="Arial" w:cs="Arial"/>
          <w:szCs w:val="24"/>
        </w:rPr>
      </w:pPr>
      <w:r w:rsidRPr="00D607FC">
        <w:rPr>
          <w:rFonts w:ascii="Arial" w:hAnsi="Arial" w:cs="Arial"/>
          <w:szCs w:val="24"/>
        </w:rPr>
        <w:t xml:space="preserve">Co-ordinate the development and implementation of strategies, systems and programs designed to </w:t>
      </w:r>
      <w:r w:rsidR="00A13E85">
        <w:rPr>
          <w:rFonts w:ascii="Arial" w:hAnsi="Arial" w:cs="Arial"/>
          <w:szCs w:val="24"/>
        </w:rPr>
        <w:t>keep children safe</w:t>
      </w:r>
      <w:r w:rsidR="009D43F2">
        <w:rPr>
          <w:rFonts w:ascii="Arial" w:hAnsi="Arial" w:cs="Arial"/>
          <w:szCs w:val="24"/>
        </w:rPr>
        <w:t xml:space="preserve"> and to achieve cultural change thereby </w:t>
      </w:r>
      <w:r w:rsidR="009D43F2" w:rsidRPr="00D607FC">
        <w:rPr>
          <w:rFonts w:ascii="Arial" w:hAnsi="Arial" w:cs="Arial"/>
          <w:szCs w:val="24"/>
        </w:rPr>
        <w:t>improv</w:t>
      </w:r>
      <w:r w:rsidR="009D43F2">
        <w:rPr>
          <w:rFonts w:ascii="Arial" w:hAnsi="Arial" w:cs="Arial"/>
          <w:szCs w:val="24"/>
        </w:rPr>
        <w:t>ing</w:t>
      </w:r>
      <w:r w:rsidR="009D43F2" w:rsidRPr="00D607FC">
        <w:rPr>
          <w:rFonts w:ascii="Arial" w:hAnsi="Arial" w:cs="Arial"/>
          <w:szCs w:val="24"/>
        </w:rPr>
        <w:t xml:space="preserve"> </w:t>
      </w:r>
      <w:r w:rsidRPr="00D607FC">
        <w:rPr>
          <w:rFonts w:ascii="Arial" w:hAnsi="Arial" w:cs="Arial"/>
          <w:szCs w:val="24"/>
        </w:rPr>
        <w:t xml:space="preserve">the operations of </w:t>
      </w:r>
      <w:r w:rsidR="009D43F2">
        <w:rPr>
          <w:rFonts w:ascii="Arial" w:hAnsi="Arial" w:cs="Arial"/>
          <w:szCs w:val="24"/>
        </w:rPr>
        <w:t>government agencies</w:t>
      </w:r>
      <w:r w:rsidR="007D7DAA" w:rsidRPr="00D607FC">
        <w:rPr>
          <w:rFonts w:ascii="Arial" w:hAnsi="Arial" w:cs="Arial"/>
          <w:szCs w:val="24"/>
        </w:rPr>
        <w:t>.</w:t>
      </w:r>
      <w:r w:rsidR="00BB0681" w:rsidRPr="00D607FC">
        <w:rPr>
          <w:rFonts w:ascii="Arial" w:hAnsi="Arial" w:cs="Arial"/>
          <w:szCs w:val="24"/>
        </w:rPr>
        <w:t xml:space="preserve"> </w:t>
      </w:r>
    </w:p>
    <w:p w14:paraId="6D33BD93" w14:textId="50FD9859" w:rsidR="00BB0681" w:rsidRPr="00D607FC" w:rsidRDefault="00BB0681" w:rsidP="00D607FC">
      <w:pPr>
        <w:numPr>
          <w:ilvl w:val="0"/>
          <w:numId w:val="9"/>
        </w:numPr>
        <w:spacing w:after="120" w:line="300" w:lineRule="atLeast"/>
        <w:jc w:val="both"/>
        <w:rPr>
          <w:rFonts w:ascii="Arial" w:hAnsi="Arial" w:cs="Arial"/>
          <w:szCs w:val="24"/>
        </w:rPr>
      </w:pPr>
      <w:r w:rsidRPr="00D607FC">
        <w:rPr>
          <w:rFonts w:ascii="Arial" w:hAnsi="Arial" w:cs="Arial"/>
          <w:szCs w:val="24"/>
        </w:rPr>
        <w:t>Actively participate in and contribute to practices that will ensure the Department of Premier and Cabinet</w:t>
      </w:r>
      <w:r w:rsidR="00C06DB7" w:rsidRPr="00D607FC">
        <w:rPr>
          <w:rFonts w:ascii="Arial" w:hAnsi="Arial" w:cs="Arial"/>
          <w:szCs w:val="24"/>
        </w:rPr>
        <w:t xml:space="preserve"> and other agencies</w:t>
      </w:r>
      <w:r w:rsidRPr="00D607FC">
        <w:rPr>
          <w:rFonts w:ascii="Arial" w:hAnsi="Arial" w:cs="Arial"/>
          <w:szCs w:val="24"/>
        </w:rPr>
        <w:t xml:space="preserve"> </w:t>
      </w:r>
      <w:r w:rsidR="00C06DB7" w:rsidRPr="00D607FC">
        <w:rPr>
          <w:rFonts w:ascii="Arial" w:hAnsi="Arial" w:cs="Arial"/>
          <w:szCs w:val="24"/>
        </w:rPr>
        <w:t xml:space="preserve">are </w:t>
      </w:r>
      <w:r w:rsidR="007A79B7" w:rsidRPr="00D607FC">
        <w:rPr>
          <w:rFonts w:ascii="Arial" w:hAnsi="Arial" w:cs="Arial"/>
          <w:szCs w:val="24"/>
        </w:rPr>
        <w:t>trauma informed</w:t>
      </w:r>
      <w:r w:rsidR="009B07A5" w:rsidRPr="00D607FC">
        <w:rPr>
          <w:rFonts w:ascii="Arial" w:hAnsi="Arial" w:cs="Arial"/>
          <w:szCs w:val="24"/>
        </w:rPr>
        <w:t>,</w:t>
      </w:r>
      <w:r w:rsidRPr="00D607FC">
        <w:rPr>
          <w:rFonts w:ascii="Arial" w:hAnsi="Arial" w:cs="Arial"/>
          <w:szCs w:val="24"/>
        </w:rPr>
        <w:t xml:space="preserve"> </w:t>
      </w:r>
      <w:r w:rsidR="002D5B87" w:rsidRPr="00D607FC">
        <w:rPr>
          <w:rFonts w:ascii="Arial" w:hAnsi="Arial" w:cs="Arial"/>
          <w:szCs w:val="24"/>
        </w:rPr>
        <w:t xml:space="preserve">diverse, </w:t>
      </w:r>
      <w:r w:rsidR="00CA0CF0" w:rsidRPr="00D607FC">
        <w:rPr>
          <w:rFonts w:ascii="Arial" w:hAnsi="Arial" w:cs="Arial"/>
          <w:szCs w:val="24"/>
        </w:rPr>
        <w:t>inclusive,</w:t>
      </w:r>
      <w:r w:rsidR="002D5B87" w:rsidRPr="00D607FC">
        <w:rPr>
          <w:rFonts w:ascii="Arial" w:hAnsi="Arial" w:cs="Arial"/>
          <w:szCs w:val="24"/>
        </w:rPr>
        <w:t xml:space="preserve"> and </w:t>
      </w:r>
      <w:r w:rsidRPr="00D607FC">
        <w:rPr>
          <w:rFonts w:ascii="Arial" w:hAnsi="Arial" w:cs="Arial"/>
          <w:szCs w:val="24"/>
        </w:rPr>
        <w:t>safe organisation</w:t>
      </w:r>
      <w:r w:rsidR="00C06DB7" w:rsidRPr="00D607FC">
        <w:rPr>
          <w:rFonts w:ascii="Arial" w:hAnsi="Arial" w:cs="Arial"/>
          <w:szCs w:val="24"/>
        </w:rPr>
        <w:t>s</w:t>
      </w:r>
      <w:r w:rsidRPr="00D607FC">
        <w:rPr>
          <w:rFonts w:ascii="Arial" w:hAnsi="Arial" w:cs="Arial"/>
          <w:szCs w:val="24"/>
        </w:rPr>
        <w:t xml:space="preserve">. </w:t>
      </w:r>
    </w:p>
    <w:p w14:paraId="7D687BC8" w14:textId="77777777" w:rsidR="00540CBA" w:rsidRPr="00524291" w:rsidRDefault="00540CBA" w:rsidP="00540CBA">
      <w:pPr>
        <w:pStyle w:val="Headinglevel2"/>
        <w:spacing w:before="0"/>
        <w:ind w:left="720"/>
        <w:rPr>
          <w:rFonts w:cs="Arial"/>
          <w:b w:val="0"/>
          <w:color w:val="auto"/>
          <w:szCs w:val="22"/>
        </w:rPr>
      </w:pPr>
    </w:p>
    <w:p w14:paraId="2B5895E7" w14:textId="77777777" w:rsidR="001573D4" w:rsidRPr="00524291" w:rsidRDefault="001573D4" w:rsidP="001573D4">
      <w:pPr>
        <w:pStyle w:val="Headinglevel2"/>
        <w:shd w:val="clear" w:color="auto" w:fill="FFFFFF"/>
        <w:spacing w:before="120"/>
        <w:rPr>
          <w:rFonts w:cs="Arial"/>
          <w:color w:val="auto"/>
          <w:sz w:val="24"/>
        </w:rPr>
      </w:pPr>
      <w:r w:rsidRPr="00524291">
        <w:rPr>
          <w:rFonts w:cs="Arial"/>
          <w:color w:val="auto"/>
          <w:sz w:val="24"/>
        </w:rPr>
        <w:t>Your Level of Responsibility, Direction and Supervision</w:t>
      </w:r>
    </w:p>
    <w:p w14:paraId="2F8412D7" w14:textId="2250C0A5" w:rsidR="00916859" w:rsidRPr="00524291" w:rsidRDefault="00916859" w:rsidP="00916859">
      <w:pPr>
        <w:pStyle w:val="PlainText"/>
        <w:spacing w:after="120"/>
        <w:rPr>
          <w:rFonts w:ascii="Arial" w:hAnsi="Arial" w:cs="Arial"/>
          <w:sz w:val="22"/>
          <w:szCs w:val="22"/>
        </w:rPr>
      </w:pPr>
      <w:r w:rsidRPr="00524291">
        <w:rPr>
          <w:rFonts w:ascii="Arial" w:hAnsi="Arial" w:cs="Arial"/>
          <w:sz w:val="22"/>
          <w:szCs w:val="22"/>
        </w:rPr>
        <w:t xml:space="preserve">Shared accountability with the </w:t>
      </w:r>
      <w:r w:rsidR="00BA48D4">
        <w:rPr>
          <w:rFonts w:ascii="Arial" w:hAnsi="Arial" w:cs="Arial"/>
          <w:sz w:val="22"/>
          <w:szCs w:val="22"/>
        </w:rPr>
        <w:t>Secretary DPAC</w:t>
      </w:r>
      <w:r w:rsidRPr="00524291">
        <w:rPr>
          <w:rFonts w:ascii="Arial" w:hAnsi="Arial" w:cs="Arial"/>
          <w:sz w:val="22"/>
          <w:szCs w:val="22"/>
        </w:rPr>
        <w:t xml:space="preserve"> </w:t>
      </w:r>
      <w:r w:rsidR="00BA48D4">
        <w:rPr>
          <w:rFonts w:ascii="Arial" w:hAnsi="Arial" w:cs="Arial"/>
          <w:sz w:val="22"/>
          <w:szCs w:val="22"/>
        </w:rPr>
        <w:t>and Secretaries Board f</w:t>
      </w:r>
      <w:r w:rsidRPr="00524291">
        <w:rPr>
          <w:rFonts w:ascii="Arial" w:hAnsi="Arial" w:cs="Arial"/>
          <w:sz w:val="22"/>
          <w:szCs w:val="22"/>
        </w:rPr>
        <w:t xml:space="preserve">or ensuring the key objectives established for </w:t>
      </w:r>
      <w:r w:rsidR="009D43F2">
        <w:rPr>
          <w:rFonts w:ascii="Arial" w:hAnsi="Arial" w:cs="Arial"/>
          <w:sz w:val="22"/>
          <w:szCs w:val="22"/>
        </w:rPr>
        <w:t>Government</w:t>
      </w:r>
      <w:r w:rsidR="009D43F2" w:rsidRPr="00524291">
        <w:rPr>
          <w:rFonts w:ascii="Arial" w:hAnsi="Arial" w:cs="Arial"/>
          <w:sz w:val="22"/>
          <w:szCs w:val="22"/>
        </w:rPr>
        <w:t xml:space="preserve"> </w:t>
      </w:r>
      <w:r w:rsidR="009D43F2">
        <w:rPr>
          <w:rFonts w:ascii="Arial" w:hAnsi="Arial" w:cs="Arial"/>
          <w:sz w:val="22"/>
          <w:szCs w:val="22"/>
        </w:rPr>
        <w:t xml:space="preserve">agencies </w:t>
      </w:r>
      <w:r w:rsidRPr="00524291">
        <w:rPr>
          <w:rFonts w:ascii="Arial" w:hAnsi="Arial" w:cs="Arial"/>
          <w:sz w:val="22"/>
          <w:szCs w:val="22"/>
        </w:rPr>
        <w:t>are met.</w:t>
      </w:r>
    </w:p>
    <w:p w14:paraId="78D39F77" w14:textId="77777777" w:rsidR="00916859" w:rsidRPr="00524291" w:rsidRDefault="00916859" w:rsidP="00916859">
      <w:pPr>
        <w:pStyle w:val="PlainText"/>
        <w:spacing w:after="120"/>
        <w:rPr>
          <w:rFonts w:ascii="Arial" w:hAnsi="Arial" w:cs="Arial"/>
          <w:sz w:val="22"/>
          <w:szCs w:val="22"/>
        </w:rPr>
      </w:pPr>
      <w:r w:rsidRPr="00524291">
        <w:rPr>
          <w:rFonts w:ascii="Arial" w:hAnsi="Arial" w:cs="Arial"/>
          <w:sz w:val="22"/>
          <w:szCs w:val="22"/>
        </w:rPr>
        <w:t>Provide strategic leadership for designated whole-of-government policies and projects.</w:t>
      </w:r>
    </w:p>
    <w:p w14:paraId="69997E81" w14:textId="11A4C5A0" w:rsidR="00916859" w:rsidRPr="00524291" w:rsidRDefault="00916859" w:rsidP="00916859">
      <w:pPr>
        <w:spacing w:after="120"/>
        <w:rPr>
          <w:rFonts w:ascii="Arial" w:hAnsi="Arial" w:cs="Arial"/>
          <w:sz w:val="22"/>
          <w:szCs w:val="22"/>
        </w:rPr>
      </w:pPr>
      <w:r w:rsidRPr="00524291">
        <w:rPr>
          <w:rFonts w:ascii="Arial" w:hAnsi="Arial" w:cs="Arial"/>
          <w:sz w:val="22"/>
          <w:szCs w:val="22"/>
        </w:rPr>
        <w:t>Responsible for the strategic management of the human, physical and financial resources of designated work units</w:t>
      </w:r>
      <w:r w:rsidR="00C07753" w:rsidRPr="00524291">
        <w:rPr>
          <w:rFonts w:ascii="Arial" w:hAnsi="Arial" w:cs="Arial"/>
          <w:sz w:val="22"/>
          <w:szCs w:val="22"/>
        </w:rPr>
        <w:t xml:space="preserve"> and program </w:t>
      </w:r>
      <w:r w:rsidR="00C85DB9" w:rsidRPr="00524291">
        <w:rPr>
          <w:rFonts w:ascii="Arial" w:hAnsi="Arial" w:cs="Arial"/>
          <w:sz w:val="22"/>
          <w:szCs w:val="22"/>
        </w:rPr>
        <w:t>implementation areas</w:t>
      </w:r>
      <w:r w:rsidRPr="00524291">
        <w:rPr>
          <w:rFonts w:ascii="Arial" w:hAnsi="Arial" w:cs="Arial"/>
          <w:sz w:val="22"/>
          <w:szCs w:val="22"/>
        </w:rPr>
        <w:t xml:space="preserve"> in the Department</w:t>
      </w:r>
      <w:r w:rsidR="005821EF">
        <w:rPr>
          <w:rFonts w:ascii="Arial" w:hAnsi="Arial" w:cs="Arial"/>
          <w:sz w:val="22"/>
          <w:szCs w:val="22"/>
        </w:rPr>
        <w:t xml:space="preserve"> </w:t>
      </w:r>
      <w:r w:rsidRPr="00524291">
        <w:rPr>
          <w:rFonts w:ascii="Arial" w:hAnsi="Arial" w:cs="Arial"/>
          <w:sz w:val="22"/>
          <w:szCs w:val="22"/>
        </w:rPr>
        <w:t xml:space="preserve">– currently the </w:t>
      </w:r>
      <w:r w:rsidR="008B75B3" w:rsidRPr="00524291">
        <w:rPr>
          <w:rFonts w:ascii="Arial" w:hAnsi="Arial" w:cs="Arial"/>
          <w:sz w:val="22"/>
          <w:szCs w:val="22"/>
        </w:rPr>
        <w:t>Keeping Children Safer Unit</w:t>
      </w:r>
      <w:r w:rsidR="00C85DB9" w:rsidRPr="00524291">
        <w:rPr>
          <w:rFonts w:ascii="Arial" w:hAnsi="Arial" w:cs="Arial"/>
          <w:sz w:val="22"/>
          <w:szCs w:val="22"/>
        </w:rPr>
        <w:t xml:space="preserve"> and Child and Youth Wellbeing</w:t>
      </w:r>
      <w:r w:rsidR="00C06DB7">
        <w:rPr>
          <w:rFonts w:ascii="Arial" w:hAnsi="Arial" w:cs="Arial"/>
          <w:sz w:val="22"/>
          <w:szCs w:val="22"/>
        </w:rPr>
        <w:t xml:space="preserve"> and across Government agencies</w:t>
      </w:r>
      <w:r w:rsidR="009D43F2">
        <w:rPr>
          <w:rFonts w:ascii="Arial" w:hAnsi="Arial" w:cs="Arial"/>
          <w:sz w:val="22"/>
          <w:szCs w:val="22"/>
        </w:rPr>
        <w:t xml:space="preserve"> where applicable.</w:t>
      </w:r>
    </w:p>
    <w:p w14:paraId="0CFE5999" w14:textId="5A5416A1" w:rsidR="00A046A8" w:rsidRPr="00524291" w:rsidRDefault="00916859" w:rsidP="000F3B59">
      <w:pPr>
        <w:spacing w:after="120"/>
        <w:rPr>
          <w:rFonts w:cs="Arial"/>
          <w:b/>
          <w:szCs w:val="22"/>
        </w:rPr>
      </w:pPr>
      <w:r w:rsidRPr="00524291">
        <w:rPr>
          <w:rFonts w:ascii="Arial" w:hAnsi="Arial" w:cs="Arial"/>
          <w:sz w:val="22"/>
          <w:szCs w:val="22"/>
        </w:rPr>
        <w:lastRenderedPageBreak/>
        <w:t xml:space="preserve">Decisions and advice critically impact on the successful implementation of the Government's </w:t>
      </w:r>
      <w:r w:rsidR="00CD516F">
        <w:rPr>
          <w:rFonts w:ascii="Arial" w:hAnsi="Arial" w:cs="Arial"/>
          <w:sz w:val="22"/>
          <w:szCs w:val="22"/>
        </w:rPr>
        <w:t>significant reform agenda to keep children safe</w:t>
      </w:r>
      <w:r w:rsidRPr="00524291">
        <w:rPr>
          <w:rFonts w:ascii="Arial" w:hAnsi="Arial" w:cs="Arial"/>
          <w:sz w:val="22"/>
          <w:szCs w:val="22"/>
        </w:rPr>
        <w:t>.</w:t>
      </w:r>
      <w:r w:rsidR="00A046A8" w:rsidRPr="00524291">
        <w:rPr>
          <w:rFonts w:ascii="Arial" w:hAnsi="Arial" w:cs="Arial"/>
          <w:sz w:val="22"/>
          <w:szCs w:val="22"/>
        </w:rPr>
        <w:t xml:space="preserve"> </w:t>
      </w:r>
    </w:p>
    <w:p w14:paraId="1113640F" w14:textId="71ECF408" w:rsidR="00A046A8" w:rsidRPr="00524291" w:rsidRDefault="00A046A8" w:rsidP="00A046A8">
      <w:pPr>
        <w:pStyle w:val="Headinglevel2"/>
        <w:spacing w:before="120"/>
        <w:rPr>
          <w:rFonts w:cs="Arial"/>
          <w:b w:val="0"/>
          <w:color w:val="auto"/>
          <w:szCs w:val="22"/>
        </w:rPr>
      </w:pPr>
      <w:r w:rsidRPr="00524291">
        <w:rPr>
          <w:rFonts w:cs="Arial"/>
          <w:b w:val="0"/>
          <w:color w:val="auto"/>
          <w:szCs w:val="22"/>
        </w:rPr>
        <w:t>Lead a strategic vision and outcomes for community partnerships and priorities aligned with and supporting key Government strategic priorities.</w:t>
      </w:r>
    </w:p>
    <w:p w14:paraId="7F9FF0B9" w14:textId="77777777" w:rsidR="00916859" w:rsidRPr="00524291" w:rsidRDefault="00916859" w:rsidP="00916859">
      <w:pPr>
        <w:pStyle w:val="PlainText"/>
        <w:spacing w:after="120"/>
        <w:rPr>
          <w:rFonts w:ascii="Arial" w:hAnsi="Arial" w:cs="Arial"/>
          <w:sz w:val="22"/>
          <w:szCs w:val="22"/>
        </w:rPr>
      </w:pPr>
      <w:r w:rsidRPr="00524291">
        <w:rPr>
          <w:rFonts w:ascii="Arial" w:hAnsi="Arial" w:cs="Arial"/>
          <w:sz w:val="22"/>
          <w:szCs w:val="22"/>
        </w:rPr>
        <w:t>Innovation and creativity required in dealing with highly sensitive problems and resolving difficulties.</w:t>
      </w:r>
    </w:p>
    <w:p w14:paraId="35E2F181" w14:textId="3F284910" w:rsidR="00916859" w:rsidRPr="00524291" w:rsidRDefault="00916859" w:rsidP="00916859">
      <w:pPr>
        <w:pStyle w:val="PlainText"/>
        <w:spacing w:after="120"/>
        <w:rPr>
          <w:rFonts w:ascii="Arial" w:hAnsi="Arial" w:cs="Arial"/>
          <w:sz w:val="22"/>
          <w:szCs w:val="22"/>
        </w:rPr>
      </w:pPr>
      <w:r w:rsidRPr="00524291">
        <w:rPr>
          <w:rFonts w:ascii="Arial" w:hAnsi="Arial" w:cs="Arial"/>
          <w:sz w:val="22"/>
          <w:szCs w:val="22"/>
        </w:rPr>
        <w:t xml:space="preserve">Lead and undertake sensitive and complex negotiations at chief executive and senior executive level with agencies of the Tasmanian and other governments, and private </w:t>
      </w:r>
      <w:r w:rsidR="00A046A8" w:rsidRPr="00524291">
        <w:rPr>
          <w:rFonts w:ascii="Arial" w:hAnsi="Arial" w:cs="Arial"/>
          <w:sz w:val="22"/>
          <w:szCs w:val="22"/>
        </w:rPr>
        <w:t xml:space="preserve">and community </w:t>
      </w:r>
      <w:r w:rsidRPr="00524291">
        <w:rPr>
          <w:rFonts w:ascii="Arial" w:hAnsi="Arial" w:cs="Arial"/>
          <w:sz w:val="22"/>
          <w:szCs w:val="22"/>
        </w:rPr>
        <w:t>sector organisations.</w:t>
      </w:r>
    </w:p>
    <w:p w14:paraId="3802A6D8" w14:textId="2BE6A6A8" w:rsidR="005821EF" w:rsidRPr="00524291" w:rsidRDefault="00916859" w:rsidP="00916859">
      <w:pPr>
        <w:pStyle w:val="PlainText"/>
        <w:spacing w:after="120"/>
        <w:rPr>
          <w:rFonts w:ascii="Arial" w:hAnsi="Arial" w:cs="Arial"/>
          <w:sz w:val="22"/>
          <w:szCs w:val="22"/>
        </w:rPr>
      </w:pPr>
      <w:r w:rsidRPr="00524291">
        <w:rPr>
          <w:rFonts w:ascii="Arial" w:hAnsi="Arial" w:cs="Arial"/>
          <w:sz w:val="22"/>
          <w:szCs w:val="22"/>
        </w:rPr>
        <w:t>Represent the Government in external forums.</w:t>
      </w:r>
    </w:p>
    <w:p w14:paraId="374CAA5F" w14:textId="77777777" w:rsidR="001573D4" w:rsidRPr="00524291" w:rsidRDefault="001573D4" w:rsidP="001573D4">
      <w:pPr>
        <w:shd w:val="clear" w:color="auto" w:fill="FFFFFF"/>
        <w:spacing w:after="120"/>
        <w:rPr>
          <w:rFonts w:ascii="Arial" w:hAnsi="Arial" w:cs="Arial"/>
          <w:b/>
          <w:sz w:val="22"/>
          <w:szCs w:val="22"/>
        </w:rPr>
      </w:pPr>
      <w:r w:rsidRPr="00524291">
        <w:rPr>
          <w:rFonts w:ascii="Arial" w:hAnsi="Arial" w:cs="Arial"/>
          <w:b/>
          <w:sz w:val="22"/>
          <w:szCs w:val="22"/>
        </w:rPr>
        <w:t>Accountability of Role</w:t>
      </w:r>
    </w:p>
    <w:p w14:paraId="4152FFE2" w14:textId="4DEC256C" w:rsidR="00846D3B" w:rsidRPr="00524291" w:rsidRDefault="00846D3B" w:rsidP="00846D3B">
      <w:pPr>
        <w:tabs>
          <w:tab w:val="left" w:pos="1152"/>
        </w:tabs>
        <w:spacing w:after="240" w:line="240" w:lineRule="atLeast"/>
        <w:ind w:right="136"/>
        <w:jc w:val="both"/>
        <w:rPr>
          <w:rFonts w:ascii="Arial" w:hAnsi="Arial" w:cs="Arial"/>
          <w:sz w:val="22"/>
          <w:szCs w:val="22"/>
        </w:rPr>
      </w:pPr>
      <w:r w:rsidRPr="00524291">
        <w:rPr>
          <w:rFonts w:ascii="Arial" w:hAnsi="Arial" w:cs="Arial"/>
          <w:sz w:val="22"/>
          <w:szCs w:val="22"/>
        </w:rPr>
        <w:t xml:space="preserve">The occupant will report directly to the </w:t>
      </w:r>
      <w:r w:rsidR="00C06DB7" w:rsidRPr="00524291">
        <w:rPr>
          <w:rFonts w:ascii="Arial" w:hAnsi="Arial" w:cs="Arial"/>
          <w:sz w:val="22"/>
          <w:szCs w:val="22"/>
        </w:rPr>
        <w:t>Secretary,</w:t>
      </w:r>
      <w:r w:rsidR="00C06DB7">
        <w:rPr>
          <w:rFonts w:ascii="Arial" w:hAnsi="Arial" w:cs="Arial"/>
          <w:sz w:val="22"/>
          <w:szCs w:val="22"/>
        </w:rPr>
        <w:t xml:space="preserve"> </w:t>
      </w:r>
      <w:r w:rsidR="00C06DB7" w:rsidRPr="00524291">
        <w:rPr>
          <w:rFonts w:ascii="Arial" w:hAnsi="Arial" w:cs="Arial"/>
          <w:sz w:val="22"/>
          <w:szCs w:val="22"/>
        </w:rPr>
        <w:t>Department of Premier and Cabinet</w:t>
      </w:r>
      <w:r w:rsidR="00D607FC">
        <w:rPr>
          <w:rFonts w:ascii="Arial" w:hAnsi="Arial" w:cs="Arial"/>
          <w:sz w:val="22"/>
          <w:szCs w:val="22"/>
        </w:rPr>
        <w:t>.</w:t>
      </w:r>
    </w:p>
    <w:p w14:paraId="282F69EE" w14:textId="24557D95" w:rsidR="00846D3B" w:rsidRPr="00524291" w:rsidRDefault="00D9319B" w:rsidP="000F3B59">
      <w:pPr>
        <w:tabs>
          <w:tab w:val="left" w:pos="1152"/>
        </w:tabs>
        <w:spacing w:after="240" w:line="240" w:lineRule="atLeast"/>
        <w:ind w:right="136"/>
        <w:jc w:val="both"/>
        <w:rPr>
          <w:rFonts w:ascii="Arial" w:hAnsi="Arial" w:cs="Arial"/>
          <w:sz w:val="22"/>
          <w:szCs w:val="22"/>
        </w:rPr>
      </w:pPr>
      <w:r w:rsidRPr="0052387A">
        <w:rPr>
          <w:rFonts w:ascii="Arial" w:hAnsi="Arial" w:cs="Arial"/>
          <w:sz w:val="22"/>
          <w:szCs w:val="22"/>
        </w:rPr>
        <w:t xml:space="preserve">Overall strategic direction agreed in consultation with the </w:t>
      </w:r>
      <w:r>
        <w:rPr>
          <w:rFonts w:ascii="Arial" w:hAnsi="Arial" w:cs="Arial"/>
          <w:sz w:val="22"/>
          <w:szCs w:val="22"/>
        </w:rPr>
        <w:t>Secretary</w:t>
      </w:r>
      <w:r w:rsidR="00BA48D4">
        <w:rPr>
          <w:rFonts w:ascii="Arial" w:hAnsi="Arial" w:cs="Arial"/>
          <w:sz w:val="22"/>
          <w:szCs w:val="22"/>
        </w:rPr>
        <w:t xml:space="preserve"> and the Secretaries Board,</w:t>
      </w:r>
      <w:r w:rsidR="001F5FD8">
        <w:rPr>
          <w:rFonts w:ascii="Arial" w:hAnsi="Arial" w:cs="Arial"/>
          <w:sz w:val="22"/>
          <w:szCs w:val="22"/>
        </w:rPr>
        <w:t xml:space="preserve"> </w:t>
      </w:r>
      <w:r w:rsidR="00BA48D4">
        <w:rPr>
          <w:rFonts w:ascii="Arial" w:hAnsi="Arial" w:cs="Arial"/>
          <w:sz w:val="22"/>
          <w:szCs w:val="22"/>
        </w:rPr>
        <w:t>however,</w:t>
      </w:r>
      <w:r w:rsidR="001F5FD8">
        <w:rPr>
          <w:rFonts w:ascii="Arial" w:hAnsi="Arial" w:cs="Arial"/>
          <w:sz w:val="22"/>
          <w:szCs w:val="22"/>
        </w:rPr>
        <w:t xml:space="preserve"> </w:t>
      </w:r>
      <w:r w:rsidRPr="0052387A">
        <w:rPr>
          <w:rFonts w:ascii="Arial" w:hAnsi="Arial" w:cs="Arial"/>
          <w:sz w:val="22"/>
          <w:szCs w:val="22"/>
        </w:rPr>
        <w:t xml:space="preserve">the </w:t>
      </w:r>
      <w:r w:rsidR="002B74D4">
        <w:rPr>
          <w:rFonts w:ascii="Arial" w:hAnsi="Arial" w:cs="Arial"/>
          <w:sz w:val="22"/>
          <w:szCs w:val="22"/>
        </w:rPr>
        <w:t xml:space="preserve">Reform </w:t>
      </w:r>
      <w:r w:rsidR="00D607FC">
        <w:rPr>
          <w:rFonts w:ascii="Arial" w:hAnsi="Arial" w:cs="Arial"/>
          <w:sz w:val="22"/>
          <w:szCs w:val="22"/>
        </w:rPr>
        <w:t>Lead</w:t>
      </w:r>
      <w:r>
        <w:rPr>
          <w:rFonts w:ascii="Arial" w:hAnsi="Arial" w:cs="Arial"/>
          <w:sz w:val="22"/>
          <w:szCs w:val="22"/>
        </w:rPr>
        <w:t xml:space="preserve"> </w:t>
      </w:r>
      <w:r w:rsidRPr="0052387A">
        <w:rPr>
          <w:rFonts w:ascii="Arial" w:hAnsi="Arial" w:cs="Arial"/>
          <w:sz w:val="22"/>
          <w:szCs w:val="22"/>
        </w:rPr>
        <w:t>has extensive independence and autonomy in the determination of strategies, priorities, work standards and the allocation of work.</w:t>
      </w:r>
    </w:p>
    <w:p w14:paraId="408B291D" w14:textId="77777777" w:rsidR="002A48CE" w:rsidRPr="00524291" w:rsidRDefault="002A48CE" w:rsidP="000F3B59">
      <w:pPr>
        <w:pStyle w:val="Headinglevel2"/>
        <w:shd w:val="clear" w:color="auto" w:fill="FFFFFF"/>
        <w:spacing w:before="240"/>
        <w:rPr>
          <w:rFonts w:cs="Arial"/>
          <w:color w:val="auto"/>
          <w:sz w:val="24"/>
        </w:rPr>
      </w:pPr>
      <w:r w:rsidRPr="00524291">
        <w:rPr>
          <w:rFonts w:cs="Arial"/>
          <w:color w:val="auto"/>
          <w:sz w:val="24"/>
        </w:rPr>
        <w:t>Performance Management</w:t>
      </w:r>
    </w:p>
    <w:p w14:paraId="35B51F78" w14:textId="77777777" w:rsidR="002A48CE" w:rsidRPr="00524291" w:rsidRDefault="002A48CE" w:rsidP="002A48CE">
      <w:pPr>
        <w:pStyle w:val="Headinglevel2"/>
        <w:spacing w:before="0"/>
        <w:rPr>
          <w:rFonts w:cs="Arial"/>
          <w:b w:val="0"/>
          <w:color w:val="auto"/>
          <w:szCs w:val="22"/>
        </w:rPr>
      </w:pPr>
      <w:r w:rsidRPr="00524291">
        <w:rPr>
          <w:rFonts w:cs="Arial"/>
          <w:b w:val="0"/>
          <w:color w:val="auto"/>
          <w:szCs w:val="22"/>
        </w:rPr>
        <w:t>The Department of Premier and Cabinet Performance Management Framework is designed to support the agency’s business planning process and provide a clear link between the Senior Officer’s performance and development and the achievement of Department of Premier and Cabinet’s strategic direction.</w:t>
      </w:r>
    </w:p>
    <w:p w14:paraId="00850195" w14:textId="73710B38" w:rsidR="002A48CE" w:rsidRPr="00524291" w:rsidRDefault="002A48CE" w:rsidP="002A48CE">
      <w:pPr>
        <w:pStyle w:val="Headinglevel2"/>
        <w:spacing w:before="0"/>
        <w:rPr>
          <w:rFonts w:cs="Arial"/>
          <w:b w:val="0"/>
          <w:color w:val="auto"/>
          <w:szCs w:val="22"/>
        </w:rPr>
      </w:pPr>
      <w:r w:rsidRPr="00524291">
        <w:rPr>
          <w:rFonts w:cs="Arial"/>
          <w:b w:val="0"/>
          <w:color w:val="auto"/>
          <w:szCs w:val="22"/>
        </w:rPr>
        <w:t xml:space="preserve">The performance assessment of the </w:t>
      </w:r>
      <w:r w:rsidR="002B74D4">
        <w:rPr>
          <w:rFonts w:cs="Arial"/>
          <w:b w:val="0"/>
          <w:color w:val="auto"/>
          <w:szCs w:val="22"/>
        </w:rPr>
        <w:t xml:space="preserve">Reform </w:t>
      </w:r>
      <w:r w:rsidR="00D607FC">
        <w:rPr>
          <w:rFonts w:cs="Arial"/>
          <w:b w:val="0"/>
          <w:color w:val="auto"/>
          <w:szCs w:val="22"/>
        </w:rPr>
        <w:t>Lead</w:t>
      </w:r>
      <w:r w:rsidR="00AA18C4">
        <w:rPr>
          <w:rFonts w:cs="Arial"/>
          <w:b w:val="0"/>
          <w:color w:val="auto"/>
          <w:szCs w:val="22"/>
        </w:rPr>
        <w:t xml:space="preserve"> </w:t>
      </w:r>
      <w:r w:rsidRPr="00524291">
        <w:rPr>
          <w:rFonts w:cs="Arial"/>
          <w:b w:val="0"/>
          <w:color w:val="auto"/>
          <w:szCs w:val="22"/>
        </w:rPr>
        <w:t>will be based on the following measures:</w:t>
      </w:r>
    </w:p>
    <w:p w14:paraId="099A7372" w14:textId="77777777" w:rsidR="002A48CE" w:rsidRPr="00524291" w:rsidRDefault="002A48CE" w:rsidP="002A48CE">
      <w:pPr>
        <w:pStyle w:val="ListBullet"/>
        <w:keepLines w:val="0"/>
        <w:numPr>
          <w:ilvl w:val="0"/>
          <w:numId w:val="2"/>
        </w:numPr>
        <w:spacing w:before="0" w:after="120" w:afterAutospacing="0"/>
        <w:rPr>
          <w:rStyle w:val="BlueText"/>
          <w:rFonts w:cs="Arial"/>
          <w:color w:val="auto"/>
        </w:rPr>
      </w:pPr>
      <w:r w:rsidRPr="00524291">
        <w:rPr>
          <w:rStyle w:val="BlueText"/>
          <w:rFonts w:cs="Arial"/>
          <w:color w:val="auto"/>
        </w:rPr>
        <w:t>Key achievements against an annual performance agreement.</w:t>
      </w:r>
    </w:p>
    <w:p w14:paraId="054B8661" w14:textId="77777777" w:rsidR="002A48CE" w:rsidRPr="00524291" w:rsidRDefault="002A48CE" w:rsidP="002A48CE">
      <w:pPr>
        <w:pStyle w:val="ListBullet"/>
        <w:keepLines w:val="0"/>
        <w:numPr>
          <w:ilvl w:val="0"/>
          <w:numId w:val="2"/>
        </w:numPr>
        <w:spacing w:before="0" w:after="120" w:afterAutospacing="0"/>
        <w:rPr>
          <w:rStyle w:val="BlueText"/>
          <w:rFonts w:cs="Arial"/>
          <w:color w:val="auto"/>
        </w:rPr>
      </w:pPr>
      <w:r w:rsidRPr="00524291">
        <w:rPr>
          <w:rStyle w:val="BlueText"/>
          <w:rFonts w:cs="Arial"/>
          <w:color w:val="auto"/>
        </w:rPr>
        <w:t>In the context of the requirement for high level leadership and management expertise, an assessment of demonstrated capability against the Senior Executive Leadership Capability Framework to shape strategic thinking; achieve results; cultivate productive working relationships; exemplify personal drive and integrity; and to communicate with influence.</w:t>
      </w:r>
    </w:p>
    <w:p w14:paraId="3E59DF7B" w14:textId="77777777" w:rsidR="002A48CE" w:rsidRPr="00524291" w:rsidRDefault="002A48CE" w:rsidP="002A48CE">
      <w:pPr>
        <w:pStyle w:val="Headinglevel2"/>
        <w:shd w:val="clear" w:color="auto" w:fill="FFFFFF"/>
        <w:rPr>
          <w:rFonts w:cs="Arial"/>
          <w:color w:val="auto"/>
          <w:sz w:val="24"/>
        </w:rPr>
      </w:pPr>
      <w:r w:rsidRPr="00524291">
        <w:rPr>
          <w:rFonts w:cs="Arial"/>
          <w:color w:val="auto"/>
          <w:sz w:val="24"/>
        </w:rPr>
        <w:t>Selection Criteria</w:t>
      </w:r>
    </w:p>
    <w:p w14:paraId="18DF532B" w14:textId="6E75C9E3" w:rsidR="002A48CE" w:rsidRPr="00524291" w:rsidRDefault="002A48CE" w:rsidP="002A48CE">
      <w:pPr>
        <w:pStyle w:val="HeadingLevel1-Bulleted"/>
        <w:spacing w:before="0" w:after="60"/>
        <w:ind w:left="351" w:hanging="357"/>
        <w:rPr>
          <w:rFonts w:cs="Arial"/>
          <w:color w:val="auto"/>
          <w:sz w:val="22"/>
          <w:szCs w:val="22"/>
        </w:rPr>
      </w:pPr>
      <w:r w:rsidRPr="00524291">
        <w:rPr>
          <w:rFonts w:cs="Arial"/>
          <w:color w:val="auto"/>
          <w:sz w:val="22"/>
          <w:szCs w:val="22"/>
        </w:rPr>
        <w:t>Knowledge</w:t>
      </w:r>
      <w:r w:rsidR="00126BBE" w:rsidRPr="00524291">
        <w:rPr>
          <w:rFonts w:cs="Arial"/>
          <w:color w:val="auto"/>
          <w:sz w:val="22"/>
          <w:szCs w:val="22"/>
        </w:rPr>
        <w:t xml:space="preserve"> </w:t>
      </w:r>
    </w:p>
    <w:p w14:paraId="4A865829" w14:textId="77777777" w:rsidR="002A48CE" w:rsidRPr="00524291" w:rsidRDefault="002A48CE" w:rsidP="002A48CE">
      <w:pPr>
        <w:pStyle w:val="indent2"/>
        <w:spacing w:after="0"/>
        <w:ind w:left="0" w:firstLine="0"/>
        <w:rPr>
          <w:rFonts w:ascii="Arial" w:hAnsi="Arial" w:cs="Arial"/>
          <w:sz w:val="22"/>
          <w:szCs w:val="22"/>
          <w:lang w:val="en-AU"/>
        </w:rPr>
      </w:pPr>
      <w:r w:rsidRPr="00524291">
        <w:rPr>
          <w:rFonts w:ascii="Arial" w:hAnsi="Arial" w:cs="Arial"/>
          <w:sz w:val="22"/>
          <w:szCs w:val="22"/>
          <w:lang w:val="en-AU"/>
        </w:rPr>
        <w:t>Comprehensive knowledge and understanding of:</w:t>
      </w:r>
    </w:p>
    <w:p w14:paraId="3CE1394A" w14:textId="77777777" w:rsidR="00EA21CF" w:rsidRDefault="00EA21CF" w:rsidP="00EA21CF">
      <w:pPr>
        <w:pStyle w:val="HeadingLevel1-Bulleted"/>
        <w:numPr>
          <w:ilvl w:val="1"/>
          <w:numId w:val="12"/>
        </w:numPr>
        <w:tabs>
          <w:tab w:val="left" w:pos="851"/>
        </w:tabs>
        <w:spacing w:before="0" w:after="0"/>
        <w:ind w:left="851"/>
        <w:rPr>
          <w:rFonts w:cs="Arial"/>
          <w:b w:val="0"/>
          <w:color w:val="auto"/>
          <w:sz w:val="22"/>
          <w:szCs w:val="22"/>
        </w:rPr>
      </w:pPr>
      <w:r>
        <w:rPr>
          <w:rFonts w:cs="Arial"/>
          <w:b w:val="0"/>
          <w:color w:val="auto"/>
          <w:sz w:val="22"/>
          <w:szCs w:val="22"/>
        </w:rPr>
        <w:t xml:space="preserve">Contemporary community development policy frameworks including capacity building, codesign, lived experience, systems innovation and transformative government </w:t>
      </w:r>
      <w:proofErr w:type="gramStart"/>
      <w:r>
        <w:rPr>
          <w:rFonts w:cs="Arial"/>
          <w:b w:val="0"/>
          <w:color w:val="auto"/>
          <w:sz w:val="22"/>
          <w:szCs w:val="22"/>
        </w:rPr>
        <w:t>processes;</w:t>
      </w:r>
      <w:proofErr w:type="gramEnd"/>
    </w:p>
    <w:p w14:paraId="3CEC68A2" w14:textId="541722C6" w:rsidR="00E6215A" w:rsidRPr="00524291" w:rsidRDefault="00E6215A" w:rsidP="002A48CE">
      <w:pPr>
        <w:pStyle w:val="HeadingLevel1-Bulleted"/>
        <w:numPr>
          <w:ilvl w:val="1"/>
          <w:numId w:val="12"/>
        </w:numPr>
        <w:tabs>
          <w:tab w:val="left" w:pos="851"/>
        </w:tabs>
        <w:spacing w:before="0" w:after="0"/>
        <w:ind w:left="851"/>
        <w:rPr>
          <w:rFonts w:cs="Arial"/>
          <w:b w:val="0"/>
          <w:color w:val="auto"/>
          <w:sz w:val="22"/>
          <w:szCs w:val="22"/>
        </w:rPr>
      </w:pPr>
      <w:r w:rsidRPr="00524291">
        <w:rPr>
          <w:rFonts w:cs="Arial"/>
          <w:b w:val="0"/>
          <w:color w:val="auto"/>
          <w:sz w:val="22"/>
          <w:szCs w:val="22"/>
        </w:rPr>
        <w:t>Whole of government governance</w:t>
      </w:r>
      <w:r w:rsidR="00126BBE" w:rsidRPr="00524291">
        <w:rPr>
          <w:rFonts w:cs="Arial"/>
          <w:b w:val="0"/>
          <w:color w:val="auto"/>
          <w:sz w:val="22"/>
          <w:szCs w:val="22"/>
        </w:rPr>
        <w:t xml:space="preserve"> </w:t>
      </w:r>
    </w:p>
    <w:p w14:paraId="1D6459E7" w14:textId="1C0D236B" w:rsidR="002A48CE" w:rsidRPr="00524291" w:rsidRDefault="00E6215A" w:rsidP="002A48CE">
      <w:pPr>
        <w:pStyle w:val="HeadingLevel1-Bulleted"/>
        <w:numPr>
          <w:ilvl w:val="1"/>
          <w:numId w:val="12"/>
        </w:numPr>
        <w:tabs>
          <w:tab w:val="left" w:pos="851"/>
        </w:tabs>
        <w:spacing w:before="0" w:after="0"/>
        <w:ind w:left="851"/>
        <w:rPr>
          <w:rFonts w:cs="Arial"/>
          <w:b w:val="0"/>
          <w:color w:val="auto"/>
          <w:sz w:val="22"/>
          <w:szCs w:val="22"/>
        </w:rPr>
      </w:pPr>
      <w:r w:rsidRPr="00524291">
        <w:rPr>
          <w:rFonts w:cs="Arial"/>
          <w:b w:val="0"/>
          <w:color w:val="auto"/>
          <w:sz w:val="22"/>
          <w:szCs w:val="22"/>
        </w:rPr>
        <w:t>S</w:t>
      </w:r>
      <w:r w:rsidR="002A48CE" w:rsidRPr="00524291">
        <w:rPr>
          <w:rFonts w:cs="Arial"/>
          <w:b w:val="0"/>
          <w:color w:val="auto"/>
          <w:sz w:val="22"/>
          <w:szCs w:val="22"/>
        </w:rPr>
        <w:t xml:space="preserve">trategic policy development </w:t>
      </w:r>
      <w:r w:rsidR="00126BBE" w:rsidRPr="00524291">
        <w:rPr>
          <w:rFonts w:cs="Arial"/>
          <w:b w:val="0"/>
          <w:color w:val="auto"/>
          <w:sz w:val="22"/>
          <w:szCs w:val="22"/>
        </w:rPr>
        <w:t xml:space="preserve">and implementation </w:t>
      </w:r>
      <w:proofErr w:type="gramStart"/>
      <w:r w:rsidR="002A48CE" w:rsidRPr="00524291">
        <w:rPr>
          <w:rFonts w:cs="Arial"/>
          <w:b w:val="0"/>
          <w:color w:val="auto"/>
          <w:sz w:val="22"/>
          <w:szCs w:val="22"/>
        </w:rPr>
        <w:t>processes;</w:t>
      </w:r>
      <w:proofErr w:type="gramEnd"/>
    </w:p>
    <w:p w14:paraId="2DD9B0BC" w14:textId="4139DC38" w:rsidR="002A48CE" w:rsidRPr="00524291" w:rsidRDefault="00E6215A" w:rsidP="002A48CE">
      <w:pPr>
        <w:pStyle w:val="HeadingLevel1-Bulleted"/>
        <w:numPr>
          <w:ilvl w:val="1"/>
          <w:numId w:val="12"/>
        </w:numPr>
        <w:tabs>
          <w:tab w:val="left" w:pos="851"/>
        </w:tabs>
        <w:spacing w:before="0" w:after="0"/>
        <w:ind w:left="851"/>
        <w:rPr>
          <w:rFonts w:cs="Arial"/>
          <w:b w:val="0"/>
          <w:color w:val="auto"/>
          <w:sz w:val="22"/>
          <w:szCs w:val="22"/>
        </w:rPr>
      </w:pPr>
      <w:r w:rsidRPr="00524291">
        <w:rPr>
          <w:rFonts w:cs="Arial"/>
          <w:b w:val="0"/>
          <w:color w:val="auto"/>
          <w:sz w:val="22"/>
          <w:szCs w:val="22"/>
        </w:rPr>
        <w:t>P</w:t>
      </w:r>
      <w:r w:rsidR="002A48CE" w:rsidRPr="00524291">
        <w:rPr>
          <w:rFonts w:cs="Arial"/>
          <w:b w:val="0"/>
          <w:color w:val="auto"/>
          <w:sz w:val="22"/>
          <w:szCs w:val="22"/>
        </w:rPr>
        <w:t xml:space="preserve">rovision of </w:t>
      </w:r>
      <w:proofErr w:type="gramStart"/>
      <w:r w:rsidR="002A48CE" w:rsidRPr="00524291">
        <w:rPr>
          <w:rFonts w:cs="Arial"/>
          <w:b w:val="0"/>
          <w:color w:val="auto"/>
          <w:sz w:val="22"/>
          <w:szCs w:val="22"/>
        </w:rPr>
        <w:t>high quality</w:t>
      </w:r>
      <w:proofErr w:type="gramEnd"/>
      <w:r w:rsidR="002A48CE" w:rsidRPr="00524291">
        <w:rPr>
          <w:rFonts w:cs="Arial"/>
          <w:b w:val="0"/>
          <w:color w:val="auto"/>
          <w:sz w:val="22"/>
          <w:szCs w:val="22"/>
        </w:rPr>
        <w:t xml:space="preserve"> customer service in a public sector environment;</w:t>
      </w:r>
    </w:p>
    <w:p w14:paraId="1CE5342D" w14:textId="1D6A0FA8" w:rsidR="004A5BA4" w:rsidRPr="00524291" w:rsidRDefault="004A5BA4" w:rsidP="002A48CE">
      <w:pPr>
        <w:pStyle w:val="HeadingLevel1-Bulleted"/>
        <w:numPr>
          <w:ilvl w:val="1"/>
          <w:numId w:val="12"/>
        </w:numPr>
        <w:tabs>
          <w:tab w:val="left" w:pos="851"/>
        </w:tabs>
        <w:spacing w:before="0" w:after="0"/>
        <w:ind w:left="851"/>
        <w:rPr>
          <w:rFonts w:cs="Arial"/>
          <w:b w:val="0"/>
          <w:color w:val="auto"/>
          <w:sz w:val="22"/>
          <w:szCs w:val="22"/>
        </w:rPr>
      </w:pPr>
      <w:r w:rsidRPr="00524291">
        <w:rPr>
          <w:rFonts w:cs="Arial"/>
          <w:b w:val="0"/>
          <w:color w:val="auto"/>
          <w:sz w:val="22"/>
          <w:szCs w:val="22"/>
        </w:rPr>
        <w:t>Intergovernmental relations across a wide range of subject matter including local government</w:t>
      </w:r>
      <w:r w:rsidR="00BF62F7" w:rsidRPr="00524291">
        <w:rPr>
          <w:rFonts w:cs="Arial"/>
          <w:b w:val="0"/>
          <w:color w:val="auto"/>
          <w:sz w:val="22"/>
          <w:szCs w:val="22"/>
        </w:rPr>
        <w:t xml:space="preserve"> and community sector </w:t>
      </w:r>
      <w:proofErr w:type="gramStart"/>
      <w:r w:rsidR="00BF62F7" w:rsidRPr="00524291">
        <w:rPr>
          <w:rFonts w:cs="Arial"/>
          <w:b w:val="0"/>
          <w:color w:val="auto"/>
          <w:sz w:val="22"/>
          <w:szCs w:val="22"/>
        </w:rPr>
        <w:t>stakeholders;</w:t>
      </w:r>
      <w:proofErr w:type="gramEnd"/>
    </w:p>
    <w:p w14:paraId="15E0D817" w14:textId="1DBFA52D" w:rsidR="002A48CE" w:rsidRPr="00524291" w:rsidRDefault="00E6215A" w:rsidP="002A48CE">
      <w:pPr>
        <w:pStyle w:val="HeadingLevel1-Bulleted"/>
        <w:numPr>
          <w:ilvl w:val="1"/>
          <w:numId w:val="12"/>
        </w:numPr>
        <w:tabs>
          <w:tab w:val="left" w:pos="851"/>
        </w:tabs>
        <w:spacing w:before="0" w:after="0"/>
        <w:ind w:left="851"/>
        <w:rPr>
          <w:rFonts w:cs="Arial"/>
          <w:b w:val="0"/>
          <w:color w:val="auto"/>
          <w:sz w:val="22"/>
          <w:szCs w:val="22"/>
        </w:rPr>
      </w:pPr>
      <w:r w:rsidRPr="00524291">
        <w:rPr>
          <w:rFonts w:cs="Arial"/>
          <w:b w:val="0"/>
          <w:color w:val="auto"/>
          <w:sz w:val="22"/>
          <w:szCs w:val="22"/>
        </w:rPr>
        <w:t>Th</w:t>
      </w:r>
      <w:r w:rsidR="002A48CE" w:rsidRPr="00524291">
        <w:rPr>
          <w:rFonts w:cs="Arial"/>
          <w:b w:val="0"/>
          <w:color w:val="auto"/>
          <w:sz w:val="22"/>
          <w:szCs w:val="22"/>
        </w:rPr>
        <w:t xml:space="preserve">e social, </w:t>
      </w:r>
      <w:proofErr w:type="gramStart"/>
      <w:r w:rsidR="002A48CE" w:rsidRPr="00524291">
        <w:rPr>
          <w:rFonts w:cs="Arial"/>
          <w:b w:val="0"/>
          <w:color w:val="auto"/>
          <w:sz w:val="22"/>
          <w:szCs w:val="22"/>
        </w:rPr>
        <w:t>political</w:t>
      </w:r>
      <w:proofErr w:type="gramEnd"/>
      <w:r w:rsidR="002A48CE" w:rsidRPr="00524291">
        <w:rPr>
          <w:rFonts w:cs="Arial"/>
          <w:b w:val="0"/>
          <w:color w:val="auto"/>
          <w:sz w:val="22"/>
          <w:szCs w:val="22"/>
        </w:rPr>
        <w:t xml:space="preserve"> and organisational environment in which the Department operates, including its role as a central agency; and</w:t>
      </w:r>
    </w:p>
    <w:p w14:paraId="6DCE9F8D" w14:textId="4890DBB6" w:rsidR="002A48CE" w:rsidRPr="00524291" w:rsidRDefault="00E6215A" w:rsidP="002A48CE">
      <w:pPr>
        <w:pStyle w:val="HeadingLevel1-Bulleted"/>
        <w:numPr>
          <w:ilvl w:val="1"/>
          <w:numId w:val="12"/>
        </w:numPr>
        <w:tabs>
          <w:tab w:val="left" w:pos="851"/>
        </w:tabs>
        <w:spacing w:before="0"/>
        <w:ind w:left="851" w:hanging="431"/>
        <w:rPr>
          <w:rFonts w:cs="Arial"/>
          <w:b w:val="0"/>
          <w:color w:val="auto"/>
          <w:sz w:val="22"/>
          <w:szCs w:val="22"/>
        </w:rPr>
      </w:pPr>
      <w:r w:rsidRPr="00524291">
        <w:rPr>
          <w:rFonts w:cs="Arial"/>
          <w:b w:val="0"/>
          <w:color w:val="auto"/>
          <w:sz w:val="22"/>
          <w:szCs w:val="22"/>
        </w:rPr>
        <w:t>T</w:t>
      </w:r>
      <w:r w:rsidR="002A48CE" w:rsidRPr="00524291">
        <w:rPr>
          <w:rFonts w:cs="Arial"/>
          <w:b w:val="0"/>
          <w:color w:val="auto"/>
          <w:sz w:val="22"/>
          <w:szCs w:val="22"/>
        </w:rPr>
        <w:t>he principles and practices of contemporary project management and quality and governance issues within a project management framework.</w:t>
      </w:r>
    </w:p>
    <w:p w14:paraId="2ACBE314" w14:textId="77777777" w:rsidR="002A48CE" w:rsidRPr="00524291" w:rsidRDefault="002A48CE" w:rsidP="002A48CE">
      <w:pPr>
        <w:pStyle w:val="HeadingLevel1-Bulleted"/>
        <w:spacing w:before="0"/>
        <w:ind w:left="351" w:hanging="357"/>
        <w:rPr>
          <w:rFonts w:cs="Arial"/>
          <w:b w:val="0"/>
          <w:color w:val="auto"/>
          <w:sz w:val="22"/>
          <w:szCs w:val="22"/>
        </w:rPr>
      </w:pPr>
      <w:r w:rsidRPr="00524291">
        <w:rPr>
          <w:rFonts w:cs="Arial"/>
          <w:color w:val="auto"/>
          <w:sz w:val="22"/>
          <w:szCs w:val="22"/>
        </w:rPr>
        <w:t>Shapes Strategic Thinking:</w:t>
      </w:r>
      <w:r w:rsidRPr="00524291">
        <w:rPr>
          <w:rFonts w:cs="Arial"/>
          <w:b w:val="0"/>
          <w:color w:val="auto"/>
          <w:sz w:val="22"/>
          <w:szCs w:val="22"/>
        </w:rPr>
        <w:t xml:space="preserve"> Demonstrated capability to inspire a sense of purpose and direction; show judgement, </w:t>
      </w:r>
      <w:proofErr w:type="gramStart"/>
      <w:r w:rsidRPr="00524291">
        <w:rPr>
          <w:rFonts w:cs="Arial"/>
          <w:b w:val="0"/>
          <w:color w:val="auto"/>
          <w:sz w:val="22"/>
          <w:szCs w:val="22"/>
        </w:rPr>
        <w:t>intelligence</w:t>
      </w:r>
      <w:proofErr w:type="gramEnd"/>
      <w:r w:rsidRPr="00524291">
        <w:rPr>
          <w:rFonts w:cs="Arial"/>
          <w:b w:val="0"/>
          <w:color w:val="auto"/>
          <w:sz w:val="22"/>
          <w:szCs w:val="22"/>
        </w:rPr>
        <w:t xml:space="preserve"> and common sense; provide high-level analysis and development of long-term strategic policy advice; and identify emerging issues and advise on how to address them from a holistic perspective.</w:t>
      </w:r>
    </w:p>
    <w:p w14:paraId="6AD33DAC" w14:textId="77777777" w:rsidR="002A48CE" w:rsidRPr="00524291" w:rsidRDefault="002A48CE" w:rsidP="002A48CE">
      <w:pPr>
        <w:pStyle w:val="HeadingLevel1-Bulleted"/>
        <w:spacing w:before="0"/>
        <w:ind w:left="357"/>
        <w:rPr>
          <w:rFonts w:cs="Arial"/>
          <w:b w:val="0"/>
          <w:color w:val="auto"/>
          <w:sz w:val="22"/>
          <w:szCs w:val="22"/>
        </w:rPr>
      </w:pPr>
      <w:r w:rsidRPr="00524291">
        <w:rPr>
          <w:rFonts w:cs="Arial"/>
          <w:color w:val="auto"/>
          <w:sz w:val="22"/>
          <w:szCs w:val="22"/>
        </w:rPr>
        <w:lastRenderedPageBreak/>
        <w:t xml:space="preserve">Achieves Results: </w:t>
      </w:r>
      <w:r w:rsidRPr="00524291">
        <w:rPr>
          <w:rFonts w:cs="Arial"/>
          <w:b w:val="0"/>
          <w:color w:val="auto"/>
          <w:sz w:val="22"/>
          <w:szCs w:val="22"/>
        </w:rPr>
        <w:t>Demonstrated capability to build organisational capability and responsiveness; harness professional expertise; steer and implement change and deal with uncertainty; and ensure closure and deliver on intended results.</w:t>
      </w:r>
    </w:p>
    <w:p w14:paraId="44F1CD4B" w14:textId="77777777" w:rsidR="002A48CE" w:rsidRPr="00524291" w:rsidRDefault="002A48CE" w:rsidP="002A48CE">
      <w:pPr>
        <w:pStyle w:val="HeadingLevel1-Bulleted"/>
        <w:spacing w:before="0"/>
        <w:ind w:left="357"/>
        <w:rPr>
          <w:rFonts w:cs="Arial"/>
          <w:b w:val="0"/>
          <w:color w:val="auto"/>
          <w:sz w:val="22"/>
          <w:szCs w:val="22"/>
        </w:rPr>
      </w:pPr>
      <w:r w:rsidRPr="00524291">
        <w:rPr>
          <w:rFonts w:cs="Arial"/>
          <w:color w:val="auto"/>
          <w:sz w:val="22"/>
          <w:szCs w:val="22"/>
        </w:rPr>
        <w:t>Cultivate Productive Working Relationships:</w:t>
      </w:r>
      <w:r w:rsidRPr="00524291">
        <w:rPr>
          <w:rFonts w:cs="Arial"/>
          <w:b w:val="0"/>
          <w:color w:val="auto"/>
          <w:sz w:val="22"/>
          <w:szCs w:val="22"/>
        </w:rPr>
        <w:t xml:space="preserve"> Demonstrated capability to nurture internal and external relationships; facilitate cooperation and partnership; value difference and diversity; and guide, mentor and develop people. Ability to lead and motivate people in a team working project environment and to manage/cement strategic partnerships at multi government levels and with other organisations.</w:t>
      </w:r>
    </w:p>
    <w:p w14:paraId="0B5D9FF9" w14:textId="77777777" w:rsidR="002A48CE" w:rsidRPr="00524291" w:rsidRDefault="002A48CE" w:rsidP="002A48CE">
      <w:pPr>
        <w:pStyle w:val="HeadingLevel1-Bulleted"/>
        <w:spacing w:before="0"/>
        <w:ind w:left="357"/>
        <w:rPr>
          <w:rFonts w:cs="Arial"/>
          <w:b w:val="0"/>
          <w:color w:val="auto"/>
          <w:sz w:val="22"/>
          <w:szCs w:val="22"/>
        </w:rPr>
      </w:pPr>
      <w:r w:rsidRPr="00524291">
        <w:rPr>
          <w:rFonts w:cs="Arial"/>
          <w:color w:val="auto"/>
          <w:sz w:val="22"/>
          <w:szCs w:val="22"/>
        </w:rPr>
        <w:t>Exemplifies Personal Drive and Integrity:</w:t>
      </w:r>
      <w:r w:rsidRPr="00524291">
        <w:rPr>
          <w:rFonts w:cs="Arial"/>
          <w:b w:val="0"/>
          <w:color w:val="auto"/>
          <w:sz w:val="22"/>
          <w:szCs w:val="22"/>
        </w:rPr>
        <w:t xml:space="preserve"> Demonstrated capability to exemplify the Department of Premier and Cabinet’s values and demonstrate professionalism and probity; engage with risk and show personal courage; commit to action; display resilience; and demonstrate self-awareness and a commitment to personal development.</w:t>
      </w:r>
    </w:p>
    <w:p w14:paraId="21CED240" w14:textId="77777777" w:rsidR="002A48CE" w:rsidRPr="00524291" w:rsidRDefault="002A48CE" w:rsidP="002A48CE">
      <w:pPr>
        <w:pStyle w:val="HeadingLevel1-Bulleted"/>
        <w:spacing w:before="0"/>
        <w:ind w:left="357"/>
        <w:rPr>
          <w:rFonts w:cs="Arial"/>
          <w:b w:val="0"/>
          <w:color w:val="auto"/>
          <w:sz w:val="22"/>
          <w:szCs w:val="22"/>
        </w:rPr>
      </w:pPr>
      <w:r w:rsidRPr="00524291">
        <w:rPr>
          <w:rFonts w:cs="Arial"/>
          <w:color w:val="auto"/>
          <w:sz w:val="22"/>
          <w:szCs w:val="22"/>
        </w:rPr>
        <w:t>Communicates with Influence:</w:t>
      </w:r>
      <w:r w:rsidRPr="00524291">
        <w:rPr>
          <w:rFonts w:cs="Arial"/>
          <w:b w:val="0"/>
          <w:color w:val="auto"/>
          <w:sz w:val="22"/>
          <w:szCs w:val="22"/>
        </w:rPr>
        <w:t xml:space="preserve"> Demonstrated capability to communicate clearly; listen, </w:t>
      </w:r>
      <w:proofErr w:type="gramStart"/>
      <w:r w:rsidRPr="00524291">
        <w:rPr>
          <w:rFonts w:cs="Arial"/>
          <w:b w:val="0"/>
          <w:color w:val="auto"/>
          <w:sz w:val="22"/>
          <w:szCs w:val="22"/>
        </w:rPr>
        <w:t>understand</w:t>
      </w:r>
      <w:proofErr w:type="gramEnd"/>
      <w:r w:rsidRPr="00524291">
        <w:rPr>
          <w:rFonts w:cs="Arial"/>
          <w:b w:val="0"/>
          <w:color w:val="auto"/>
          <w:sz w:val="22"/>
          <w:szCs w:val="22"/>
        </w:rPr>
        <w:t xml:space="preserve"> and adapt to audience; and to negotiate persuasively. Excellent presentation skills and ability to represent the Government in a variety of forums. Excellent written communication skills.</w:t>
      </w:r>
    </w:p>
    <w:p w14:paraId="16649CF9" w14:textId="08ECEFB1" w:rsidR="002A48CE" w:rsidRDefault="002A48CE" w:rsidP="002A48CE">
      <w:pPr>
        <w:pStyle w:val="HeadingLevel1-Bulleted"/>
        <w:spacing w:before="0"/>
        <w:ind w:left="357"/>
        <w:rPr>
          <w:rFonts w:cs="Arial"/>
          <w:b w:val="0"/>
          <w:color w:val="auto"/>
          <w:sz w:val="22"/>
          <w:szCs w:val="22"/>
        </w:rPr>
      </w:pPr>
      <w:r w:rsidRPr="00524291">
        <w:rPr>
          <w:rFonts w:cs="Arial"/>
          <w:color w:val="auto"/>
          <w:sz w:val="22"/>
          <w:szCs w:val="22"/>
        </w:rPr>
        <w:t>Creative skills:</w:t>
      </w:r>
      <w:r w:rsidRPr="00524291">
        <w:rPr>
          <w:rFonts w:cs="Arial"/>
          <w:b w:val="0"/>
          <w:color w:val="auto"/>
          <w:sz w:val="22"/>
          <w:szCs w:val="22"/>
        </w:rPr>
        <w:t xml:space="preserve"> Demonstrated record of achievement in contemporary project management and the proven ability to manage large complex projects across different organisations and community settings.  Demonstrated record in developing complex legislation and supporting its passage through parliamentary processes.</w:t>
      </w:r>
    </w:p>
    <w:p w14:paraId="2EA3581E" w14:textId="77777777" w:rsidR="00C06DB7" w:rsidRPr="00524291" w:rsidRDefault="00C06DB7" w:rsidP="005821EF">
      <w:pPr>
        <w:pStyle w:val="HeadingLevel1-Bulleted"/>
        <w:numPr>
          <w:ilvl w:val="0"/>
          <w:numId w:val="0"/>
        </w:numPr>
        <w:spacing w:before="0"/>
        <w:rPr>
          <w:rFonts w:cs="Arial"/>
          <w:b w:val="0"/>
          <w:color w:val="auto"/>
          <w:sz w:val="22"/>
          <w:szCs w:val="22"/>
        </w:rPr>
      </w:pPr>
    </w:p>
    <w:p w14:paraId="2CE6A705" w14:textId="0987F1ED" w:rsidR="002A48CE" w:rsidRPr="009E280D" w:rsidRDefault="008824E2" w:rsidP="002A48CE">
      <w:pPr>
        <w:pStyle w:val="Headinglevel2"/>
        <w:shd w:val="clear" w:color="auto" w:fill="FFFFFF"/>
        <w:spacing w:before="240"/>
        <w:rPr>
          <w:rFonts w:cs="Arial"/>
          <w:color w:val="auto"/>
          <w:sz w:val="24"/>
        </w:rPr>
      </w:pPr>
      <w:r>
        <w:rPr>
          <w:rFonts w:cs="Arial"/>
          <w:color w:val="auto"/>
          <w:sz w:val="24"/>
        </w:rPr>
        <w:t xml:space="preserve">Desirable </w:t>
      </w:r>
      <w:r w:rsidR="002A48CE">
        <w:rPr>
          <w:rFonts w:cs="Arial"/>
          <w:color w:val="auto"/>
          <w:sz w:val="24"/>
        </w:rPr>
        <w:t>Requirements</w:t>
      </w:r>
    </w:p>
    <w:p w14:paraId="27A224E3" w14:textId="77777777" w:rsidR="002A48CE" w:rsidRDefault="002A48CE" w:rsidP="002A48CE">
      <w:pPr>
        <w:pStyle w:val="Headinglevel2"/>
        <w:spacing w:before="0"/>
        <w:rPr>
          <w:rFonts w:cs="Arial"/>
          <w:b w:val="0"/>
          <w:color w:val="auto"/>
          <w:szCs w:val="22"/>
        </w:rPr>
      </w:pPr>
      <w:r>
        <w:rPr>
          <w:rFonts w:cs="Arial"/>
          <w:b w:val="0"/>
          <w:color w:val="auto"/>
          <w:szCs w:val="22"/>
        </w:rPr>
        <w:t>A degree or other tertiary qualification in a relevant field.</w:t>
      </w:r>
    </w:p>
    <w:p w14:paraId="1DA51B24" w14:textId="77777777" w:rsidR="002A48CE" w:rsidRPr="00254AD5" w:rsidRDefault="002A48CE" w:rsidP="000F3B59">
      <w:pPr>
        <w:pStyle w:val="Headinglevel2"/>
        <w:spacing w:before="240"/>
        <w:rPr>
          <w:rFonts w:cs="Arial"/>
          <w:b w:val="0"/>
          <w:color w:val="auto"/>
          <w:szCs w:val="22"/>
        </w:rPr>
      </w:pPr>
      <w:r w:rsidRPr="004E37A4">
        <w:rPr>
          <w:rFonts w:cs="Arial"/>
          <w:color w:val="auto"/>
          <w:sz w:val="24"/>
        </w:rPr>
        <w:t>More information</w:t>
      </w:r>
    </w:p>
    <w:p w14:paraId="654FDD2F" w14:textId="131F0415" w:rsidR="00D27A33" w:rsidRDefault="002A48CE" w:rsidP="000F3B59">
      <w:pPr>
        <w:pStyle w:val="Headinglevel2"/>
        <w:spacing w:before="0"/>
      </w:pPr>
      <w:r w:rsidRPr="004E37A4">
        <w:rPr>
          <w:rFonts w:cs="Arial"/>
          <w:b w:val="0"/>
          <w:color w:val="auto"/>
          <w:szCs w:val="22"/>
        </w:rPr>
        <w:t xml:space="preserve">For more information about Senior Executives please go to the State Service Management Office website at </w:t>
      </w:r>
      <w:hyperlink r:id="rId9" w:history="1">
        <w:r w:rsidRPr="009A24BA">
          <w:rPr>
            <w:rStyle w:val="Hyperlink"/>
            <w:rFonts w:cs="Arial"/>
            <w:b w:val="0"/>
            <w:szCs w:val="22"/>
          </w:rPr>
          <w:t>http://www.dpac.tas.gov.au/divisions/ssmo</w:t>
        </w:r>
      </w:hyperlink>
      <w:bookmarkEnd w:id="0"/>
      <w:bookmarkEnd w:id="1"/>
    </w:p>
    <w:sectPr w:rsidR="00D27A33" w:rsidSect="00CF793B">
      <w:headerReference w:type="even" r:id="rId10"/>
      <w:headerReference w:type="default" r:id="rId11"/>
      <w:footerReference w:type="even" r:id="rId12"/>
      <w:footerReference w:type="default" r:id="rId13"/>
      <w:headerReference w:type="first" r:id="rId14"/>
      <w:footerReference w:type="first" r:id="rId15"/>
      <w:pgSz w:w="11906" w:h="16838" w:code="9"/>
      <w:pgMar w:top="1361" w:right="1134" w:bottom="851" w:left="1134" w:header="284"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DA1A" w14:textId="77777777" w:rsidR="00FE53A8" w:rsidRDefault="00FE53A8" w:rsidP="00C969B7">
      <w:r>
        <w:separator/>
      </w:r>
    </w:p>
  </w:endnote>
  <w:endnote w:type="continuationSeparator" w:id="0">
    <w:p w14:paraId="2943F1E9" w14:textId="77777777" w:rsidR="00FE53A8" w:rsidRDefault="00FE53A8" w:rsidP="00C9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1DEB" w14:textId="77777777" w:rsidR="00F609D3" w:rsidRDefault="00F6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78B8" w14:textId="77777777" w:rsidR="00F609D3" w:rsidRDefault="00F60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8DE" w14:textId="77777777" w:rsidR="00F609D3" w:rsidRDefault="00F6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55B9" w14:textId="77777777" w:rsidR="00FE53A8" w:rsidRDefault="00FE53A8" w:rsidP="00C969B7">
      <w:r>
        <w:separator/>
      </w:r>
    </w:p>
  </w:footnote>
  <w:footnote w:type="continuationSeparator" w:id="0">
    <w:p w14:paraId="0ABE044E" w14:textId="77777777" w:rsidR="00FE53A8" w:rsidRDefault="00FE53A8" w:rsidP="00C9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7AD" w14:textId="77777777" w:rsidR="00F609D3" w:rsidRDefault="00F6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8BD0" w14:textId="77777777" w:rsidR="00952493" w:rsidRDefault="004E1733"/>
  <w:p w14:paraId="4CDA82AD" w14:textId="77777777" w:rsidR="00952493" w:rsidRDefault="004E1733"/>
  <w:p w14:paraId="75D41810" w14:textId="77777777" w:rsidR="00952493" w:rsidRDefault="004E17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B558" w14:textId="77777777" w:rsidR="00F609D3" w:rsidRDefault="00F6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CAA"/>
    <w:multiLevelType w:val="hybridMultilevel"/>
    <w:tmpl w:val="5666FA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B65B4"/>
    <w:multiLevelType w:val="hybridMultilevel"/>
    <w:tmpl w:val="91388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7474A"/>
    <w:multiLevelType w:val="hybridMultilevel"/>
    <w:tmpl w:val="3DFC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11DE7"/>
    <w:multiLevelType w:val="hybridMultilevel"/>
    <w:tmpl w:val="AF8AD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5436A69"/>
    <w:multiLevelType w:val="multilevel"/>
    <w:tmpl w:val="34DE94F6"/>
    <w:lvl w:ilvl="0">
      <w:start w:val="1"/>
      <w:numFmt w:val="bullet"/>
      <w:pStyle w:val="EndnoteText"/>
      <w:lvlText w:val=""/>
      <w:lvlJc w:val="left"/>
      <w:pPr>
        <w:tabs>
          <w:tab w:val="num" w:pos="567"/>
        </w:tabs>
        <w:ind w:left="567" w:hanging="567"/>
      </w:pPr>
      <w:rPr>
        <w:rFonts w:ascii="Symbol" w:hAnsi="Symbol" w:hint="default"/>
        <w:color w:val="auto"/>
      </w:rPr>
    </w:lvl>
    <w:lvl w:ilvl="1">
      <w:start w:val="1"/>
      <w:numFmt w:val="bullet"/>
      <w:lvlRestart w:val="0"/>
      <w:lvlText w:val=""/>
      <w:lvlJc w:val="left"/>
      <w:pPr>
        <w:tabs>
          <w:tab w:val="num" w:pos="1134"/>
        </w:tabs>
        <w:ind w:left="1134" w:hanging="567"/>
      </w:pPr>
      <w:rPr>
        <w:rFonts w:ascii="Symbol" w:hAnsi="Symbol" w:hint="default"/>
        <w:color w:val="auto"/>
      </w:rPr>
    </w:lvl>
    <w:lvl w:ilvl="2">
      <w:start w:val="1"/>
      <w:numFmt w:val="bullet"/>
      <w:lvlRestart w:val="0"/>
      <w:pStyle w:val="BodyTextFirstIndent2"/>
      <w:lvlText w:val=""/>
      <w:lvlJc w:val="left"/>
      <w:pPr>
        <w:tabs>
          <w:tab w:val="num" w:pos="1701"/>
        </w:tabs>
        <w:ind w:left="1701" w:hanging="567"/>
      </w:pPr>
      <w:rPr>
        <w:rFonts w:ascii="Symbol" w:hAnsi="Symbol" w:hint="default"/>
        <w:color w:val="auto"/>
      </w:rPr>
    </w:lvl>
    <w:lvl w:ilvl="3">
      <w:start w:val="1"/>
      <w:numFmt w:val="bullet"/>
      <w:lvlRestart w:val="0"/>
      <w:lvlText w:val=""/>
      <w:lvlJc w:val="left"/>
      <w:pPr>
        <w:tabs>
          <w:tab w:val="num" w:pos="2550"/>
        </w:tabs>
        <w:ind w:left="2550" w:firstLine="0"/>
      </w:pPr>
      <w:rPr>
        <w:rFonts w:ascii="Symbol" w:hAnsi="Symbol" w:hint="default"/>
        <w:color w:val="auto"/>
      </w:rPr>
    </w:lvl>
    <w:lvl w:ilvl="4">
      <w:start w:val="1"/>
      <w:numFmt w:val="decimal"/>
      <w:lvlText w:val="%1.%2.%3.%4.%5."/>
      <w:lvlJc w:val="left"/>
      <w:pPr>
        <w:tabs>
          <w:tab w:val="num" w:pos="4089"/>
        </w:tabs>
        <w:ind w:left="3081" w:hanging="792"/>
      </w:pPr>
      <w:rPr>
        <w:rFonts w:hint="default"/>
      </w:rPr>
    </w:lvl>
    <w:lvl w:ilvl="5">
      <w:start w:val="1"/>
      <w:numFmt w:val="decimal"/>
      <w:lvlText w:val="%1.%2.%3.%4.%5.%6."/>
      <w:lvlJc w:val="left"/>
      <w:pPr>
        <w:tabs>
          <w:tab w:val="num" w:pos="4449"/>
        </w:tabs>
        <w:ind w:left="3585" w:hanging="936"/>
      </w:pPr>
      <w:rPr>
        <w:rFonts w:hint="default"/>
      </w:rPr>
    </w:lvl>
    <w:lvl w:ilvl="6">
      <w:start w:val="1"/>
      <w:numFmt w:val="none"/>
      <w:lvlRestart w:val="0"/>
      <w:suff w:val="nothing"/>
      <w:lvlText w:val=""/>
      <w:lvlJc w:val="left"/>
      <w:pPr>
        <w:ind w:left="849" w:firstLine="851"/>
      </w:pPr>
      <w:rPr>
        <w:rFonts w:hint="default"/>
      </w:rPr>
    </w:lvl>
    <w:lvl w:ilvl="7">
      <w:start w:val="1"/>
      <w:numFmt w:val="decimal"/>
      <w:lvlText w:val="%7.%8"/>
      <w:lvlJc w:val="left"/>
      <w:pPr>
        <w:tabs>
          <w:tab w:val="num" w:pos="1700"/>
        </w:tabs>
        <w:ind w:left="1700" w:hanging="851"/>
      </w:pPr>
      <w:rPr>
        <w:rFonts w:hint="default"/>
      </w:rPr>
    </w:lvl>
    <w:lvl w:ilvl="8">
      <w:start w:val="1"/>
      <w:numFmt w:val="decimal"/>
      <w:lvlText w:val="%7.%8.%9"/>
      <w:lvlJc w:val="left"/>
      <w:pPr>
        <w:tabs>
          <w:tab w:val="num" w:pos="1700"/>
        </w:tabs>
        <w:ind w:left="1700" w:hanging="851"/>
      </w:pPr>
      <w:rPr>
        <w:rFonts w:hint="default"/>
      </w:rPr>
    </w:lvl>
  </w:abstractNum>
  <w:abstractNum w:abstractNumId="5" w15:restartNumberingAfterBreak="0">
    <w:nsid w:val="24421E25"/>
    <w:multiLevelType w:val="hybridMultilevel"/>
    <w:tmpl w:val="36721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4C4529"/>
    <w:multiLevelType w:val="hybridMultilevel"/>
    <w:tmpl w:val="E9505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C267C"/>
    <w:multiLevelType w:val="hybridMultilevel"/>
    <w:tmpl w:val="2E7CC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7B1CC5"/>
    <w:multiLevelType w:val="hybridMultilevel"/>
    <w:tmpl w:val="D88A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E243D"/>
    <w:multiLevelType w:val="multilevel"/>
    <w:tmpl w:val="AE00BC4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10"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1" w15:restartNumberingAfterBreak="0">
    <w:nsid w:val="638948D9"/>
    <w:multiLevelType w:val="multilevel"/>
    <w:tmpl w:val="E7B830BC"/>
    <w:lvl w:ilvl="0">
      <w:start w:val="1"/>
      <w:numFmt w:val="decimal"/>
      <w:lvlText w:val="%1."/>
      <w:lvlJc w:val="left"/>
      <w:pPr>
        <w:tabs>
          <w:tab w:val="num" w:pos="-1440"/>
        </w:tabs>
        <w:ind w:left="360" w:hanging="360"/>
      </w:pPr>
      <w:rPr>
        <w:rFonts w:cs="Times New Roman" w:hint="default"/>
      </w:rPr>
    </w:lvl>
    <w:lvl w:ilvl="1">
      <w:start w:val="1"/>
      <w:numFmt w:val="bullet"/>
      <w:lvlText w:val=""/>
      <w:lvlJc w:val="left"/>
      <w:pPr>
        <w:tabs>
          <w:tab w:val="num" w:pos="-1440"/>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2" w15:restartNumberingAfterBreak="0">
    <w:nsid w:val="76392C01"/>
    <w:multiLevelType w:val="hybridMultilevel"/>
    <w:tmpl w:val="F7C848D8"/>
    <w:lvl w:ilvl="0" w:tplc="326018CE">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87607970">
    <w:abstractNumId w:val="9"/>
  </w:num>
  <w:num w:numId="2" w16cid:durableId="949699718">
    <w:abstractNumId w:val="4"/>
  </w:num>
  <w:num w:numId="3" w16cid:durableId="169226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5059055">
    <w:abstractNumId w:val="3"/>
  </w:num>
  <w:num w:numId="5" w16cid:durableId="198863415">
    <w:abstractNumId w:val="5"/>
  </w:num>
  <w:num w:numId="6" w16cid:durableId="261455812">
    <w:abstractNumId w:val="0"/>
  </w:num>
  <w:num w:numId="7" w16cid:durableId="969244533">
    <w:abstractNumId w:val="2"/>
  </w:num>
  <w:num w:numId="8" w16cid:durableId="1495607448">
    <w:abstractNumId w:val="7"/>
  </w:num>
  <w:num w:numId="9" w16cid:durableId="1544438210">
    <w:abstractNumId w:val="1"/>
  </w:num>
  <w:num w:numId="10" w16cid:durableId="1774981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073474">
    <w:abstractNumId w:val="8"/>
  </w:num>
  <w:num w:numId="12" w16cid:durableId="1197280140">
    <w:abstractNumId w:val="11"/>
  </w:num>
  <w:num w:numId="13" w16cid:durableId="650712388">
    <w:abstractNumId w:val="6"/>
  </w:num>
  <w:num w:numId="14" w16cid:durableId="756747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D4"/>
    <w:rsid w:val="00011B27"/>
    <w:rsid w:val="0001295F"/>
    <w:rsid w:val="000262EB"/>
    <w:rsid w:val="000379A6"/>
    <w:rsid w:val="00067631"/>
    <w:rsid w:val="00070196"/>
    <w:rsid w:val="00073C44"/>
    <w:rsid w:val="0008114D"/>
    <w:rsid w:val="000D4D26"/>
    <w:rsid w:val="000D71BA"/>
    <w:rsid w:val="000D766F"/>
    <w:rsid w:val="000E0F4B"/>
    <w:rsid w:val="000E144D"/>
    <w:rsid w:val="000F174A"/>
    <w:rsid w:val="000F3B59"/>
    <w:rsid w:val="000F3C1A"/>
    <w:rsid w:val="001018CC"/>
    <w:rsid w:val="0011600A"/>
    <w:rsid w:val="00126BBE"/>
    <w:rsid w:val="001326A4"/>
    <w:rsid w:val="0015562E"/>
    <w:rsid w:val="001573D4"/>
    <w:rsid w:val="0018485F"/>
    <w:rsid w:val="001A1118"/>
    <w:rsid w:val="001B750C"/>
    <w:rsid w:val="001C7101"/>
    <w:rsid w:val="001D65E4"/>
    <w:rsid w:val="001E7F65"/>
    <w:rsid w:val="001F2A1B"/>
    <w:rsid w:val="001F5FD8"/>
    <w:rsid w:val="0021271B"/>
    <w:rsid w:val="00215272"/>
    <w:rsid w:val="00230675"/>
    <w:rsid w:val="002462FD"/>
    <w:rsid w:val="00260223"/>
    <w:rsid w:val="00272A4F"/>
    <w:rsid w:val="0027345C"/>
    <w:rsid w:val="002822A3"/>
    <w:rsid w:val="0028683D"/>
    <w:rsid w:val="002A35B6"/>
    <w:rsid w:val="002A48CE"/>
    <w:rsid w:val="002B74D4"/>
    <w:rsid w:val="002C0A22"/>
    <w:rsid w:val="002D1953"/>
    <w:rsid w:val="002D5B87"/>
    <w:rsid w:val="002E3BA8"/>
    <w:rsid w:val="002E4138"/>
    <w:rsid w:val="002E6865"/>
    <w:rsid w:val="002F03F7"/>
    <w:rsid w:val="002F3987"/>
    <w:rsid w:val="002F6805"/>
    <w:rsid w:val="00303342"/>
    <w:rsid w:val="00321BF0"/>
    <w:rsid w:val="003233EE"/>
    <w:rsid w:val="003732AE"/>
    <w:rsid w:val="00382098"/>
    <w:rsid w:val="00391D05"/>
    <w:rsid w:val="003A1D01"/>
    <w:rsid w:val="003A40A5"/>
    <w:rsid w:val="003C3C75"/>
    <w:rsid w:val="003D4EA5"/>
    <w:rsid w:val="003D5FB9"/>
    <w:rsid w:val="003D6016"/>
    <w:rsid w:val="003E4BEC"/>
    <w:rsid w:val="003F2748"/>
    <w:rsid w:val="004005DA"/>
    <w:rsid w:val="00402B42"/>
    <w:rsid w:val="00406052"/>
    <w:rsid w:val="004066B7"/>
    <w:rsid w:val="00406C4B"/>
    <w:rsid w:val="00415A95"/>
    <w:rsid w:val="00417297"/>
    <w:rsid w:val="0042277E"/>
    <w:rsid w:val="0043117C"/>
    <w:rsid w:val="00447313"/>
    <w:rsid w:val="00451CC6"/>
    <w:rsid w:val="00460549"/>
    <w:rsid w:val="00464107"/>
    <w:rsid w:val="0046603C"/>
    <w:rsid w:val="00474C14"/>
    <w:rsid w:val="004757A0"/>
    <w:rsid w:val="00486A30"/>
    <w:rsid w:val="004928E9"/>
    <w:rsid w:val="004A5BA4"/>
    <w:rsid w:val="004A6319"/>
    <w:rsid w:val="004B09F0"/>
    <w:rsid w:val="004B1539"/>
    <w:rsid w:val="004E1733"/>
    <w:rsid w:val="004F475B"/>
    <w:rsid w:val="00500D19"/>
    <w:rsid w:val="00524291"/>
    <w:rsid w:val="00540CBA"/>
    <w:rsid w:val="00560CAA"/>
    <w:rsid w:val="005645DD"/>
    <w:rsid w:val="005753A0"/>
    <w:rsid w:val="00576A76"/>
    <w:rsid w:val="005821EF"/>
    <w:rsid w:val="00584C99"/>
    <w:rsid w:val="00587D76"/>
    <w:rsid w:val="005C071B"/>
    <w:rsid w:val="005C145B"/>
    <w:rsid w:val="005C2B26"/>
    <w:rsid w:val="005E56D5"/>
    <w:rsid w:val="006009AE"/>
    <w:rsid w:val="0060536A"/>
    <w:rsid w:val="00624A91"/>
    <w:rsid w:val="00626909"/>
    <w:rsid w:val="00642BB5"/>
    <w:rsid w:val="00645D0E"/>
    <w:rsid w:val="00656942"/>
    <w:rsid w:val="006576A1"/>
    <w:rsid w:val="00657A44"/>
    <w:rsid w:val="00672FEC"/>
    <w:rsid w:val="0068192D"/>
    <w:rsid w:val="0068294C"/>
    <w:rsid w:val="006C1A4A"/>
    <w:rsid w:val="006E13BF"/>
    <w:rsid w:val="006F2001"/>
    <w:rsid w:val="006F6033"/>
    <w:rsid w:val="00701CF6"/>
    <w:rsid w:val="007205D4"/>
    <w:rsid w:val="0074161E"/>
    <w:rsid w:val="00764E8B"/>
    <w:rsid w:val="00791D0D"/>
    <w:rsid w:val="007A79B7"/>
    <w:rsid w:val="007B0F2E"/>
    <w:rsid w:val="007B331F"/>
    <w:rsid w:val="007C1740"/>
    <w:rsid w:val="007D0BC2"/>
    <w:rsid w:val="007D7DAA"/>
    <w:rsid w:val="007E4027"/>
    <w:rsid w:val="00827899"/>
    <w:rsid w:val="00830438"/>
    <w:rsid w:val="00835E5F"/>
    <w:rsid w:val="00846D3B"/>
    <w:rsid w:val="008572EA"/>
    <w:rsid w:val="00860C2F"/>
    <w:rsid w:val="00861E5F"/>
    <w:rsid w:val="00862A4D"/>
    <w:rsid w:val="00870FC3"/>
    <w:rsid w:val="008824E2"/>
    <w:rsid w:val="008965BF"/>
    <w:rsid w:val="008B75B3"/>
    <w:rsid w:val="008C4D23"/>
    <w:rsid w:val="008D3A6B"/>
    <w:rsid w:val="008E6597"/>
    <w:rsid w:val="008E6C5C"/>
    <w:rsid w:val="008F6F3D"/>
    <w:rsid w:val="00916859"/>
    <w:rsid w:val="00945324"/>
    <w:rsid w:val="00945B4E"/>
    <w:rsid w:val="0097046B"/>
    <w:rsid w:val="009738FA"/>
    <w:rsid w:val="00975D5F"/>
    <w:rsid w:val="00976F06"/>
    <w:rsid w:val="009831BB"/>
    <w:rsid w:val="00994E9A"/>
    <w:rsid w:val="009A458C"/>
    <w:rsid w:val="009B07A5"/>
    <w:rsid w:val="009B7719"/>
    <w:rsid w:val="009C758C"/>
    <w:rsid w:val="009D047B"/>
    <w:rsid w:val="009D313C"/>
    <w:rsid w:val="009D43F2"/>
    <w:rsid w:val="009D7B4E"/>
    <w:rsid w:val="009E012D"/>
    <w:rsid w:val="00A02D60"/>
    <w:rsid w:val="00A046A8"/>
    <w:rsid w:val="00A07759"/>
    <w:rsid w:val="00A13E85"/>
    <w:rsid w:val="00A16FF7"/>
    <w:rsid w:val="00A17581"/>
    <w:rsid w:val="00A26EC7"/>
    <w:rsid w:val="00A30C0B"/>
    <w:rsid w:val="00A344A8"/>
    <w:rsid w:val="00A35AEC"/>
    <w:rsid w:val="00A43DAA"/>
    <w:rsid w:val="00A53AFE"/>
    <w:rsid w:val="00AA0C96"/>
    <w:rsid w:val="00AA18C4"/>
    <w:rsid w:val="00AA3C49"/>
    <w:rsid w:val="00AA4178"/>
    <w:rsid w:val="00AA5218"/>
    <w:rsid w:val="00AB1BC6"/>
    <w:rsid w:val="00AB1EF6"/>
    <w:rsid w:val="00AB2EEE"/>
    <w:rsid w:val="00AC365D"/>
    <w:rsid w:val="00AD2E5A"/>
    <w:rsid w:val="00AF5A99"/>
    <w:rsid w:val="00B05DBA"/>
    <w:rsid w:val="00B11D0D"/>
    <w:rsid w:val="00B25497"/>
    <w:rsid w:val="00B35416"/>
    <w:rsid w:val="00B44D13"/>
    <w:rsid w:val="00B6462D"/>
    <w:rsid w:val="00B66B88"/>
    <w:rsid w:val="00B933DD"/>
    <w:rsid w:val="00B968CE"/>
    <w:rsid w:val="00BA48D4"/>
    <w:rsid w:val="00BA60AB"/>
    <w:rsid w:val="00BA6DD1"/>
    <w:rsid w:val="00BB0681"/>
    <w:rsid w:val="00BB5D15"/>
    <w:rsid w:val="00BF6165"/>
    <w:rsid w:val="00BF62F7"/>
    <w:rsid w:val="00BF7600"/>
    <w:rsid w:val="00C06DB7"/>
    <w:rsid w:val="00C07753"/>
    <w:rsid w:val="00C348F1"/>
    <w:rsid w:val="00C35437"/>
    <w:rsid w:val="00C37079"/>
    <w:rsid w:val="00C3709B"/>
    <w:rsid w:val="00C440E2"/>
    <w:rsid w:val="00C520D8"/>
    <w:rsid w:val="00C56FF8"/>
    <w:rsid w:val="00C63F58"/>
    <w:rsid w:val="00C64CDC"/>
    <w:rsid w:val="00C64E4C"/>
    <w:rsid w:val="00C67F8B"/>
    <w:rsid w:val="00C82900"/>
    <w:rsid w:val="00C838A7"/>
    <w:rsid w:val="00C85DB9"/>
    <w:rsid w:val="00C90A25"/>
    <w:rsid w:val="00C925F5"/>
    <w:rsid w:val="00C969B7"/>
    <w:rsid w:val="00CA0CF0"/>
    <w:rsid w:val="00CA561A"/>
    <w:rsid w:val="00CA7EF1"/>
    <w:rsid w:val="00CC2F3E"/>
    <w:rsid w:val="00CC7A8D"/>
    <w:rsid w:val="00CD516F"/>
    <w:rsid w:val="00CD6D78"/>
    <w:rsid w:val="00CD7388"/>
    <w:rsid w:val="00CE2ABE"/>
    <w:rsid w:val="00CF160F"/>
    <w:rsid w:val="00D01EA7"/>
    <w:rsid w:val="00D0335B"/>
    <w:rsid w:val="00D13BE2"/>
    <w:rsid w:val="00D26815"/>
    <w:rsid w:val="00D27A33"/>
    <w:rsid w:val="00D36C49"/>
    <w:rsid w:val="00D40B82"/>
    <w:rsid w:val="00D51F31"/>
    <w:rsid w:val="00D53E01"/>
    <w:rsid w:val="00D607FC"/>
    <w:rsid w:val="00D625D3"/>
    <w:rsid w:val="00D64E4E"/>
    <w:rsid w:val="00D714EE"/>
    <w:rsid w:val="00D744A8"/>
    <w:rsid w:val="00D92654"/>
    <w:rsid w:val="00D9319B"/>
    <w:rsid w:val="00DB10E4"/>
    <w:rsid w:val="00DB7116"/>
    <w:rsid w:val="00DB7F0E"/>
    <w:rsid w:val="00DD01CD"/>
    <w:rsid w:val="00DD042B"/>
    <w:rsid w:val="00DD07A8"/>
    <w:rsid w:val="00DE4820"/>
    <w:rsid w:val="00DF089C"/>
    <w:rsid w:val="00E30DA6"/>
    <w:rsid w:val="00E31216"/>
    <w:rsid w:val="00E35588"/>
    <w:rsid w:val="00E36EEC"/>
    <w:rsid w:val="00E50801"/>
    <w:rsid w:val="00E54269"/>
    <w:rsid w:val="00E61C8A"/>
    <w:rsid w:val="00E6215A"/>
    <w:rsid w:val="00E631DB"/>
    <w:rsid w:val="00E656B2"/>
    <w:rsid w:val="00E666A5"/>
    <w:rsid w:val="00E80B97"/>
    <w:rsid w:val="00EA1029"/>
    <w:rsid w:val="00EA21CF"/>
    <w:rsid w:val="00EB6F52"/>
    <w:rsid w:val="00ED6413"/>
    <w:rsid w:val="00ED7F9D"/>
    <w:rsid w:val="00EE0C46"/>
    <w:rsid w:val="00EE1DAC"/>
    <w:rsid w:val="00EE346B"/>
    <w:rsid w:val="00F24293"/>
    <w:rsid w:val="00F267C7"/>
    <w:rsid w:val="00F316BE"/>
    <w:rsid w:val="00F434A9"/>
    <w:rsid w:val="00F45C65"/>
    <w:rsid w:val="00F46860"/>
    <w:rsid w:val="00F5781A"/>
    <w:rsid w:val="00F609D3"/>
    <w:rsid w:val="00F853F1"/>
    <w:rsid w:val="00F87A65"/>
    <w:rsid w:val="00FB4345"/>
    <w:rsid w:val="00FE53A8"/>
    <w:rsid w:val="00FF7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1F85D"/>
  <w15:docId w15:val="{C6679FE9-525F-424D-A6B8-90051878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w:eastAsiaTheme="minorHAnsi" w:hAnsi="GillSans"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D4"/>
    <w:rPr>
      <w:rFonts w:ascii="Times New Roman" w:eastAsia="Times New Roman" w:hAnsi="Times New Roman" w:cs="Times New Roman"/>
      <w:szCs w:val="20"/>
    </w:rPr>
  </w:style>
  <w:style w:type="paragraph" w:styleId="Heading1">
    <w:name w:val="heading 1"/>
    <w:basedOn w:val="Normal"/>
    <w:next w:val="Normal"/>
    <w:link w:val="Heading1Char"/>
    <w:qFormat/>
    <w:rsid w:val="001573D4"/>
    <w:pPr>
      <w:keepNext/>
      <w:spacing w:after="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73D4"/>
    <w:rPr>
      <w:rFonts w:ascii="Arial" w:eastAsia="Times New Roman" w:hAnsi="Arial" w:cs="Times New Roman"/>
      <w:b/>
      <w:szCs w:val="20"/>
    </w:rPr>
  </w:style>
  <w:style w:type="paragraph" w:styleId="Header">
    <w:name w:val="header"/>
    <w:basedOn w:val="Normal"/>
    <w:link w:val="HeaderChar"/>
    <w:rsid w:val="001573D4"/>
    <w:pPr>
      <w:tabs>
        <w:tab w:val="center" w:pos="4320"/>
        <w:tab w:val="right" w:pos="8640"/>
      </w:tabs>
    </w:pPr>
  </w:style>
  <w:style w:type="character" w:customStyle="1" w:styleId="HeaderChar">
    <w:name w:val="Header Char"/>
    <w:basedOn w:val="DefaultParagraphFont"/>
    <w:link w:val="Header"/>
    <w:rsid w:val="001573D4"/>
    <w:rPr>
      <w:rFonts w:ascii="Times New Roman" w:eastAsia="Times New Roman" w:hAnsi="Times New Roman" w:cs="Times New Roman"/>
      <w:szCs w:val="20"/>
    </w:rPr>
  </w:style>
  <w:style w:type="paragraph" w:styleId="Footer">
    <w:name w:val="footer"/>
    <w:basedOn w:val="Normal"/>
    <w:link w:val="FooterChar"/>
    <w:uiPriority w:val="99"/>
    <w:rsid w:val="001573D4"/>
    <w:pPr>
      <w:tabs>
        <w:tab w:val="center" w:pos="4320"/>
        <w:tab w:val="right" w:pos="8640"/>
      </w:tabs>
    </w:pPr>
  </w:style>
  <w:style w:type="character" w:customStyle="1" w:styleId="FooterChar">
    <w:name w:val="Footer Char"/>
    <w:basedOn w:val="DefaultParagraphFont"/>
    <w:link w:val="Footer"/>
    <w:uiPriority w:val="99"/>
    <w:rsid w:val="001573D4"/>
    <w:rPr>
      <w:rFonts w:ascii="Times New Roman" w:eastAsia="Times New Roman" w:hAnsi="Times New Roman" w:cs="Times New Roman"/>
      <w:szCs w:val="20"/>
    </w:rPr>
  </w:style>
  <w:style w:type="character" w:styleId="Hyperlink">
    <w:name w:val="Hyperlink"/>
    <w:semiHidden/>
    <w:rsid w:val="001573D4"/>
    <w:rPr>
      <w:rFonts w:ascii="Helvetica" w:hAnsi="Helvetica"/>
      <w:color w:val="0000FF"/>
      <w:u w:val="single"/>
    </w:rPr>
  </w:style>
  <w:style w:type="paragraph" w:styleId="ListBullet2">
    <w:name w:val="List Bullet 2"/>
    <w:basedOn w:val="Normal"/>
    <w:rsid w:val="001573D4"/>
    <w:pPr>
      <w:keepLines/>
      <w:numPr>
        <w:ilvl w:val="1"/>
        <w:numId w:val="1"/>
      </w:numPr>
      <w:spacing w:before="240" w:after="100" w:afterAutospacing="1"/>
    </w:pPr>
    <w:rPr>
      <w:rFonts w:ascii="Arial" w:hAnsi="Arial"/>
      <w:sz w:val="22"/>
      <w:szCs w:val="22"/>
      <w:lang w:eastAsia="en-AU"/>
    </w:rPr>
  </w:style>
  <w:style w:type="paragraph" w:styleId="ListBullet">
    <w:name w:val="List Bullet"/>
    <w:basedOn w:val="Normal"/>
    <w:rsid w:val="001573D4"/>
    <w:pPr>
      <w:keepLines/>
      <w:numPr>
        <w:numId w:val="1"/>
      </w:numPr>
      <w:spacing w:before="240" w:after="100" w:afterAutospacing="1"/>
    </w:pPr>
    <w:rPr>
      <w:rFonts w:ascii="Arial" w:hAnsi="Arial"/>
      <w:sz w:val="22"/>
      <w:szCs w:val="22"/>
      <w:lang w:eastAsia="en-AU"/>
    </w:rPr>
  </w:style>
  <w:style w:type="paragraph" w:styleId="ListBullet3">
    <w:name w:val="List Bullet 3"/>
    <w:basedOn w:val="Normal"/>
    <w:rsid w:val="001573D4"/>
    <w:pPr>
      <w:keepLines/>
      <w:numPr>
        <w:ilvl w:val="2"/>
        <w:numId w:val="1"/>
      </w:numPr>
      <w:spacing w:before="240" w:after="100" w:afterAutospacing="1"/>
    </w:pPr>
    <w:rPr>
      <w:rFonts w:ascii="Arial" w:hAnsi="Arial"/>
      <w:sz w:val="22"/>
      <w:szCs w:val="22"/>
      <w:lang w:eastAsia="en-AU"/>
    </w:rPr>
  </w:style>
  <w:style w:type="paragraph" w:styleId="ListBullet4">
    <w:name w:val="List Bullet 4"/>
    <w:basedOn w:val="Normal"/>
    <w:uiPriority w:val="99"/>
    <w:rsid w:val="001573D4"/>
    <w:pPr>
      <w:keepLines/>
      <w:numPr>
        <w:ilvl w:val="3"/>
        <w:numId w:val="1"/>
      </w:numPr>
      <w:spacing w:before="240" w:after="100" w:afterAutospacing="1"/>
    </w:pPr>
    <w:rPr>
      <w:rFonts w:ascii="Arial" w:hAnsi="Arial"/>
      <w:sz w:val="22"/>
      <w:szCs w:val="22"/>
      <w:lang w:eastAsia="en-AU"/>
    </w:rPr>
  </w:style>
  <w:style w:type="paragraph" w:styleId="EndnoteText">
    <w:name w:val="endnote text"/>
    <w:basedOn w:val="Normal"/>
    <w:link w:val="EndnoteTextChar"/>
    <w:uiPriority w:val="99"/>
    <w:rsid w:val="001573D4"/>
    <w:pPr>
      <w:keepLines/>
      <w:numPr>
        <w:numId w:val="2"/>
      </w:numPr>
      <w:tabs>
        <w:tab w:val="clear" w:pos="567"/>
      </w:tabs>
      <w:spacing w:before="100" w:beforeAutospacing="1" w:after="100" w:afterAutospacing="1"/>
      <w:ind w:left="0" w:firstLine="0"/>
    </w:pPr>
    <w:rPr>
      <w:rFonts w:ascii="Arial" w:hAnsi="Arial"/>
      <w:sz w:val="20"/>
      <w:lang w:eastAsia="en-AU"/>
    </w:rPr>
  </w:style>
  <w:style w:type="character" w:customStyle="1" w:styleId="EndnoteTextChar">
    <w:name w:val="Endnote Text Char"/>
    <w:basedOn w:val="DefaultParagraphFont"/>
    <w:link w:val="EndnoteText"/>
    <w:uiPriority w:val="99"/>
    <w:rsid w:val="001573D4"/>
    <w:rPr>
      <w:rFonts w:ascii="Arial" w:eastAsia="Times New Roman" w:hAnsi="Arial" w:cs="Times New Roman"/>
      <w:sz w:val="20"/>
      <w:szCs w:val="20"/>
      <w:lang w:eastAsia="en-AU"/>
    </w:rPr>
  </w:style>
  <w:style w:type="paragraph" w:styleId="BodyTextIndent">
    <w:name w:val="Body Text Indent"/>
    <w:basedOn w:val="Normal"/>
    <w:link w:val="BodyTextIndentChar"/>
    <w:uiPriority w:val="99"/>
    <w:semiHidden/>
    <w:unhideWhenUsed/>
    <w:rsid w:val="001573D4"/>
    <w:pPr>
      <w:spacing w:after="120"/>
      <w:ind w:left="283"/>
    </w:pPr>
  </w:style>
  <w:style w:type="character" w:customStyle="1" w:styleId="BodyTextIndentChar">
    <w:name w:val="Body Text Indent Char"/>
    <w:basedOn w:val="DefaultParagraphFont"/>
    <w:link w:val="BodyTextIndent"/>
    <w:uiPriority w:val="99"/>
    <w:semiHidden/>
    <w:rsid w:val="001573D4"/>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rsid w:val="001573D4"/>
    <w:pPr>
      <w:keepLines/>
      <w:numPr>
        <w:ilvl w:val="2"/>
        <w:numId w:val="2"/>
      </w:numPr>
      <w:tabs>
        <w:tab w:val="clear" w:pos="1701"/>
      </w:tabs>
      <w:spacing w:before="100" w:beforeAutospacing="1" w:afterAutospacing="1"/>
      <w:ind w:left="283" w:firstLine="210"/>
    </w:pPr>
    <w:rPr>
      <w:rFonts w:ascii="Arial" w:hAnsi="Arial"/>
      <w:sz w:val="22"/>
      <w:szCs w:val="22"/>
      <w:lang w:eastAsia="en-AU"/>
    </w:rPr>
  </w:style>
  <w:style w:type="character" w:customStyle="1" w:styleId="BodyTextFirstIndent2Char">
    <w:name w:val="Body Text First Indent 2 Char"/>
    <w:basedOn w:val="BodyTextIndentChar"/>
    <w:link w:val="BodyTextFirstIndent2"/>
    <w:uiPriority w:val="99"/>
    <w:rsid w:val="001573D4"/>
    <w:rPr>
      <w:rFonts w:ascii="Arial" w:eastAsia="Times New Roman" w:hAnsi="Arial" w:cs="Times New Roman"/>
      <w:sz w:val="22"/>
      <w:szCs w:val="20"/>
      <w:lang w:eastAsia="en-AU"/>
    </w:rPr>
  </w:style>
  <w:style w:type="paragraph" w:customStyle="1" w:styleId="Headinglevel2">
    <w:name w:val="Heading level 2"/>
    <w:basedOn w:val="Normal"/>
    <w:rsid w:val="001573D4"/>
    <w:pPr>
      <w:spacing w:before="360" w:after="120" w:line="270" w:lineRule="exact"/>
      <w:outlineLvl w:val="0"/>
    </w:pPr>
    <w:rPr>
      <w:rFonts w:ascii="Arial" w:hAnsi="Arial"/>
      <w:b/>
      <w:color w:val="889838"/>
      <w:sz w:val="22"/>
      <w:szCs w:val="24"/>
    </w:rPr>
  </w:style>
  <w:style w:type="paragraph" w:customStyle="1" w:styleId="HeadingLevel1-Bulleted">
    <w:name w:val="Heading Level 1 - Bulleted"/>
    <w:rsid w:val="001573D4"/>
    <w:pPr>
      <w:numPr>
        <w:numId w:val="3"/>
      </w:numPr>
      <w:spacing w:before="360" w:after="120"/>
    </w:pPr>
    <w:rPr>
      <w:rFonts w:ascii="Arial" w:eastAsia="Times New Roman" w:hAnsi="Arial" w:cs="Times New Roman"/>
      <w:b/>
      <w:color w:val="889838"/>
      <w:szCs w:val="24"/>
    </w:rPr>
  </w:style>
  <w:style w:type="character" w:customStyle="1" w:styleId="BlueText">
    <w:name w:val="Blue Text"/>
    <w:rsid w:val="001573D4"/>
    <w:rPr>
      <w:color w:val="0000FF"/>
    </w:rPr>
  </w:style>
  <w:style w:type="paragraph" w:styleId="BalloonText">
    <w:name w:val="Balloon Text"/>
    <w:basedOn w:val="Normal"/>
    <w:link w:val="BalloonTextChar"/>
    <w:uiPriority w:val="99"/>
    <w:semiHidden/>
    <w:unhideWhenUsed/>
    <w:rsid w:val="006009AE"/>
    <w:rPr>
      <w:rFonts w:ascii="Tahoma" w:hAnsi="Tahoma" w:cs="Tahoma"/>
      <w:sz w:val="16"/>
      <w:szCs w:val="16"/>
    </w:rPr>
  </w:style>
  <w:style w:type="character" w:customStyle="1" w:styleId="BalloonTextChar">
    <w:name w:val="Balloon Text Char"/>
    <w:basedOn w:val="DefaultParagraphFont"/>
    <w:link w:val="BalloonText"/>
    <w:uiPriority w:val="99"/>
    <w:semiHidden/>
    <w:rsid w:val="006009AE"/>
    <w:rPr>
      <w:rFonts w:ascii="Tahoma" w:eastAsia="Times New Roman" w:hAnsi="Tahoma" w:cs="Tahoma"/>
      <w:sz w:val="16"/>
      <w:szCs w:val="16"/>
    </w:rPr>
  </w:style>
  <w:style w:type="paragraph" w:styleId="PlainText">
    <w:name w:val="Plain Text"/>
    <w:basedOn w:val="Normal"/>
    <w:link w:val="PlainTextChar"/>
    <w:semiHidden/>
    <w:rsid w:val="00916859"/>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semiHidden/>
    <w:rsid w:val="00916859"/>
    <w:rPr>
      <w:rFonts w:ascii="Courier New" w:eastAsia="Times New Roman" w:hAnsi="Courier New" w:cs="Times New Roman"/>
      <w:sz w:val="20"/>
      <w:szCs w:val="20"/>
    </w:rPr>
  </w:style>
  <w:style w:type="paragraph" w:customStyle="1" w:styleId="indent2">
    <w:name w:val="indent2"/>
    <w:basedOn w:val="Normal"/>
    <w:rsid w:val="002A48CE"/>
    <w:pPr>
      <w:tabs>
        <w:tab w:val="left" w:pos="1418"/>
        <w:tab w:val="left" w:pos="5670"/>
        <w:tab w:val="left" w:pos="7088"/>
      </w:tabs>
      <w:overflowPunct w:val="0"/>
      <w:autoSpaceDE w:val="0"/>
      <w:autoSpaceDN w:val="0"/>
      <w:adjustRightInd w:val="0"/>
      <w:spacing w:after="120"/>
      <w:ind w:left="2880" w:hanging="720"/>
      <w:textAlignment w:val="baseline"/>
    </w:pPr>
    <w:rPr>
      <w:lang w:val="en-GB"/>
    </w:rPr>
  </w:style>
  <w:style w:type="character" w:styleId="CommentReference">
    <w:name w:val="annotation reference"/>
    <w:basedOn w:val="DefaultParagraphFont"/>
    <w:uiPriority w:val="99"/>
    <w:semiHidden/>
    <w:unhideWhenUsed/>
    <w:rsid w:val="00070196"/>
    <w:rPr>
      <w:sz w:val="16"/>
      <w:szCs w:val="16"/>
    </w:rPr>
  </w:style>
  <w:style w:type="paragraph" w:styleId="CommentText">
    <w:name w:val="annotation text"/>
    <w:basedOn w:val="Normal"/>
    <w:link w:val="CommentTextChar"/>
    <w:uiPriority w:val="99"/>
    <w:semiHidden/>
    <w:unhideWhenUsed/>
    <w:rsid w:val="00070196"/>
    <w:rPr>
      <w:sz w:val="20"/>
    </w:rPr>
  </w:style>
  <w:style w:type="character" w:customStyle="1" w:styleId="CommentTextChar">
    <w:name w:val="Comment Text Char"/>
    <w:basedOn w:val="DefaultParagraphFont"/>
    <w:link w:val="CommentText"/>
    <w:uiPriority w:val="99"/>
    <w:semiHidden/>
    <w:rsid w:val="00070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196"/>
    <w:rPr>
      <w:b/>
      <w:bCs/>
    </w:rPr>
  </w:style>
  <w:style w:type="character" w:customStyle="1" w:styleId="CommentSubjectChar">
    <w:name w:val="Comment Subject Char"/>
    <w:basedOn w:val="CommentTextChar"/>
    <w:link w:val="CommentSubject"/>
    <w:uiPriority w:val="99"/>
    <w:semiHidden/>
    <w:rsid w:val="00070196"/>
    <w:rPr>
      <w:rFonts w:ascii="Times New Roman" w:eastAsia="Times New Roman" w:hAnsi="Times New Roman" w:cs="Times New Roman"/>
      <w:b/>
      <w:bCs/>
      <w:sz w:val="20"/>
      <w:szCs w:val="20"/>
    </w:rPr>
  </w:style>
  <w:style w:type="paragraph" w:styleId="Revision">
    <w:name w:val="Revision"/>
    <w:hidden/>
    <w:uiPriority w:val="99"/>
    <w:semiHidden/>
    <w:rsid w:val="00AA18C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D607FC"/>
  </w:style>
  <w:style w:type="paragraph" w:styleId="ListParagraph">
    <w:name w:val="List Paragraph"/>
    <w:basedOn w:val="Normal"/>
    <w:link w:val="ListParagraphChar"/>
    <w:uiPriority w:val="34"/>
    <w:qFormat/>
    <w:rsid w:val="00D607FC"/>
    <w:pPr>
      <w:spacing w:after="200" w:line="276" w:lineRule="auto"/>
      <w:ind w:left="720"/>
      <w:contextualSpacing/>
    </w:pPr>
    <w:rPr>
      <w:rFonts w:ascii="GillSans" w:eastAsiaTheme="minorHAnsi" w:hAnsi="GillSan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3045-7BDB-4FCE-B320-0D6DCE23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Mulcahy, Tracey</dc:creator>
  <cp:lastModifiedBy>Gonianaki, Sofia</cp:lastModifiedBy>
  <cp:revision>2</cp:revision>
  <cp:lastPrinted>2023-08-07T00:15:00Z</cp:lastPrinted>
  <dcterms:created xsi:type="dcterms:W3CDTF">2023-11-07T00:25:00Z</dcterms:created>
  <dcterms:modified xsi:type="dcterms:W3CDTF">2023-11-07T00:25:00Z</dcterms:modified>
</cp:coreProperties>
</file>