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A4E8" w14:textId="77777777" w:rsidR="00FC2313" w:rsidRDefault="00B219F0">
      <w:pPr>
        <w:spacing w:before="355" w:after="296"/>
        <w:ind w:left="5174" w:right="893"/>
        <w:textAlignment w:val="baseline"/>
      </w:pPr>
      <w:r>
        <w:rPr>
          <w:noProof/>
        </w:rPr>
        <w:drawing>
          <wp:inline distT="0" distB="0" distL="0" distR="0" wp14:anchorId="4749A530" wp14:editId="4749A531">
            <wp:extent cx="2548255" cy="5549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A4E9" w14:textId="77777777" w:rsidR="00FC2313" w:rsidRDefault="00B219F0">
      <w:pPr>
        <w:spacing w:before="160" w:after="209" w:line="366" w:lineRule="exact"/>
        <w:ind w:left="72"/>
        <w:textAlignment w:val="baseline"/>
        <w:rPr>
          <w:rFonts w:ascii="Arial" w:eastAsia="Arial" w:hAnsi="Arial"/>
          <w:b/>
          <w:color w:val="000000"/>
          <w:sz w:val="32"/>
        </w:rPr>
      </w:pPr>
      <w:r>
        <w:pict w14:anchorId="4749A53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388.55pt;margin-top:730.4pt;width:170.65pt;height:62.65pt;z-index:-251660800;mso-wrap-distance-left:0;mso-wrap-distance-right:0;mso-position-horizontal-relative:page;mso-position-vertical-relative:page" filled="f" stroked="f">
            <v:textbox inset="0,0,0,0">
              <w:txbxContent>
                <w:p w14:paraId="4749A53A" w14:textId="77777777" w:rsidR="00FC2313" w:rsidRDefault="00B219F0">
                  <w:pPr>
                    <w:spacing w:before="277" w:after="669"/>
                    <w:ind w:right="278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4749A53C" wp14:editId="4749A53D">
                        <wp:extent cx="1990725" cy="19494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0725" cy="194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749A534">
          <v:line id="_x0000_s1029" style="position:absolute;left:0;text-align:left;z-index:251657728;mso-position-horizontal-relative:page;mso-position-vertical-relative:page" from="536.4pt,.25pt" to="536.4pt,69.15pt" strokecolor="#cecccd" strokeweight=".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32"/>
        </w:rPr>
        <w:t xml:space="preserve">POSITION DESCRIPTION </w:t>
      </w:r>
      <w:r>
        <w:rPr>
          <w:rFonts w:ascii="Arial" w:eastAsia="Arial" w:hAnsi="Arial"/>
          <w:color w:val="000000"/>
          <w:w w:val="60"/>
          <w:sz w:val="32"/>
        </w:rPr>
        <w:t>–</w:t>
      </w:r>
      <w:r>
        <w:rPr>
          <w:rFonts w:ascii="Arial" w:eastAsia="Arial" w:hAnsi="Arial"/>
          <w:b/>
          <w:color w:val="E06F1F"/>
          <w:sz w:val="28"/>
        </w:rPr>
        <w:t xml:space="preserve"> TEAM MEMBER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91"/>
        <w:gridCol w:w="2428"/>
        <w:gridCol w:w="2962"/>
      </w:tblGrid>
      <w:tr w:rsidR="00FC2313" w14:paraId="4749A4E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5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EA" w14:textId="77777777" w:rsidR="00FC2313" w:rsidRDefault="00B219F0">
            <w:pPr>
              <w:spacing w:before="108" w:after="66" w:line="229" w:lineRule="exact"/>
              <w:ind w:left="2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Position Title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EB" w14:textId="77777777" w:rsidR="00FC2313" w:rsidRDefault="00B219F0">
            <w:pPr>
              <w:spacing w:before="108" w:after="66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Youth Worker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EC" w14:textId="77777777" w:rsidR="00FC2313" w:rsidRDefault="00B219F0">
            <w:pPr>
              <w:spacing w:before="108" w:after="66" w:line="229" w:lineRule="exact"/>
              <w:ind w:left="1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Department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749A4ED" w14:textId="77777777" w:rsidR="00FC2313" w:rsidRDefault="00B219F0">
            <w:pPr>
              <w:spacing w:before="108" w:after="66" w:line="229" w:lineRule="exact"/>
              <w:ind w:left="1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Community Programs</w:t>
            </w:r>
          </w:p>
        </w:tc>
      </w:tr>
      <w:tr w:rsidR="00FC2313" w14:paraId="4749A4F3" w14:textId="77777777" w:rsidTr="0088432A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155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EF" w14:textId="77777777" w:rsidR="00FC2313" w:rsidRDefault="00B219F0">
            <w:pPr>
              <w:spacing w:before="99" w:after="56" w:line="229" w:lineRule="exact"/>
              <w:ind w:left="2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Location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0" w14:textId="15B71992" w:rsidR="00FC2313" w:rsidRDefault="00B219F0">
            <w:pPr>
              <w:spacing w:before="99" w:after="56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The SHAK, </w:t>
            </w:r>
            <w:r w:rsidR="0088432A">
              <w:rPr>
                <w:rFonts w:ascii="Arial" w:eastAsia="Arial" w:hAnsi="Arial"/>
                <w:color w:val="000000"/>
                <w:sz w:val="20"/>
              </w:rPr>
              <w:t>Sanderson Middle School</w:t>
            </w:r>
            <w:r>
              <w:rPr>
                <w:rFonts w:ascii="Arial" w:eastAsia="Arial" w:hAnsi="Arial"/>
                <w:color w:val="000000"/>
                <w:sz w:val="20"/>
              </w:rPr>
              <w:t>, NT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1" w14:textId="77777777" w:rsidR="00FC2313" w:rsidRDefault="00B219F0">
            <w:pPr>
              <w:spacing w:before="99" w:after="56" w:line="229" w:lineRule="exact"/>
              <w:ind w:left="1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Direct/Indirect Reports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749A4F2" w14:textId="77777777" w:rsidR="00FC2313" w:rsidRDefault="00B219F0">
            <w:pPr>
              <w:spacing w:before="99" w:after="56" w:line="229" w:lineRule="exact"/>
              <w:ind w:left="1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Nil</w:t>
            </w:r>
          </w:p>
        </w:tc>
      </w:tr>
      <w:tr w:rsidR="00FC2313" w14:paraId="4749A4F8" w14:textId="77777777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55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4" w14:textId="77777777" w:rsidR="00FC2313" w:rsidRDefault="00B219F0">
            <w:pPr>
              <w:spacing w:before="98" w:after="57" w:line="229" w:lineRule="exact"/>
              <w:ind w:left="2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Reports to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5" w14:textId="77777777" w:rsidR="00FC2313" w:rsidRDefault="00B219F0">
            <w:pPr>
              <w:spacing w:before="98" w:after="57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Youth Team Leader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6" w14:textId="77777777" w:rsidR="00FC2313" w:rsidRDefault="00B219F0">
            <w:pPr>
              <w:spacing w:before="98" w:after="57" w:line="229" w:lineRule="exact"/>
              <w:ind w:left="1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 Revised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749A4F7" w14:textId="77777777" w:rsidR="00FC2313" w:rsidRDefault="00B219F0">
            <w:pPr>
              <w:spacing w:before="98" w:after="57" w:line="229" w:lineRule="exact"/>
              <w:ind w:left="1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July 2020</w:t>
            </w:r>
          </w:p>
        </w:tc>
      </w:tr>
      <w:tr w:rsidR="00FC2313" w14:paraId="4749A4FB" w14:textId="77777777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55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A4F9" w14:textId="77777777" w:rsidR="00FC2313" w:rsidRDefault="00B219F0">
            <w:pPr>
              <w:spacing w:before="46" w:after="71" w:line="26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Industrial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Instrument</w:t>
            </w:r>
          </w:p>
        </w:tc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749A4FA" w14:textId="77777777" w:rsidR="00FC2313" w:rsidRDefault="00B219F0">
            <w:pPr>
              <w:spacing w:before="99" w:after="325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Social Home Care and Disability Services Award</w:t>
            </w:r>
          </w:p>
        </w:tc>
      </w:tr>
      <w:tr w:rsidR="00FC2313" w14:paraId="4749A50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5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C" w14:textId="77777777" w:rsidR="00FC2313" w:rsidRDefault="00B219F0">
            <w:pPr>
              <w:spacing w:before="98" w:after="81" w:line="229" w:lineRule="exact"/>
              <w:ind w:left="2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Job Grade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D" w14:textId="77777777" w:rsidR="00FC2313" w:rsidRDefault="00B219F0">
            <w:pPr>
              <w:spacing w:before="98" w:after="81" w:line="22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Job Grade 2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A4FE" w14:textId="77777777" w:rsidR="00FC2313" w:rsidRDefault="00B219F0">
            <w:pPr>
              <w:spacing w:before="89" w:after="90" w:line="229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Job Evaluation No: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749A4FF" w14:textId="77777777" w:rsidR="00FC2313" w:rsidRDefault="00B219F0">
            <w:pPr>
              <w:spacing w:before="98" w:after="81" w:line="229" w:lineRule="exact"/>
              <w:ind w:left="1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HRC0019475</w:t>
            </w:r>
          </w:p>
        </w:tc>
      </w:tr>
    </w:tbl>
    <w:p w14:paraId="4749A501" w14:textId="77777777" w:rsidR="00FC2313" w:rsidRDefault="00FC2313">
      <w:pPr>
        <w:spacing w:after="140" w:line="20" w:lineRule="exact"/>
      </w:pPr>
    </w:p>
    <w:p w14:paraId="4749A502" w14:textId="77777777" w:rsidR="00FC2313" w:rsidRDefault="00B219F0">
      <w:pPr>
        <w:numPr>
          <w:ilvl w:val="0"/>
          <w:numId w:val="1"/>
        </w:numPr>
        <w:tabs>
          <w:tab w:val="clear" w:pos="288"/>
          <w:tab w:val="left" w:pos="360"/>
        </w:tabs>
        <w:spacing w:before="71" w:line="323" w:lineRule="exact"/>
        <w:ind w:left="360" w:hanging="288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Position Summary</w:t>
      </w:r>
    </w:p>
    <w:p w14:paraId="4749A503" w14:textId="5466BAB8" w:rsidR="00FC2313" w:rsidRDefault="00B219F0">
      <w:pPr>
        <w:spacing w:before="109" w:line="269" w:lineRule="exact"/>
        <w:ind w:left="72" w:right="36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Work in a team environment at the SHAK Youth Centre in </w:t>
      </w:r>
      <w:r w:rsidR="000865EE">
        <w:rPr>
          <w:rFonts w:ascii="Arial" w:eastAsia="Arial" w:hAnsi="Arial"/>
          <w:color w:val="000000"/>
          <w:sz w:val="20"/>
        </w:rPr>
        <w:t>the Northern Suburbs</w:t>
      </w:r>
      <w:r>
        <w:rPr>
          <w:rFonts w:ascii="Arial" w:eastAsia="Arial" w:hAnsi="Arial"/>
          <w:color w:val="000000"/>
          <w:sz w:val="20"/>
        </w:rPr>
        <w:t xml:space="preserve"> to deliver supportive and innovative youth development programs for young people across the Darwin Region. The role will engage with a diverse range of young people to understand their needs </w:t>
      </w:r>
      <w:r>
        <w:rPr>
          <w:rFonts w:ascii="Arial" w:eastAsia="Arial" w:hAnsi="Arial"/>
          <w:color w:val="000000"/>
          <w:sz w:val="20"/>
        </w:rPr>
        <w:t>and aspirations, using these insights to design and run activities that contribute to the personal development of young people.</w:t>
      </w:r>
    </w:p>
    <w:p w14:paraId="4749A504" w14:textId="77777777" w:rsidR="00FC2313" w:rsidRDefault="00B219F0">
      <w:pPr>
        <w:numPr>
          <w:ilvl w:val="0"/>
          <w:numId w:val="1"/>
        </w:numPr>
        <w:tabs>
          <w:tab w:val="clear" w:pos="288"/>
          <w:tab w:val="left" w:pos="360"/>
        </w:tabs>
        <w:spacing w:before="258" w:line="323" w:lineRule="exact"/>
        <w:ind w:left="360" w:hanging="288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Position Responsibilities</w:t>
      </w:r>
    </w:p>
    <w:p w14:paraId="4749A505" w14:textId="77777777" w:rsidR="00FC2313" w:rsidRDefault="00B219F0">
      <w:pPr>
        <w:spacing w:before="185" w:line="252" w:lineRule="exact"/>
        <w:ind w:left="72"/>
        <w:textAlignment w:val="baseline"/>
        <w:rPr>
          <w:rFonts w:ascii="Arial" w:eastAsia="Arial" w:hAnsi="Arial"/>
          <w:b/>
          <w:color w:val="E06F1F"/>
          <w:spacing w:val="-2"/>
        </w:rPr>
      </w:pPr>
      <w:r>
        <w:rPr>
          <w:rFonts w:ascii="Arial" w:eastAsia="Arial" w:hAnsi="Arial"/>
          <w:b/>
          <w:color w:val="E06F1F"/>
          <w:spacing w:val="-2"/>
        </w:rPr>
        <w:t>Key Responsibilities</w:t>
      </w:r>
    </w:p>
    <w:p w14:paraId="4749A506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110" w:line="24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Actively engage young people in the Darwin area in developmentally appropriate pr</w:t>
      </w:r>
      <w:r>
        <w:rPr>
          <w:rFonts w:ascii="Arial" w:eastAsia="Arial" w:hAnsi="Arial"/>
          <w:color w:val="000000"/>
          <w:sz w:val="20"/>
        </w:rPr>
        <w:t>ograms</w:t>
      </w:r>
    </w:p>
    <w:p w14:paraId="4749A507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59" w:line="268" w:lineRule="exact"/>
        <w:ind w:left="360" w:right="100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Facilitate and support the delivery of program activities and ensure all activities are conducted in a safe, fair and culturally appropriate manner</w:t>
      </w:r>
    </w:p>
    <w:p w14:paraId="4749A508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64" w:line="268" w:lineRule="exact"/>
        <w:ind w:left="360" w:right="576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Contribute to the general running and maintenance of the SHAK youth venue so that it is functional an</w:t>
      </w:r>
      <w:r>
        <w:rPr>
          <w:rFonts w:ascii="Arial" w:eastAsia="Arial" w:hAnsi="Arial"/>
          <w:color w:val="000000"/>
          <w:sz w:val="20"/>
        </w:rPr>
        <w:t>d welcoming for young people and stakeholders to utilise</w:t>
      </w:r>
    </w:p>
    <w:p w14:paraId="4749A509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83" w:line="249" w:lineRule="exact"/>
        <w:ind w:left="360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Support staff and volunteers from the SHAK and partner organisations in delivering activities</w:t>
      </w:r>
    </w:p>
    <w:p w14:paraId="4749A50A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77" w:line="249" w:lineRule="exact"/>
        <w:ind w:left="360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Report any work health and safety concerns or incidents to the Team Leader and or the Coordinator</w:t>
      </w:r>
    </w:p>
    <w:p w14:paraId="4749A50B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1152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Report any child protection concerns immediately to the Coordinator and complete the necessary mandatory report.</w:t>
      </w:r>
    </w:p>
    <w:p w14:paraId="4749A50C" w14:textId="77777777" w:rsidR="00FC2313" w:rsidRDefault="00B219F0">
      <w:pPr>
        <w:numPr>
          <w:ilvl w:val="0"/>
          <w:numId w:val="1"/>
        </w:numPr>
        <w:tabs>
          <w:tab w:val="clear" w:pos="288"/>
          <w:tab w:val="left" w:pos="360"/>
        </w:tabs>
        <w:spacing w:before="78" w:line="432" w:lineRule="exact"/>
        <w:ind w:left="360" w:hanging="288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 xml:space="preserve">Position Selection Criteria </w:t>
      </w:r>
      <w:r>
        <w:rPr>
          <w:rFonts w:ascii="Arial" w:eastAsia="Arial" w:hAnsi="Arial"/>
          <w:b/>
          <w:color w:val="000000"/>
          <w:sz w:val="26"/>
        </w:rPr>
        <w:br/>
      </w:r>
      <w:r>
        <w:rPr>
          <w:rFonts w:ascii="Arial" w:eastAsia="Arial" w:hAnsi="Arial"/>
          <w:b/>
          <w:color w:val="E06F1F"/>
        </w:rPr>
        <w:t>Technical Compet</w:t>
      </w:r>
      <w:r>
        <w:rPr>
          <w:rFonts w:ascii="Arial" w:eastAsia="Arial" w:hAnsi="Arial"/>
          <w:b/>
          <w:color w:val="E06F1F"/>
        </w:rPr>
        <w:t>encies</w:t>
      </w:r>
    </w:p>
    <w:p w14:paraId="4749A50D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151" w:line="271" w:lineRule="exact"/>
        <w:ind w:left="360" w:righ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 broad knowledge and understanding of Aboriginal and Torres Strait Islander cultures, histories and values and the issues impacting upon Aboriginal and Torres Strait Islander children, and a commitment to their rights, needs and aspirations</w:t>
      </w:r>
    </w:p>
    <w:p w14:paraId="4749A50E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87" w:line="24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Ability to wor</w:t>
      </w:r>
      <w:r>
        <w:rPr>
          <w:rFonts w:ascii="Arial" w:eastAsia="Arial" w:hAnsi="Arial"/>
          <w:color w:val="000000"/>
          <w:sz w:val="20"/>
        </w:rPr>
        <w:t>k with culturally diverse communities</w:t>
      </w:r>
    </w:p>
    <w:p w14:paraId="4749A50F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165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Experience engaging with diverse stakeholder groups including young people, families and other professionals</w:t>
      </w:r>
    </w:p>
    <w:p w14:paraId="4749A510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Good understanding of the issues facing young people in the Northern Territory, </w:t>
      </w:r>
      <w:r>
        <w:rPr>
          <w:rFonts w:ascii="Arial" w:eastAsia="Arial" w:hAnsi="Arial"/>
          <w:color w:val="000000"/>
          <w:sz w:val="20"/>
        </w:rPr>
        <w:br/>
        <w:t>including demonstrated skill and commitment to working with young people</w:t>
      </w:r>
    </w:p>
    <w:p w14:paraId="4749A511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82" w:line="24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Strong motivation and initiative</w:t>
      </w:r>
    </w:p>
    <w:p w14:paraId="4749A512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77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Proven ability to work as part of a team</w:t>
      </w:r>
    </w:p>
    <w:p w14:paraId="4749A513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360"/>
        </w:tabs>
        <w:spacing w:before="87" w:after="61" w:line="24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Demonstrable organisational </w:t>
      </w:r>
      <w:r>
        <w:rPr>
          <w:rFonts w:ascii="Arial" w:eastAsia="Arial" w:hAnsi="Arial"/>
          <w:color w:val="000000"/>
          <w:sz w:val="20"/>
        </w:rPr>
        <w:t>skills</w:t>
      </w:r>
    </w:p>
    <w:p w14:paraId="4749A514" w14:textId="77777777" w:rsidR="00FC2313" w:rsidRDefault="00B219F0">
      <w:pPr>
        <w:spacing w:before="406" w:line="195" w:lineRule="exact"/>
        <w:ind w:left="72"/>
        <w:textAlignment w:val="baseline"/>
        <w:rPr>
          <w:rFonts w:ascii="Arial Narrow" w:eastAsia="Arial Narrow" w:hAnsi="Arial Narrow"/>
          <w:color w:val="808080"/>
          <w:spacing w:val="-3"/>
          <w:sz w:val="17"/>
        </w:rPr>
      </w:pPr>
      <w:r>
        <w:pict w14:anchorId="4749A535">
          <v:line id="_x0000_s1028" style="position:absolute;left:0;text-align:left;z-index:251658752;mso-position-horizontal-relative:page;mso-position-vertical-relative:page" from="55.2pt,750.25pt" to="388.6pt,750.25pt" strokecolor="gray" strokeweight=".7pt">
            <w10:wrap anchorx="page" anchory="page"/>
          </v:line>
        </w:pict>
      </w:r>
      <w:r>
        <w:rPr>
          <w:rFonts w:ascii="Arial Narrow" w:eastAsia="Arial Narrow" w:hAnsi="Arial Narrow"/>
          <w:color w:val="808080"/>
          <w:spacing w:val="-3"/>
          <w:sz w:val="17"/>
        </w:rPr>
        <w:t>Position description</w:t>
      </w:r>
    </w:p>
    <w:p w14:paraId="4749A515" w14:textId="77777777" w:rsidR="00FC2313" w:rsidRDefault="00B219F0">
      <w:pPr>
        <w:spacing w:before="40" w:line="188" w:lineRule="exact"/>
        <w:ind w:left="72"/>
        <w:textAlignment w:val="baseline"/>
        <w:rPr>
          <w:rFonts w:ascii="Arial Narrow" w:eastAsia="Arial Narrow" w:hAnsi="Arial Narrow"/>
          <w:color w:val="808080"/>
          <w:spacing w:val="-4"/>
          <w:sz w:val="17"/>
        </w:rPr>
      </w:pPr>
      <w:r>
        <w:rPr>
          <w:rFonts w:ascii="Arial Narrow" w:eastAsia="Arial Narrow" w:hAnsi="Arial Narrow"/>
          <w:color w:val="808080"/>
          <w:spacing w:val="-4"/>
          <w:sz w:val="17"/>
        </w:rPr>
        <w:t>Template authorised by: Janice Murphy, National Recruitment</w:t>
      </w:r>
    </w:p>
    <w:p w14:paraId="4749A516" w14:textId="77777777" w:rsidR="00FC2313" w:rsidRDefault="00B219F0">
      <w:pPr>
        <w:tabs>
          <w:tab w:val="left" w:pos="2304"/>
        </w:tabs>
        <w:spacing w:line="200" w:lineRule="exact"/>
        <w:ind w:left="72"/>
        <w:textAlignment w:val="baseline"/>
        <w:rPr>
          <w:rFonts w:ascii="Arial Narrow" w:eastAsia="Arial Narrow" w:hAnsi="Arial Narrow"/>
          <w:color w:val="808080"/>
          <w:spacing w:val="-1"/>
          <w:sz w:val="17"/>
        </w:rPr>
      </w:pPr>
      <w:r>
        <w:rPr>
          <w:rFonts w:ascii="Arial Narrow" w:eastAsia="Arial Narrow" w:hAnsi="Arial Narrow"/>
          <w:color w:val="808080"/>
          <w:spacing w:val="-1"/>
          <w:sz w:val="17"/>
        </w:rPr>
        <w:t>Manager</w:t>
      </w:r>
      <w:r>
        <w:rPr>
          <w:rFonts w:ascii="Arial Narrow" w:eastAsia="Arial Narrow" w:hAnsi="Arial Narrow"/>
          <w:color w:val="0000FF"/>
          <w:spacing w:val="-1"/>
          <w:sz w:val="18"/>
          <w:u w:val="single"/>
        </w:rPr>
        <w:tab/>
      </w:r>
      <w:hyperlink r:id="rId9">
        <w:r>
          <w:rPr>
            <w:rFonts w:ascii="Arial Narrow" w:eastAsia="Arial Narrow" w:hAnsi="Arial Narrow"/>
            <w:color w:val="0000FF"/>
            <w:spacing w:val="-1"/>
            <w:sz w:val="18"/>
            <w:u w:val="single"/>
          </w:rPr>
          <w:t>www.redcross.org.au</w:t>
        </w:r>
      </w:hyperlink>
      <w:r>
        <w:rPr>
          <w:rFonts w:ascii="Arial Narrow" w:eastAsia="Arial Narrow" w:hAnsi="Arial Narrow"/>
          <w:color w:val="0000FF"/>
          <w:spacing w:val="-1"/>
          <w:sz w:val="18"/>
        </w:rPr>
        <w:t xml:space="preserve"> </w:t>
      </w:r>
    </w:p>
    <w:p w14:paraId="4749A517" w14:textId="77777777" w:rsidR="00FC2313" w:rsidRDefault="00B219F0">
      <w:pPr>
        <w:tabs>
          <w:tab w:val="left" w:pos="6048"/>
        </w:tabs>
        <w:spacing w:before="227" w:line="195" w:lineRule="exact"/>
        <w:ind w:left="72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rFonts w:ascii="Arial Narrow" w:eastAsia="Arial Narrow" w:hAnsi="Arial Narrow"/>
          <w:color w:val="808080"/>
          <w:sz w:val="17"/>
        </w:rPr>
        <w:t>Date: July 2016</w:t>
      </w:r>
      <w:r>
        <w:rPr>
          <w:rFonts w:ascii="Arial Narrow" w:eastAsia="Arial Narrow" w:hAnsi="Arial Narrow"/>
          <w:color w:val="808080"/>
          <w:sz w:val="17"/>
        </w:rPr>
        <w:tab/>
        <w:t>page 1 of 2</w:t>
      </w:r>
    </w:p>
    <w:p w14:paraId="4749A518" w14:textId="77777777" w:rsidR="00FC2313" w:rsidRDefault="00FC2313">
      <w:pPr>
        <w:sectPr w:rsidR="00FC2313">
          <w:pgSz w:w="11909" w:h="16843"/>
          <w:pgMar w:top="0" w:right="725" w:bottom="367" w:left="1104" w:header="720" w:footer="720" w:gutter="0"/>
          <w:cols w:space="720"/>
        </w:sectPr>
      </w:pPr>
    </w:p>
    <w:p w14:paraId="4749A519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line="374" w:lineRule="exact"/>
        <w:ind w:lef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lastRenderedPageBreak/>
        <w:t xml:space="preserve">Demonstrable communication and interpersonal skills, both written and oral. </w:t>
      </w:r>
      <w:r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b/>
          <w:color w:val="E06F1F"/>
        </w:rPr>
        <w:t>Qualifications/Licenses</w:t>
      </w:r>
    </w:p>
    <w:p w14:paraId="4749A51A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131" w:line="268" w:lineRule="exact"/>
        <w:ind w:left="576" w:right="64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 Working with Children check is a mandatory requirement for this role and </w:t>
      </w:r>
      <w:r>
        <w:rPr>
          <w:rFonts w:ascii="Arial" w:eastAsia="Arial" w:hAnsi="Arial"/>
          <w:b/>
          <w:color w:val="000000"/>
          <w:sz w:val="20"/>
        </w:rPr>
        <w:t>must have current and up to date check in place prior to interview process.</w:t>
      </w:r>
    </w:p>
    <w:p w14:paraId="4749A51B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86" w:line="249" w:lineRule="exact"/>
        <w:ind w:lef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Current NT Driver’s licence desirable</w:t>
      </w:r>
    </w:p>
    <w:p w14:paraId="4749A51C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4" w:line="268" w:lineRule="exact"/>
        <w:ind w:lef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First Aid certificate or willingness to obtain</w:t>
      </w:r>
    </w:p>
    <w:p w14:paraId="4749A51D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63" w:line="268" w:lineRule="exact"/>
        <w:ind w:lef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Relevant tertiary studies, Community Services Certificate IV, and/or equivalent</w:t>
      </w:r>
    </w:p>
    <w:p w14:paraId="4749A51E" w14:textId="77777777" w:rsidR="00FC2313" w:rsidRDefault="00B219F0">
      <w:pPr>
        <w:spacing w:before="297" w:line="252" w:lineRule="exact"/>
        <w:ind w:left="288"/>
        <w:textAlignment w:val="baseline"/>
        <w:rPr>
          <w:rFonts w:ascii="Arial" w:eastAsia="Arial" w:hAnsi="Arial"/>
          <w:b/>
          <w:color w:val="E06F1F"/>
        </w:rPr>
      </w:pPr>
      <w:r>
        <w:rPr>
          <w:rFonts w:ascii="Arial" w:eastAsia="Arial" w:hAnsi="Arial"/>
          <w:b/>
          <w:color w:val="E06F1F"/>
        </w:rPr>
        <w:t>Behavioural Capabilities</w:t>
      </w:r>
    </w:p>
    <w:p w14:paraId="4749A51F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111" w:line="268" w:lineRule="exact"/>
        <w:ind w:left="576" w:right="720" w:hanging="288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Personal effectiveness |</w:t>
      </w:r>
      <w:r>
        <w:rPr>
          <w:rFonts w:ascii="Arial" w:eastAsia="Arial" w:hAnsi="Arial"/>
          <w:b/>
          <w:color w:val="009AA6"/>
          <w:spacing w:val="-2"/>
          <w:sz w:val="20"/>
        </w:rPr>
        <w:t xml:space="preserve"> Being culturally competent |</w:t>
      </w:r>
      <w:r>
        <w:rPr>
          <w:rFonts w:ascii="Arial" w:eastAsia="Arial" w:hAnsi="Arial"/>
          <w:color w:val="000000"/>
          <w:spacing w:val="-2"/>
          <w:sz w:val="20"/>
        </w:rPr>
        <w:t xml:space="preserve"> Demonstrated understanding and appreciation of cultural differences and diversity in the workplace. Always displaying respect and courtesy to others and acknowledges cultural heritages and varying perspectives of team members.</w:t>
      </w:r>
    </w:p>
    <w:p w14:paraId="4749A520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9" w:line="268" w:lineRule="exact"/>
        <w:ind w:left="576" w:right="720" w:hanging="288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Team effectiveness |</w:t>
      </w:r>
      <w:r>
        <w:rPr>
          <w:rFonts w:ascii="Arial" w:eastAsia="Arial" w:hAnsi="Arial"/>
          <w:b/>
          <w:color w:val="009AA6"/>
          <w:spacing w:val="-1"/>
          <w:sz w:val="20"/>
        </w:rPr>
        <w:t xml:space="preserve"> Collaborating |</w:t>
      </w:r>
      <w:r>
        <w:rPr>
          <w:rFonts w:ascii="Arial" w:eastAsia="Arial" w:hAnsi="Arial"/>
          <w:color w:val="000000"/>
          <w:spacing w:val="-1"/>
          <w:sz w:val="20"/>
        </w:rPr>
        <w:t xml:space="preserve"> Demonstrated capability to work with others to reach common goals, sharing information, supporting and building positive and constructive relationships.</w:t>
      </w:r>
    </w:p>
    <w:p w14:paraId="4749A521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60" w:line="264" w:lineRule="exact"/>
        <w:ind w:left="576" w:right="576" w:hanging="288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Team effectiveness |</w:t>
      </w:r>
      <w:r>
        <w:rPr>
          <w:rFonts w:ascii="Arial" w:eastAsia="Arial" w:hAnsi="Arial"/>
          <w:b/>
          <w:color w:val="009AA6"/>
          <w:sz w:val="20"/>
        </w:rPr>
        <w:t xml:space="preserve"> Managing performance |</w:t>
      </w:r>
      <w:r>
        <w:rPr>
          <w:rFonts w:ascii="Arial" w:eastAsia="Arial" w:hAnsi="Arial"/>
          <w:color w:val="000000"/>
          <w:sz w:val="20"/>
        </w:rPr>
        <w:t xml:space="preserve"> Demonstrated capability to take ownership of work and use initiative to deliver results. Accountable for own performance and ability to set clearly defined objectives for achievement.</w:t>
      </w:r>
    </w:p>
    <w:p w14:paraId="4749A522" w14:textId="77777777" w:rsidR="00FC2313" w:rsidRDefault="00B219F0">
      <w:pPr>
        <w:spacing w:before="446" w:line="297" w:lineRule="exact"/>
        <w:textAlignment w:val="baseline"/>
        <w:rPr>
          <w:rFonts w:ascii="Arial" w:eastAsia="Arial" w:hAnsi="Arial"/>
          <w:b/>
          <w:color w:val="000000"/>
          <w:spacing w:val="-1"/>
          <w:sz w:val="26"/>
        </w:rPr>
      </w:pPr>
      <w:r>
        <w:pict w14:anchorId="4749A536">
          <v:shape id="_x0000_s1027" type="#_x0000_t202" style="position:absolute;margin-left:41.8pt;margin-top:322.45pt;width:27.1pt;height:59.4pt;z-index:-251659776;mso-wrap-distance-left:0;mso-wrap-distance-right:0;mso-position-horizontal-relative:page;mso-position-vertical-relative:page" filled="f" stroked="f">
            <v:textbox inset="0,0,0,0">
              <w:txbxContent>
                <w:p w14:paraId="4749A53B" w14:textId="77777777" w:rsidR="00FC2313" w:rsidRDefault="00B219F0">
                  <w:pPr>
                    <w:spacing w:before="530" w:after="533" w:line="125" w:lineRule="exact"/>
                    <w:ind w:left="316" w:right="15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4749A53E" wp14:editId="4749A53F">
                        <wp:extent cx="45720" cy="7937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79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"/>
          <w:sz w:val="26"/>
        </w:rPr>
        <w:t>General Conditions</w:t>
      </w:r>
    </w:p>
    <w:p w14:paraId="4749A523" w14:textId="77777777" w:rsidR="00FC2313" w:rsidRDefault="00B219F0">
      <w:pPr>
        <w:spacing w:before="106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All Red Cross staff and volunteers are required to:</w:t>
      </w:r>
    </w:p>
    <w:p w14:paraId="4749A524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44" w:line="268" w:lineRule="exact"/>
        <w:ind w:lef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Adhere to the 7 fundamental principles of Red Cross:</w:t>
      </w:r>
    </w:p>
    <w:p w14:paraId="4749A525" w14:textId="77777777" w:rsidR="00FC2313" w:rsidRDefault="00B219F0">
      <w:pPr>
        <w:spacing w:before="117" w:line="230" w:lineRule="exact"/>
        <w:jc w:val="center"/>
        <w:textAlignment w:val="baseline"/>
        <w:rPr>
          <w:rFonts w:ascii="Arial" w:eastAsia="Arial" w:hAnsi="Arial"/>
          <w:b/>
          <w:color w:val="E06F1F"/>
          <w:spacing w:val="5"/>
          <w:sz w:val="20"/>
        </w:rPr>
      </w:pPr>
      <w:r>
        <w:rPr>
          <w:rFonts w:ascii="Arial" w:eastAsia="Arial" w:hAnsi="Arial"/>
          <w:b/>
          <w:color w:val="E06F1F"/>
          <w:spacing w:val="5"/>
          <w:sz w:val="20"/>
        </w:rPr>
        <w:t>Humanity | Impartiality | Neutrality | Independence | Voluntary Service | Unity | Universality</w:t>
      </w:r>
    </w:p>
    <w:p w14:paraId="4749A526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63" w:line="268" w:lineRule="exact"/>
        <w:ind w:left="576" w:right="1584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Act at all times in accordance with the Australian Red Cross Ethical Framework and Child Protection Code of Conduct</w:t>
      </w:r>
    </w:p>
    <w:p w14:paraId="4749A527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4" w:line="268" w:lineRule="exact"/>
        <w:ind w:left="576" w:right="288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Demonstrate skill, knowledge and behaviour to work with Aboriginal and Torres Strait Islander people in a culturally respectful way</w:t>
      </w:r>
    </w:p>
    <w:p w14:paraId="4749A528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4" w:line="268" w:lineRule="exact"/>
        <w:ind w:left="576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Comply w</w:t>
      </w:r>
      <w:r>
        <w:rPr>
          <w:rFonts w:ascii="Arial" w:eastAsia="Arial" w:hAnsi="Arial"/>
          <w:color w:val="000000"/>
          <w:sz w:val="20"/>
        </w:rPr>
        <w:t>ith the Work Health and Safety management system</w:t>
      </w:r>
    </w:p>
    <w:p w14:paraId="4749A529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5" w:line="268" w:lineRule="exact"/>
        <w:ind w:left="576" w:right="187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Undertake a police check prior to commencement and every 3 years thereafter. Police check renewals may be required earlier than 3 years in order to comply with specific contractual or legislative requirement</w:t>
      </w:r>
      <w:r>
        <w:rPr>
          <w:rFonts w:ascii="Arial" w:eastAsia="Arial" w:hAnsi="Arial"/>
          <w:color w:val="000000"/>
          <w:sz w:val="20"/>
        </w:rPr>
        <w:t>s</w:t>
      </w:r>
    </w:p>
    <w:p w14:paraId="4749A52A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9" w:line="268" w:lineRule="exact"/>
        <w:ind w:left="576" w:right="288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Support a child safe organisation by undertaking screening for suitability to work with children, youth and vulnerable people and to comply with relevant state/territory legislative requirements</w:t>
      </w:r>
    </w:p>
    <w:p w14:paraId="4749A52B" w14:textId="77777777" w:rsidR="00FC2313" w:rsidRDefault="00B219F0">
      <w:pPr>
        <w:numPr>
          <w:ilvl w:val="0"/>
          <w:numId w:val="2"/>
        </w:numPr>
        <w:tabs>
          <w:tab w:val="clear" w:pos="288"/>
          <w:tab w:val="left" w:pos="576"/>
        </w:tabs>
        <w:spacing w:before="59" w:after="3598" w:line="268" w:lineRule="exact"/>
        <w:ind w:left="576" w:hanging="288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Assist the organisation on occasion, in times of national, </w:t>
      </w:r>
      <w:r>
        <w:rPr>
          <w:rFonts w:ascii="Arial" w:eastAsia="Arial" w:hAnsi="Arial"/>
          <w:color w:val="000000"/>
          <w:sz w:val="20"/>
        </w:rPr>
        <w:t>state or local emergencies or major disasters.</w:t>
      </w:r>
    </w:p>
    <w:p w14:paraId="4749A52C" w14:textId="77777777" w:rsidR="00FC2313" w:rsidRDefault="00FC2313">
      <w:pPr>
        <w:spacing w:before="59" w:after="3598" w:line="268" w:lineRule="exact"/>
        <w:sectPr w:rsidR="00FC2313">
          <w:pgSz w:w="11909" w:h="16843"/>
          <w:pgMar w:top="1120" w:right="993" w:bottom="607" w:left="836" w:header="720" w:footer="720" w:gutter="0"/>
          <w:cols w:space="720"/>
        </w:sectPr>
      </w:pPr>
    </w:p>
    <w:p w14:paraId="4749A52D" w14:textId="77777777" w:rsidR="00FC2313" w:rsidRDefault="00B219F0">
      <w:pPr>
        <w:tabs>
          <w:tab w:val="right" w:pos="9936"/>
        </w:tabs>
        <w:spacing w:before="13" w:line="230" w:lineRule="exact"/>
        <w:ind w:left="144"/>
        <w:textAlignment w:val="baseline"/>
        <w:rPr>
          <w:rFonts w:ascii="Arial Narrow" w:eastAsia="Arial Narrow" w:hAnsi="Arial Narrow"/>
          <w:b/>
          <w:color w:val="808080"/>
          <w:sz w:val="16"/>
        </w:rPr>
      </w:pPr>
      <w:r>
        <w:pict w14:anchorId="4749A537">
          <v:line id="_x0000_s1026" style="position:absolute;left:0;text-align:left;z-index:251659776;mso-position-horizontal-relative:page;mso-position-vertical-relative:page" from="55.2pt,754.8pt" to="540.75pt,754.8pt" strokecolor="gray" strokeweight=".5pt">
            <w10:wrap anchorx="page" anchory="page"/>
          </v:line>
        </w:pict>
      </w:r>
      <w:r>
        <w:rPr>
          <w:rFonts w:ascii="Arial Narrow" w:eastAsia="Arial Narrow" w:hAnsi="Arial Narrow"/>
          <w:b/>
          <w:color w:val="808080"/>
          <w:sz w:val="16"/>
        </w:rPr>
        <w:t>Position description</w:t>
      </w:r>
      <w:r>
        <w:rPr>
          <w:rFonts w:ascii="Arial Narrow" w:eastAsia="Arial Narrow" w:hAnsi="Arial Narrow"/>
          <w:b/>
          <w:color w:val="808080"/>
          <w:sz w:val="16"/>
        </w:rPr>
        <w:tab/>
      </w:r>
      <w:r>
        <w:rPr>
          <w:rFonts w:ascii="Arial" w:eastAsia="Arial" w:hAnsi="Arial"/>
          <w:b/>
          <w:color w:val="808080"/>
          <w:sz w:val="20"/>
        </w:rPr>
        <w:t>Australian Red Cross</w:t>
      </w:r>
    </w:p>
    <w:p w14:paraId="4749A52E" w14:textId="77777777" w:rsidR="00FC2313" w:rsidRDefault="00B219F0">
      <w:pPr>
        <w:spacing w:before="48" w:line="191" w:lineRule="exact"/>
        <w:ind w:left="144"/>
        <w:textAlignment w:val="baseline"/>
        <w:rPr>
          <w:rFonts w:ascii="Arial Narrow" w:eastAsia="Arial Narrow" w:hAnsi="Arial Narrow"/>
          <w:b/>
          <w:color w:val="808080"/>
          <w:spacing w:val="-1"/>
          <w:sz w:val="16"/>
        </w:rPr>
      </w:pPr>
      <w:r>
        <w:rPr>
          <w:rFonts w:ascii="Arial Narrow" w:eastAsia="Arial Narrow" w:hAnsi="Arial Narrow"/>
          <w:b/>
          <w:color w:val="808080"/>
          <w:spacing w:val="-1"/>
          <w:sz w:val="16"/>
        </w:rPr>
        <w:t>Template authorised by: Janice Murphy, National Recruitment Manager</w:t>
      </w:r>
    </w:p>
    <w:p w14:paraId="4749A52F" w14:textId="77777777" w:rsidR="00FC2313" w:rsidRDefault="00B219F0">
      <w:pPr>
        <w:tabs>
          <w:tab w:val="right" w:pos="9936"/>
        </w:tabs>
        <w:spacing w:before="54" w:line="191" w:lineRule="exact"/>
        <w:ind w:left="144"/>
        <w:textAlignment w:val="baseline"/>
        <w:rPr>
          <w:rFonts w:ascii="Arial Narrow" w:eastAsia="Arial Narrow" w:hAnsi="Arial Narrow"/>
          <w:b/>
          <w:color w:val="808080"/>
          <w:sz w:val="16"/>
        </w:rPr>
      </w:pPr>
      <w:r>
        <w:rPr>
          <w:rFonts w:ascii="Arial Narrow" w:eastAsia="Arial Narrow" w:hAnsi="Arial Narrow"/>
          <w:b/>
          <w:color w:val="808080"/>
          <w:sz w:val="16"/>
        </w:rPr>
        <w:t>Date: July 2016</w:t>
      </w:r>
      <w:r>
        <w:rPr>
          <w:rFonts w:ascii="Arial Narrow" w:eastAsia="Arial Narrow" w:hAnsi="Arial Narrow"/>
          <w:b/>
          <w:color w:val="808080"/>
          <w:sz w:val="16"/>
        </w:rPr>
        <w:tab/>
        <w:t>page 2 of 2</w:t>
      </w:r>
    </w:p>
    <w:sectPr w:rsidR="00FC2313">
      <w:type w:val="continuous"/>
      <w:pgSz w:w="11909" w:h="16843"/>
      <w:pgMar w:top="1120" w:right="917" w:bottom="607" w:left="9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18DC" w14:textId="77777777" w:rsidR="00B219F0" w:rsidRDefault="00B219F0">
      <w:r>
        <w:separator/>
      </w:r>
    </w:p>
  </w:endnote>
  <w:endnote w:type="continuationSeparator" w:id="0">
    <w:p w14:paraId="088344B5" w14:textId="77777777" w:rsidR="00B219F0" w:rsidRDefault="00B2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02AC" w14:textId="77777777" w:rsidR="00B219F0" w:rsidRDefault="00B219F0"/>
  </w:footnote>
  <w:footnote w:type="continuationSeparator" w:id="0">
    <w:p w14:paraId="43A40893" w14:textId="77777777" w:rsidR="00B219F0" w:rsidRDefault="00B2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E47"/>
    <w:multiLevelType w:val="multilevel"/>
    <w:tmpl w:val="BEE00E5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9451C9"/>
    <w:multiLevelType w:val="multilevel"/>
    <w:tmpl w:val="94725FE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0324223">
    <w:abstractNumId w:val="0"/>
  </w:num>
  <w:num w:numId="2" w16cid:durableId="207678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13"/>
    <w:rsid w:val="000865EE"/>
    <w:rsid w:val="0088432A"/>
    <w:rsid w:val="00B219F0"/>
    <w:rsid w:val="00E40FBF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49A4E8"/>
  <w15:docId w15:val="{B6049D2B-A799-48A7-B288-F627C06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Murphy, Janice</dc:creator>
  <cp:lastModifiedBy>Boab Murray-Atfield</cp:lastModifiedBy>
  <cp:revision>3</cp:revision>
  <dcterms:created xsi:type="dcterms:W3CDTF">2022-06-20T00:34:00Z</dcterms:created>
  <dcterms:modified xsi:type="dcterms:W3CDTF">2022-06-20T00:35:00Z</dcterms:modified>
</cp:coreProperties>
</file>