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E282" w14:textId="77777777" w:rsidR="005D5969" w:rsidRPr="006C2ED7" w:rsidRDefault="005D5969" w:rsidP="006C2ED7">
      <w:pPr>
        <w:pStyle w:val="Heading1"/>
        <w:jc w:val="center"/>
      </w:pPr>
      <w:r w:rsidRPr="006C2ED7">
        <w:t xml:space="preserve">Department of </w:t>
      </w:r>
      <w:r w:rsidR="006C2ED7" w:rsidRPr="006C2ED7">
        <w:t>State Growth</w:t>
      </w:r>
    </w:p>
    <w:p w14:paraId="4374530B"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60A2A137" w14:textId="77777777" w:rsidR="007F73E6" w:rsidRPr="001327D4" w:rsidRDefault="007F73E6" w:rsidP="00B232E2">
      <w:pPr>
        <w:pBdr>
          <w:bottom w:val="single" w:sz="4" w:space="1" w:color="auto"/>
        </w:pBdr>
        <w:spacing w:before="0"/>
        <w:rPr>
          <w:sz w:val="22"/>
        </w:rPr>
      </w:pPr>
    </w:p>
    <w:p w14:paraId="5A0F9B1D" w14:textId="5A1C95AD"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641A1F">
        <w:rPr>
          <w:rStyle w:val="Heading3Char"/>
          <w:b w:val="0"/>
          <w:sz w:val="22"/>
        </w:rPr>
        <w:t>Operations Assistant</w:t>
      </w:r>
    </w:p>
    <w:p w14:paraId="23BE8319" w14:textId="0C5DD2E3"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641A1F">
        <w:rPr>
          <w:rStyle w:val="Heading3Char"/>
          <w:b w:val="0"/>
          <w:sz w:val="22"/>
        </w:rPr>
        <w:t>Various</w:t>
      </w:r>
    </w:p>
    <w:p w14:paraId="5EB82E92" w14:textId="366CB074"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A23169">
        <w:rPr>
          <w:rStyle w:val="Heading3Char"/>
          <w:b w:val="0"/>
          <w:sz w:val="22"/>
        </w:rPr>
        <w:t>Tasmanian State Service Award</w:t>
      </w:r>
    </w:p>
    <w:p w14:paraId="5ADF84BC" w14:textId="46480563"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A23169">
        <w:rPr>
          <w:rStyle w:val="Heading3Char"/>
          <w:b w:val="0"/>
          <w:sz w:val="22"/>
        </w:rPr>
        <w:t>General Stream band 1</w:t>
      </w:r>
    </w:p>
    <w:p w14:paraId="4BF3F723" w14:textId="2E00A377"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A23169">
        <w:rPr>
          <w:rStyle w:val="Heading3Char"/>
          <w:b w:val="0"/>
          <w:sz w:val="22"/>
        </w:rPr>
        <w:t>Culture, Arts and Sport - Silverdome</w:t>
      </w:r>
    </w:p>
    <w:p w14:paraId="695CE78F" w14:textId="2DB6FC48"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A23169">
        <w:rPr>
          <w:rStyle w:val="Heading3Char"/>
          <w:b w:val="0"/>
          <w:sz w:val="22"/>
        </w:rPr>
        <w:t>North</w:t>
      </w:r>
    </w:p>
    <w:p w14:paraId="2C2C3DBB" w14:textId="17A79201"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A23169">
        <w:rPr>
          <w:sz w:val="22"/>
        </w:rPr>
        <w:t>Casual</w:t>
      </w:r>
      <w:r w:rsidR="0063697D" w:rsidRPr="0063697D">
        <w:rPr>
          <w:rStyle w:val="Heading3Char"/>
          <w:sz w:val="22"/>
        </w:rPr>
        <w:t xml:space="preserve"> </w:t>
      </w:r>
    </w:p>
    <w:p w14:paraId="3848EE2D" w14:textId="751F76AF"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A23169">
        <w:rPr>
          <w:rStyle w:val="Heading3Char"/>
          <w:b w:val="0"/>
          <w:sz w:val="22"/>
        </w:rPr>
        <w:t>Business Manager - Silverdome</w:t>
      </w:r>
    </w:p>
    <w:p w14:paraId="60E5F383" w14:textId="77777777" w:rsidR="00A27736" w:rsidRPr="001327D4" w:rsidRDefault="00A27736" w:rsidP="00A44F84">
      <w:pPr>
        <w:pStyle w:val="Heading3"/>
        <w:pBdr>
          <w:top w:val="single" w:sz="4" w:space="1" w:color="auto"/>
        </w:pBdr>
        <w:spacing w:before="0" w:after="0" w:line="240" w:lineRule="auto"/>
        <w:rPr>
          <w:b w:val="0"/>
          <w:sz w:val="22"/>
        </w:rPr>
      </w:pPr>
    </w:p>
    <w:p w14:paraId="70BBC726" w14:textId="77777777" w:rsidR="00CD42F8" w:rsidRPr="00B5403C" w:rsidRDefault="00CD42F8" w:rsidP="00B5403C">
      <w:pPr>
        <w:pStyle w:val="Heading3"/>
      </w:pPr>
      <w:r w:rsidRPr="00B5403C">
        <w:t>Position Objective</w:t>
      </w:r>
    </w:p>
    <w:p w14:paraId="6ED3DF7C" w14:textId="347E6C69" w:rsidR="00E02B5A" w:rsidRPr="0061513B" w:rsidRDefault="00A23169" w:rsidP="004F50BC">
      <w:pPr>
        <w:pStyle w:val="BodyText"/>
        <w:ind w:right="141"/>
        <w:jc w:val="both"/>
        <w:rPr>
          <w:rFonts w:cs="Arial"/>
          <w:b/>
          <w:sz w:val="22"/>
        </w:rPr>
      </w:pPr>
      <w:r>
        <w:rPr>
          <w:rFonts w:cs="Arial"/>
          <w:sz w:val="22"/>
        </w:rPr>
        <w:t>To assist the public in their use of the Silverdome building and facilities and attend to the cleanliness, general maintenance and upkeep of the building.</w:t>
      </w:r>
    </w:p>
    <w:p w14:paraId="72329477" w14:textId="77777777" w:rsidR="00CD42F8" w:rsidRPr="001327D4" w:rsidRDefault="00CD42F8" w:rsidP="009F6C23">
      <w:pPr>
        <w:pStyle w:val="Heading3"/>
      </w:pPr>
      <w:r w:rsidRPr="001327D4">
        <w:t>Major Duties</w:t>
      </w:r>
    </w:p>
    <w:p w14:paraId="3E69122C" w14:textId="77777777" w:rsidR="00A23169" w:rsidRPr="00A23169" w:rsidRDefault="00A23169" w:rsidP="00A23169">
      <w:pPr>
        <w:pStyle w:val="NumberedList"/>
        <w:numPr>
          <w:ilvl w:val="0"/>
          <w:numId w:val="0"/>
        </w:numPr>
        <w:ind w:left="567" w:hanging="567"/>
        <w:rPr>
          <w:rFonts w:eastAsiaTheme="minorHAnsi" w:cs="Arial"/>
          <w:sz w:val="22"/>
          <w:szCs w:val="22"/>
        </w:rPr>
      </w:pPr>
      <w:r w:rsidRPr="00A23169">
        <w:rPr>
          <w:rFonts w:eastAsiaTheme="minorHAnsi" w:cs="Arial"/>
          <w:sz w:val="22"/>
          <w:szCs w:val="22"/>
        </w:rPr>
        <w:t>Safety and Security</w:t>
      </w:r>
    </w:p>
    <w:p w14:paraId="5FEB05CA" w14:textId="77777777" w:rsidR="00A23169" w:rsidRPr="00A23169" w:rsidRDefault="00A23169" w:rsidP="00A23169">
      <w:pPr>
        <w:pStyle w:val="ListParagraph"/>
        <w:numPr>
          <w:ilvl w:val="0"/>
          <w:numId w:val="31"/>
        </w:numPr>
        <w:tabs>
          <w:tab w:val="clear" w:pos="2835"/>
        </w:tabs>
        <w:spacing w:before="0" w:after="140" w:line="300" w:lineRule="atLeast"/>
        <w:contextualSpacing w:val="0"/>
        <w:jc w:val="both"/>
        <w:rPr>
          <w:rFonts w:cs="Arial"/>
          <w:sz w:val="22"/>
        </w:rPr>
      </w:pPr>
      <w:r w:rsidRPr="00A23169">
        <w:rPr>
          <w:rFonts w:cs="Arial"/>
          <w:sz w:val="22"/>
        </w:rPr>
        <w:t>Ensure the safety and security of the buildings, its patrons and the general environment.</w:t>
      </w:r>
    </w:p>
    <w:p w14:paraId="5649EE1F" w14:textId="77777777" w:rsidR="00A23169" w:rsidRPr="00A23169" w:rsidRDefault="00A23169" w:rsidP="00A23169">
      <w:pPr>
        <w:pStyle w:val="ListParagraph"/>
        <w:numPr>
          <w:ilvl w:val="0"/>
          <w:numId w:val="31"/>
        </w:numPr>
        <w:tabs>
          <w:tab w:val="clear" w:pos="2835"/>
        </w:tabs>
        <w:spacing w:before="0" w:after="140" w:line="300" w:lineRule="atLeast"/>
        <w:contextualSpacing w:val="0"/>
        <w:jc w:val="both"/>
        <w:rPr>
          <w:rFonts w:cs="Arial"/>
          <w:sz w:val="22"/>
        </w:rPr>
      </w:pPr>
      <w:r w:rsidRPr="00A23169">
        <w:rPr>
          <w:rFonts w:cs="Arial"/>
          <w:sz w:val="22"/>
        </w:rPr>
        <w:t>Ensure appropriate behaviour by patrons and monitor on-site security.</w:t>
      </w:r>
    </w:p>
    <w:p w14:paraId="6D410FFF" w14:textId="77777777" w:rsidR="00A23169" w:rsidRPr="00A23169" w:rsidRDefault="00A23169" w:rsidP="00A23169">
      <w:pPr>
        <w:pStyle w:val="ListParagraph"/>
        <w:numPr>
          <w:ilvl w:val="0"/>
          <w:numId w:val="31"/>
        </w:numPr>
        <w:tabs>
          <w:tab w:val="clear" w:pos="2835"/>
        </w:tabs>
        <w:spacing w:before="0" w:after="140" w:line="300" w:lineRule="atLeast"/>
        <w:contextualSpacing w:val="0"/>
        <w:jc w:val="both"/>
        <w:rPr>
          <w:rFonts w:cs="Arial"/>
          <w:sz w:val="22"/>
        </w:rPr>
      </w:pPr>
      <w:r w:rsidRPr="00A23169">
        <w:rPr>
          <w:rFonts w:cs="Arial"/>
          <w:sz w:val="22"/>
        </w:rPr>
        <w:t>Supervise the use of the Silverdome and its equipment by sporting organisations and other user groups.</w:t>
      </w:r>
    </w:p>
    <w:p w14:paraId="740FA9B0" w14:textId="77777777" w:rsidR="00A23169" w:rsidRPr="00A23169" w:rsidRDefault="00A23169" w:rsidP="00A23169">
      <w:pPr>
        <w:pStyle w:val="ListParagraph"/>
        <w:numPr>
          <w:ilvl w:val="0"/>
          <w:numId w:val="31"/>
        </w:numPr>
        <w:tabs>
          <w:tab w:val="clear" w:pos="2835"/>
        </w:tabs>
        <w:spacing w:before="0" w:after="140" w:line="300" w:lineRule="atLeast"/>
        <w:contextualSpacing w:val="0"/>
        <w:jc w:val="both"/>
        <w:rPr>
          <w:rFonts w:cs="Arial"/>
          <w:sz w:val="22"/>
        </w:rPr>
      </w:pPr>
      <w:r w:rsidRPr="00A23169">
        <w:rPr>
          <w:rFonts w:cs="Arial"/>
          <w:sz w:val="22"/>
        </w:rPr>
        <w:t>Assist with opening and closing of the facility for hirers.</w:t>
      </w:r>
    </w:p>
    <w:p w14:paraId="17EDAF1D" w14:textId="77777777" w:rsidR="00A23169" w:rsidRPr="00A23169" w:rsidRDefault="00A23169" w:rsidP="00A23169">
      <w:pPr>
        <w:pStyle w:val="NumberedList"/>
        <w:numPr>
          <w:ilvl w:val="0"/>
          <w:numId w:val="0"/>
        </w:numPr>
        <w:rPr>
          <w:rFonts w:eastAsiaTheme="minorHAnsi" w:cs="Arial"/>
          <w:sz w:val="22"/>
          <w:szCs w:val="22"/>
        </w:rPr>
      </w:pPr>
      <w:r w:rsidRPr="00A23169">
        <w:rPr>
          <w:rFonts w:eastAsiaTheme="minorHAnsi" w:cs="Arial"/>
          <w:sz w:val="22"/>
          <w:szCs w:val="22"/>
        </w:rPr>
        <w:t>Cleaning and Maintenance</w:t>
      </w:r>
    </w:p>
    <w:p w14:paraId="1463ADDA" w14:textId="77777777" w:rsidR="00A23169" w:rsidRPr="00A23169" w:rsidRDefault="00A23169" w:rsidP="00A23169">
      <w:pPr>
        <w:pStyle w:val="ListParagraph"/>
        <w:numPr>
          <w:ilvl w:val="0"/>
          <w:numId w:val="32"/>
        </w:numPr>
        <w:tabs>
          <w:tab w:val="clear" w:pos="2835"/>
        </w:tabs>
        <w:spacing w:before="0" w:after="140" w:line="300" w:lineRule="atLeast"/>
        <w:contextualSpacing w:val="0"/>
        <w:jc w:val="both"/>
        <w:rPr>
          <w:rFonts w:cs="Arial"/>
          <w:sz w:val="22"/>
        </w:rPr>
      </w:pPr>
      <w:r w:rsidRPr="00A23169">
        <w:rPr>
          <w:rFonts w:cs="Arial"/>
          <w:sz w:val="22"/>
        </w:rPr>
        <w:t>Attend to and maintain the cleanliness and upkeep of buildings, public areas, facilities and toilets.</w:t>
      </w:r>
    </w:p>
    <w:p w14:paraId="4F112E28" w14:textId="77777777" w:rsidR="00A23169" w:rsidRPr="00A23169" w:rsidRDefault="00A23169" w:rsidP="00A23169">
      <w:pPr>
        <w:pStyle w:val="ListParagraph"/>
        <w:numPr>
          <w:ilvl w:val="0"/>
          <w:numId w:val="32"/>
        </w:numPr>
        <w:tabs>
          <w:tab w:val="clear" w:pos="2835"/>
        </w:tabs>
        <w:spacing w:before="0" w:after="140" w:line="300" w:lineRule="atLeast"/>
        <w:contextualSpacing w:val="0"/>
        <w:jc w:val="both"/>
        <w:rPr>
          <w:rFonts w:cs="Arial"/>
          <w:sz w:val="22"/>
        </w:rPr>
      </w:pPr>
      <w:r w:rsidRPr="00A23169">
        <w:rPr>
          <w:rFonts w:cs="Arial"/>
          <w:sz w:val="22"/>
        </w:rPr>
        <w:t>Assist in the moving, installation or removal of equipment for major and minor events, including sport, exhibitions, conferences and live entertainment.  This equipment includes the track seating, stage, barriers, floor-to-ceiling drapes, white false roof, white poles, netball and basketball courts, goals, scoreboards and cycling racks.</w:t>
      </w:r>
    </w:p>
    <w:p w14:paraId="61248394" w14:textId="77777777" w:rsidR="00A23169" w:rsidRPr="00A23169" w:rsidRDefault="00A23169" w:rsidP="00A23169">
      <w:pPr>
        <w:pStyle w:val="NumberedList"/>
        <w:numPr>
          <w:ilvl w:val="0"/>
          <w:numId w:val="0"/>
        </w:numPr>
        <w:rPr>
          <w:rFonts w:eastAsiaTheme="minorHAnsi" w:cs="Arial"/>
          <w:sz w:val="22"/>
          <w:szCs w:val="22"/>
        </w:rPr>
      </w:pPr>
      <w:r w:rsidRPr="00A23169">
        <w:rPr>
          <w:rFonts w:eastAsiaTheme="minorHAnsi" w:cs="Arial"/>
          <w:sz w:val="22"/>
          <w:szCs w:val="22"/>
        </w:rPr>
        <w:t>Undertake general maintenance works including:</w:t>
      </w:r>
    </w:p>
    <w:p w14:paraId="50D8B6CE" w14:textId="77777777" w:rsidR="00A23169" w:rsidRPr="00A23169" w:rsidRDefault="00A23169" w:rsidP="00A23169">
      <w:pPr>
        <w:pStyle w:val="ListParagraph"/>
        <w:numPr>
          <w:ilvl w:val="0"/>
          <w:numId w:val="33"/>
        </w:numPr>
        <w:tabs>
          <w:tab w:val="clear" w:pos="2835"/>
        </w:tabs>
        <w:spacing w:before="0" w:after="140" w:line="300" w:lineRule="atLeast"/>
        <w:contextualSpacing w:val="0"/>
        <w:jc w:val="both"/>
        <w:rPr>
          <w:rFonts w:cs="Arial"/>
          <w:sz w:val="22"/>
        </w:rPr>
      </w:pPr>
      <w:r w:rsidRPr="00A23169">
        <w:rPr>
          <w:rFonts w:cs="Arial"/>
          <w:sz w:val="22"/>
        </w:rPr>
        <w:t>Cleaning – floor scrubbing and buffing, toilet amenities.</w:t>
      </w:r>
    </w:p>
    <w:p w14:paraId="24E9E836" w14:textId="77777777" w:rsidR="00A23169" w:rsidRPr="00A23169" w:rsidRDefault="00A23169" w:rsidP="00A23169">
      <w:pPr>
        <w:pStyle w:val="ListParagraph"/>
        <w:numPr>
          <w:ilvl w:val="0"/>
          <w:numId w:val="33"/>
        </w:numPr>
        <w:tabs>
          <w:tab w:val="clear" w:pos="2835"/>
        </w:tabs>
        <w:spacing w:before="0" w:after="140" w:line="300" w:lineRule="atLeast"/>
        <w:contextualSpacing w:val="0"/>
        <w:jc w:val="both"/>
        <w:rPr>
          <w:rFonts w:cs="Arial"/>
          <w:sz w:val="22"/>
        </w:rPr>
      </w:pPr>
      <w:r w:rsidRPr="00A23169">
        <w:rPr>
          <w:rFonts w:cs="Arial"/>
          <w:sz w:val="22"/>
        </w:rPr>
        <w:t>Painting – general painting works throughout the building, including floor resurfacing.</w:t>
      </w:r>
    </w:p>
    <w:p w14:paraId="3C7E1E42" w14:textId="77777777" w:rsidR="00A23169" w:rsidRPr="00A23169" w:rsidRDefault="00A23169" w:rsidP="00A23169">
      <w:pPr>
        <w:pStyle w:val="ListParagraph"/>
        <w:numPr>
          <w:ilvl w:val="0"/>
          <w:numId w:val="33"/>
        </w:numPr>
        <w:tabs>
          <w:tab w:val="clear" w:pos="2835"/>
        </w:tabs>
        <w:spacing w:before="0" w:after="140" w:line="300" w:lineRule="atLeast"/>
        <w:contextualSpacing w:val="0"/>
        <w:jc w:val="both"/>
        <w:rPr>
          <w:rFonts w:cs="Arial"/>
          <w:sz w:val="22"/>
        </w:rPr>
      </w:pPr>
      <w:r w:rsidRPr="00A23169">
        <w:rPr>
          <w:rFonts w:cs="Arial"/>
          <w:sz w:val="22"/>
        </w:rPr>
        <w:t>Mechanical – general maintenance of mechanical sweepers and vacuum cleaners, trailers and minor servicing of generator.</w:t>
      </w:r>
    </w:p>
    <w:p w14:paraId="4D5B9E1F" w14:textId="77777777" w:rsidR="00A23169" w:rsidRPr="00A23169" w:rsidRDefault="00A23169" w:rsidP="00A23169">
      <w:pPr>
        <w:pStyle w:val="ListParagraph"/>
        <w:numPr>
          <w:ilvl w:val="0"/>
          <w:numId w:val="34"/>
        </w:numPr>
        <w:tabs>
          <w:tab w:val="clear" w:pos="2835"/>
        </w:tabs>
        <w:spacing w:before="0" w:after="140" w:line="300" w:lineRule="atLeast"/>
        <w:contextualSpacing w:val="0"/>
        <w:jc w:val="both"/>
        <w:rPr>
          <w:rFonts w:cs="Arial"/>
          <w:sz w:val="22"/>
        </w:rPr>
      </w:pPr>
      <w:r w:rsidRPr="00A23169">
        <w:rPr>
          <w:rFonts w:cs="Arial"/>
          <w:sz w:val="22"/>
        </w:rPr>
        <w:t>Grounds – lawn mowing, car park grading, drain clearing, tree removal etc.</w:t>
      </w:r>
    </w:p>
    <w:p w14:paraId="4ECDE46D" w14:textId="77777777" w:rsidR="00A23169" w:rsidRPr="00A23169" w:rsidRDefault="00A23169" w:rsidP="00A23169">
      <w:pPr>
        <w:pStyle w:val="ListParagraph"/>
        <w:numPr>
          <w:ilvl w:val="0"/>
          <w:numId w:val="34"/>
        </w:numPr>
        <w:tabs>
          <w:tab w:val="clear" w:pos="2835"/>
        </w:tabs>
        <w:spacing w:before="0" w:after="140" w:line="300" w:lineRule="atLeast"/>
        <w:contextualSpacing w:val="0"/>
        <w:jc w:val="both"/>
        <w:rPr>
          <w:rFonts w:cs="Arial"/>
          <w:sz w:val="22"/>
        </w:rPr>
      </w:pPr>
      <w:r w:rsidRPr="00A23169">
        <w:rPr>
          <w:rFonts w:cs="Arial"/>
          <w:sz w:val="22"/>
        </w:rPr>
        <w:lastRenderedPageBreak/>
        <w:t>Welding works as required.</w:t>
      </w:r>
    </w:p>
    <w:p w14:paraId="4BC10948" w14:textId="77777777" w:rsidR="00A23169" w:rsidRPr="00A23169" w:rsidRDefault="00A23169" w:rsidP="00A23169">
      <w:pPr>
        <w:pStyle w:val="ListParagraph"/>
        <w:numPr>
          <w:ilvl w:val="0"/>
          <w:numId w:val="34"/>
        </w:numPr>
        <w:tabs>
          <w:tab w:val="clear" w:pos="2835"/>
        </w:tabs>
        <w:spacing w:before="0" w:after="140" w:line="300" w:lineRule="atLeast"/>
        <w:contextualSpacing w:val="0"/>
        <w:jc w:val="both"/>
        <w:rPr>
          <w:rFonts w:cs="Arial"/>
          <w:sz w:val="22"/>
        </w:rPr>
      </w:pPr>
      <w:r w:rsidRPr="00A23169">
        <w:rPr>
          <w:rFonts w:cs="Arial"/>
          <w:sz w:val="22"/>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78DE746" w14:textId="77777777" w:rsidR="00A23169" w:rsidRPr="00A23169" w:rsidRDefault="00A23169" w:rsidP="00A23169">
      <w:pPr>
        <w:pStyle w:val="ListParagraph"/>
        <w:numPr>
          <w:ilvl w:val="0"/>
          <w:numId w:val="34"/>
        </w:numPr>
        <w:tabs>
          <w:tab w:val="clear" w:pos="2835"/>
        </w:tabs>
        <w:spacing w:before="0" w:after="140" w:line="300" w:lineRule="atLeast"/>
        <w:contextualSpacing w:val="0"/>
        <w:jc w:val="both"/>
        <w:rPr>
          <w:rFonts w:cs="Arial"/>
          <w:sz w:val="22"/>
        </w:rPr>
      </w:pPr>
      <w:r w:rsidRPr="00A23169">
        <w:rPr>
          <w:rFonts w:cs="Arial"/>
          <w:sz w:val="22"/>
        </w:rPr>
        <w:t>The incumbent can expect to be allocated duties, not specifically mentioned in this document, that are within the capacity, qualifications and experience normally expected from persons occupying positions at this classification level.</w:t>
      </w:r>
    </w:p>
    <w:p w14:paraId="2739BB03"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4C373352" w14:textId="77777777" w:rsidR="009664F5" w:rsidRPr="009664F5" w:rsidRDefault="009664F5" w:rsidP="009664F5">
      <w:pPr>
        <w:pStyle w:val="ListBullet"/>
        <w:numPr>
          <w:ilvl w:val="0"/>
          <w:numId w:val="35"/>
        </w:numPr>
        <w:tabs>
          <w:tab w:val="clear" w:pos="927"/>
          <w:tab w:val="num" w:pos="567"/>
        </w:tabs>
        <w:ind w:left="567"/>
        <w:rPr>
          <w:rFonts w:eastAsiaTheme="minorHAnsi" w:cs="Arial"/>
          <w:sz w:val="22"/>
          <w:szCs w:val="22"/>
        </w:rPr>
      </w:pPr>
      <w:r w:rsidRPr="009664F5">
        <w:rPr>
          <w:rFonts w:eastAsiaTheme="minorHAnsi" w:cs="Arial"/>
          <w:sz w:val="22"/>
          <w:szCs w:val="22"/>
        </w:rPr>
        <w:t>The Operations Assistant is responsible for the general supervision and security of patrons to the Silverdome and the general cleanliness of the building and its facilities as required.</w:t>
      </w:r>
    </w:p>
    <w:p w14:paraId="7CB8A4C8" w14:textId="77777777" w:rsidR="009664F5" w:rsidRPr="009664F5" w:rsidRDefault="009664F5" w:rsidP="009664F5">
      <w:pPr>
        <w:pStyle w:val="ListBullet"/>
        <w:numPr>
          <w:ilvl w:val="0"/>
          <w:numId w:val="35"/>
        </w:numPr>
        <w:tabs>
          <w:tab w:val="clear" w:pos="927"/>
          <w:tab w:val="num" w:pos="567"/>
        </w:tabs>
        <w:ind w:left="567"/>
        <w:rPr>
          <w:rFonts w:eastAsiaTheme="minorHAnsi" w:cs="Arial"/>
          <w:sz w:val="22"/>
          <w:szCs w:val="22"/>
        </w:rPr>
      </w:pPr>
      <w:r w:rsidRPr="009664F5">
        <w:rPr>
          <w:rFonts w:eastAsiaTheme="minorHAnsi" w:cs="Arial"/>
          <w:sz w:val="22"/>
          <w:szCs w:val="22"/>
        </w:rPr>
        <w:t>The occupant is responsible for complying with relevant occupational health and safety legislation and department policies and procedures as they relate to this position.</w:t>
      </w:r>
    </w:p>
    <w:p w14:paraId="52967E3F" w14:textId="77777777" w:rsidR="009664F5" w:rsidRPr="009664F5" w:rsidRDefault="009664F5" w:rsidP="009664F5">
      <w:pPr>
        <w:rPr>
          <w:rFonts w:cs="Arial"/>
          <w:sz w:val="22"/>
        </w:rPr>
      </w:pPr>
      <w:r w:rsidRPr="009664F5">
        <w:rPr>
          <w:rFonts w:cs="Arial"/>
          <w:sz w:val="22"/>
        </w:rPr>
        <w:t>General supervision of tasks will be provided by the Operations Officer with the Operations Manager providing overall technical and operational supervision.</w:t>
      </w:r>
    </w:p>
    <w:p w14:paraId="26653B1F" w14:textId="77777777" w:rsidR="001327D4" w:rsidRDefault="00726176" w:rsidP="00B5403C">
      <w:pPr>
        <w:pStyle w:val="Heading3"/>
      </w:pPr>
      <w:r>
        <w:t>Selection Criteria (</w:t>
      </w:r>
      <w:r w:rsidR="00D17EEE">
        <w:t>Knowledge and Skills</w:t>
      </w:r>
      <w:r>
        <w:t>)</w:t>
      </w:r>
      <w:r w:rsidR="00D17EEE">
        <w:t>:</w:t>
      </w:r>
    </w:p>
    <w:p w14:paraId="012C2BE5" w14:textId="77777777" w:rsidR="00DB7C94" w:rsidRPr="00DB7C94" w:rsidRDefault="00DB7C94" w:rsidP="00DB7C94">
      <w:pPr>
        <w:pStyle w:val="NumberedList"/>
        <w:numPr>
          <w:ilvl w:val="0"/>
          <w:numId w:val="37"/>
        </w:numPr>
        <w:rPr>
          <w:rFonts w:eastAsiaTheme="minorHAnsi" w:cs="Arial"/>
          <w:sz w:val="22"/>
          <w:szCs w:val="22"/>
        </w:rPr>
      </w:pPr>
      <w:r w:rsidRPr="00DB7C94">
        <w:rPr>
          <w:rFonts w:eastAsiaTheme="minorHAnsi" w:cs="Arial"/>
          <w:sz w:val="22"/>
          <w:szCs w:val="22"/>
        </w:rPr>
        <w:t>Demonstrated experience in security functions and requirements.</w:t>
      </w:r>
    </w:p>
    <w:p w14:paraId="169CA3F8" w14:textId="77777777" w:rsidR="00DB7C94" w:rsidRPr="00DB7C94" w:rsidRDefault="00DB7C94" w:rsidP="00DB7C94">
      <w:pPr>
        <w:pStyle w:val="NumberedList"/>
        <w:numPr>
          <w:ilvl w:val="0"/>
          <w:numId w:val="37"/>
        </w:numPr>
        <w:rPr>
          <w:rFonts w:eastAsiaTheme="minorHAnsi" w:cs="Arial"/>
          <w:sz w:val="22"/>
          <w:szCs w:val="22"/>
        </w:rPr>
      </w:pPr>
      <w:r w:rsidRPr="00DB7C94">
        <w:rPr>
          <w:rFonts w:eastAsiaTheme="minorHAnsi" w:cs="Arial"/>
          <w:sz w:val="22"/>
          <w:szCs w:val="22"/>
        </w:rPr>
        <w:t>An understanding of the principals of security in a public environment.</w:t>
      </w:r>
    </w:p>
    <w:p w14:paraId="124B2848" w14:textId="77777777" w:rsidR="00DB7C94" w:rsidRPr="00DB7C94" w:rsidRDefault="00DB7C94" w:rsidP="00DB7C94">
      <w:pPr>
        <w:pStyle w:val="NumberedList"/>
        <w:numPr>
          <w:ilvl w:val="0"/>
          <w:numId w:val="37"/>
        </w:numPr>
        <w:rPr>
          <w:rFonts w:eastAsiaTheme="minorHAnsi" w:cs="Arial"/>
          <w:sz w:val="22"/>
          <w:szCs w:val="22"/>
        </w:rPr>
      </w:pPr>
      <w:r w:rsidRPr="00DB7C94">
        <w:rPr>
          <w:rFonts w:eastAsiaTheme="minorHAnsi" w:cs="Arial"/>
          <w:sz w:val="22"/>
          <w:szCs w:val="22"/>
        </w:rPr>
        <w:t>Basic knowledge of commercial cleaning practices and procedures and experience in the safe use of relevant cleaning equipment.</w:t>
      </w:r>
    </w:p>
    <w:p w14:paraId="68550033" w14:textId="77777777" w:rsidR="00DB7C94" w:rsidRPr="00DB7C94" w:rsidRDefault="00DB7C94" w:rsidP="00DB7C94">
      <w:pPr>
        <w:pStyle w:val="NumberedList"/>
        <w:numPr>
          <w:ilvl w:val="0"/>
          <w:numId w:val="37"/>
        </w:numPr>
        <w:rPr>
          <w:rFonts w:eastAsiaTheme="minorHAnsi" w:cs="Arial"/>
          <w:sz w:val="22"/>
          <w:szCs w:val="22"/>
        </w:rPr>
      </w:pPr>
      <w:r w:rsidRPr="00DB7C94">
        <w:rPr>
          <w:rFonts w:eastAsiaTheme="minorHAnsi" w:cs="Arial"/>
          <w:sz w:val="22"/>
          <w:szCs w:val="22"/>
        </w:rPr>
        <w:t>Experience in operating plant and equipment through relevant trade certificates of licences.</w:t>
      </w:r>
    </w:p>
    <w:p w14:paraId="1FF582E7" w14:textId="77777777" w:rsidR="00DB7C94" w:rsidRPr="00DB7C94" w:rsidRDefault="00DB7C94" w:rsidP="00DB7C94">
      <w:pPr>
        <w:pStyle w:val="NumberedList"/>
        <w:numPr>
          <w:ilvl w:val="0"/>
          <w:numId w:val="37"/>
        </w:numPr>
        <w:rPr>
          <w:rFonts w:eastAsiaTheme="minorHAnsi" w:cs="Arial"/>
          <w:sz w:val="22"/>
          <w:szCs w:val="22"/>
        </w:rPr>
      </w:pPr>
      <w:r w:rsidRPr="00DB7C94">
        <w:rPr>
          <w:rFonts w:eastAsiaTheme="minorHAnsi" w:cs="Arial"/>
          <w:sz w:val="22"/>
          <w:szCs w:val="22"/>
        </w:rPr>
        <w:t>Well-developed interpersonal and communication skills and demonstrated ability to work proactively in a team environment.</w:t>
      </w:r>
    </w:p>
    <w:p w14:paraId="2B6650D6" w14:textId="77777777" w:rsidR="006C2ED7" w:rsidRDefault="006C2ED7" w:rsidP="00E15171">
      <w:pPr>
        <w:pStyle w:val="Heading3"/>
      </w:pPr>
      <w:r>
        <w:t>Position Requirements</w:t>
      </w:r>
    </w:p>
    <w:p w14:paraId="0F37E7BB"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13CD78D7" w14:textId="24569AD6" w:rsidR="00F86C79" w:rsidRDefault="00F86C79" w:rsidP="00DB7C94">
      <w:pPr>
        <w:pStyle w:val="BodyText"/>
        <w:spacing w:before="60" w:after="60"/>
        <w:jc w:val="both"/>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14:paraId="7E9971D1" w14:textId="5848951E" w:rsidR="00DB7C94" w:rsidRPr="00DB7C94" w:rsidRDefault="00DB7C94" w:rsidP="00DB7C94">
      <w:pPr>
        <w:pStyle w:val="ListParagraph"/>
        <w:numPr>
          <w:ilvl w:val="1"/>
          <w:numId w:val="17"/>
        </w:numPr>
        <w:tabs>
          <w:tab w:val="clear" w:pos="2835"/>
        </w:tabs>
        <w:spacing w:before="0" w:after="140" w:line="300" w:lineRule="atLeast"/>
        <w:rPr>
          <w:rFonts w:cs="Arial"/>
          <w:sz w:val="22"/>
        </w:rPr>
      </w:pPr>
      <w:r w:rsidRPr="00DB7C94">
        <w:rPr>
          <w:rFonts w:cs="Arial"/>
          <w:sz w:val="22"/>
        </w:rPr>
        <w:t>Conviction checks in the following areas:</w:t>
      </w:r>
    </w:p>
    <w:p w14:paraId="5FB059FE" w14:textId="77777777" w:rsidR="00DB7C94" w:rsidRPr="00C96B92" w:rsidRDefault="00DB7C94" w:rsidP="00DB7C94">
      <w:pPr>
        <w:pStyle w:val="ListParagraph"/>
        <w:numPr>
          <w:ilvl w:val="2"/>
          <w:numId w:val="17"/>
        </w:numPr>
        <w:tabs>
          <w:tab w:val="clear" w:pos="2835"/>
        </w:tabs>
        <w:spacing w:before="0" w:after="140" w:line="300" w:lineRule="atLeast"/>
        <w:contextualSpacing w:val="0"/>
        <w:rPr>
          <w:rFonts w:cs="Arial"/>
          <w:sz w:val="22"/>
        </w:rPr>
      </w:pPr>
      <w:r w:rsidRPr="00C96B92">
        <w:rPr>
          <w:rFonts w:cs="Arial"/>
          <w:sz w:val="22"/>
        </w:rPr>
        <w:t>crimes of violence</w:t>
      </w:r>
    </w:p>
    <w:p w14:paraId="0B795FA3" w14:textId="77777777" w:rsidR="00DB7C94" w:rsidRPr="00C96B92" w:rsidRDefault="00DB7C94" w:rsidP="00DB7C94">
      <w:pPr>
        <w:pStyle w:val="ListParagraph"/>
        <w:numPr>
          <w:ilvl w:val="2"/>
          <w:numId w:val="17"/>
        </w:numPr>
        <w:tabs>
          <w:tab w:val="clear" w:pos="2835"/>
        </w:tabs>
        <w:spacing w:before="0" w:after="140" w:line="300" w:lineRule="atLeast"/>
        <w:contextualSpacing w:val="0"/>
        <w:rPr>
          <w:rFonts w:cs="Arial"/>
          <w:sz w:val="22"/>
        </w:rPr>
      </w:pPr>
      <w:r w:rsidRPr="00C96B92">
        <w:rPr>
          <w:rFonts w:cs="Arial"/>
          <w:sz w:val="22"/>
        </w:rPr>
        <w:t>sex related offences</w:t>
      </w:r>
    </w:p>
    <w:p w14:paraId="4A569514" w14:textId="77777777" w:rsidR="00DB7C94" w:rsidRPr="00C96B92" w:rsidRDefault="00DB7C94" w:rsidP="00DB7C94">
      <w:pPr>
        <w:pStyle w:val="ListParagraph"/>
        <w:numPr>
          <w:ilvl w:val="2"/>
          <w:numId w:val="17"/>
        </w:numPr>
        <w:tabs>
          <w:tab w:val="clear" w:pos="2835"/>
        </w:tabs>
        <w:spacing w:before="0" w:after="140" w:line="300" w:lineRule="atLeast"/>
        <w:contextualSpacing w:val="0"/>
        <w:rPr>
          <w:rFonts w:cs="Arial"/>
          <w:sz w:val="22"/>
        </w:rPr>
      </w:pPr>
      <w:r w:rsidRPr="00C96B92">
        <w:rPr>
          <w:rFonts w:cs="Arial"/>
          <w:sz w:val="22"/>
        </w:rPr>
        <w:t>serious drug offences</w:t>
      </w:r>
    </w:p>
    <w:p w14:paraId="76A20830" w14:textId="77777777" w:rsidR="00DB7C94" w:rsidRDefault="00DB7C94" w:rsidP="00DB7C94">
      <w:pPr>
        <w:pStyle w:val="ListParagraph"/>
        <w:numPr>
          <w:ilvl w:val="2"/>
          <w:numId w:val="17"/>
        </w:numPr>
        <w:tabs>
          <w:tab w:val="clear" w:pos="2835"/>
        </w:tabs>
        <w:spacing w:before="0" w:after="140" w:line="300" w:lineRule="atLeast"/>
        <w:contextualSpacing w:val="0"/>
        <w:rPr>
          <w:rFonts w:cs="Arial"/>
          <w:sz w:val="22"/>
        </w:rPr>
      </w:pPr>
      <w:r w:rsidRPr="00C96B92">
        <w:rPr>
          <w:rFonts w:cs="Arial"/>
          <w:sz w:val="22"/>
        </w:rPr>
        <w:t>crimes involving dishonesty</w:t>
      </w:r>
    </w:p>
    <w:p w14:paraId="4121172B" w14:textId="77777777" w:rsidR="00DB7C94" w:rsidRPr="00DB7C94" w:rsidRDefault="00DB7C94" w:rsidP="00DB7C94">
      <w:pPr>
        <w:pStyle w:val="ListParagraph"/>
        <w:numPr>
          <w:ilvl w:val="1"/>
          <w:numId w:val="17"/>
        </w:numPr>
        <w:tabs>
          <w:tab w:val="clear" w:pos="2835"/>
        </w:tabs>
        <w:spacing w:before="0" w:after="140" w:line="300" w:lineRule="atLeast"/>
        <w:contextualSpacing w:val="0"/>
        <w:rPr>
          <w:rFonts w:cs="Arial"/>
          <w:sz w:val="22"/>
        </w:rPr>
      </w:pPr>
      <w:r w:rsidRPr="00DB7C94">
        <w:rPr>
          <w:rFonts w:cs="Arial"/>
          <w:sz w:val="22"/>
        </w:rPr>
        <w:t>Identification check</w:t>
      </w:r>
    </w:p>
    <w:p w14:paraId="2D829EAB" w14:textId="77777777" w:rsidR="00DB7C94" w:rsidRPr="00DB7C94" w:rsidRDefault="00DB7C94" w:rsidP="00DB7C94">
      <w:pPr>
        <w:pStyle w:val="ListParagraph"/>
        <w:numPr>
          <w:ilvl w:val="1"/>
          <w:numId w:val="17"/>
        </w:numPr>
        <w:tabs>
          <w:tab w:val="clear" w:pos="2835"/>
        </w:tabs>
        <w:spacing w:before="0" w:after="140" w:line="300" w:lineRule="atLeast"/>
        <w:contextualSpacing w:val="0"/>
        <w:rPr>
          <w:rFonts w:cs="Arial"/>
          <w:sz w:val="22"/>
        </w:rPr>
      </w:pPr>
      <w:r w:rsidRPr="00DB7C94">
        <w:rPr>
          <w:rFonts w:cs="Arial"/>
          <w:sz w:val="22"/>
        </w:rPr>
        <w:t>Disciplinary action in previous employment check.</w:t>
      </w:r>
    </w:p>
    <w:p w14:paraId="6BE2B58E" w14:textId="70BD625F" w:rsidR="00E15171" w:rsidRDefault="00E15171" w:rsidP="00E15171">
      <w:pPr>
        <w:pStyle w:val="Heading4"/>
        <w:rPr>
          <w:rFonts w:ascii="Gill Sans MT" w:hAnsi="Gill Sans MT"/>
          <w:color w:val="auto"/>
          <w:sz w:val="22"/>
        </w:rPr>
      </w:pPr>
      <w:r>
        <w:rPr>
          <w:rFonts w:ascii="Gill Sans MT" w:hAnsi="Gill Sans MT"/>
          <w:color w:val="auto"/>
          <w:sz w:val="22"/>
        </w:rPr>
        <w:lastRenderedPageBreak/>
        <w:t>Essential</w:t>
      </w:r>
    </w:p>
    <w:p w14:paraId="2C73DA50" w14:textId="44ED8B88" w:rsidR="003973AA" w:rsidRPr="003973AA" w:rsidRDefault="003973AA" w:rsidP="003973AA">
      <w:pPr>
        <w:pStyle w:val="NumberedList"/>
        <w:numPr>
          <w:ilvl w:val="0"/>
          <w:numId w:val="39"/>
        </w:numPr>
        <w:spacing w:after="60" w:line="200" w:lineRule="atLeast"/>
        <w:ind w:left="357" w:hanging="357"/>
        <w:rPr>
          <w:rFonts w:eastAsiaTheme="minorHAnsi" w:cstheme="minorBidi"/>
          <w:sz w:val="22"/>
          <w:szCs w:val="22"/>
        </w:rPr>
      </w:pPr>
      <w:r>
        <w:rPr>
          <w:rFonts w:eastAsiaTheme="minorHAnsi" w:cstheme="minorBidi"/>
          <w:sz w:val="22"/>
          <w:szCs w:val="22"/>
        </w:rPr>
        <w:t>Nil</w:t>
      </w:r>
    </w:p>
    <w:p w14:paraId="53CD7BF4" w14:textId="17AAA199" w:rsidR="00C648C9" w:rsidRDefault="00E15171" w:rsidP="004F50BC">
      <w:pPr>
        <w:pStyle w:val="Heading4"/>
        <w:rPr>
          <w:rFonts w:ascii="Gill Sans MT" w:hAnsi="Gill Sans MT"/>
          <w:color w:val="auto"/>
          <w:sz w:val="22"/>
        </w:rPr>
      </w:pPr>
      <w:r>
        <w:rPr>
          <w:rFonts w:ascii="Gill Sans MT" w:hAnsi="Gill Sans MT"/>
          <w:color w:val="auto"/>
          <w:sz w:val="22"/>
        </w:rPr>
        <w:t>Desirable</w:t>
      </w:r>
    </w:p>
    <w:p w14:paraId="6CA80389" w14:textId="77777777" w:rsidR="004F50BC" w:rsidRPr="004F50BC" w:rsidRDefault="004F50BC" w:rsidP="004F50BC">
      <w:pPr>
        <w:rPr>
          <w:sz w:val="22"/>
        </w:rPr>
      </w:pPr>
      <w:r w:rsidRPr="004F50BC">
        <w:rPr>
          <w:sz w:val="22"/>
        </w:rPr>
        <w:t>One or more of the following:</w:t>
      </w:r>
    </w:p>
    <w:p w14:paraId="049C8427" w14:textId="77777777" w:rsidR="004F50BC" w:rsidRPr="004F50BC" w:rsidRDefault="004F50BC" w:rsidP="004F50BC">
      <w:pPr>
        <w:pStyle w:val="NumberedList"/>
        <w:numPr>
          <w:ilvl w:val="0"/>
          <w:numId w:val="39"/>
        </w:numPr>
        <w:spacing w:after="60" w:line="200" w:lineRule="atLeast"/>
        <w:ind w:left="357" w:hanging="357"/>
        <w:rPr>
          <w:rFonts w:eastAsiaTheme="minorHAnsi" w:cstheme="minorBidi"/>
          <w:sz w:val="22"/>
          <w:szCs w:val="22"/>
        </w:rPr>
      </w:pPr>
      <w:r w:rsidRPr="004F50BC">
        <w:rPr>
          <w:rFonts w:eastAsiaTheme="minorHAnsi" w:cstheme="minorBidi"/>
          <w:sz w:val="22"/>
          <w:szCs w:val="22"/>
        </w:rPr>
        <w:t>Forklift licence</w:t>
      </w:r>
    </w:p>
    <w:p w14:paraId="03867682" w14:textId="77777777" w:rsidR="004F50BC" w:rsidRPr="004F50BC" w:rsidRDefault="004F50BC" w:rsidP="004F50BC">
      <w:pPr>
        <w:pStyle w:val="NumberedList"/>
        <w:numPr>
          <w:ilvl w:val="0"/>
          <w:numId w:val="39"/>
        </w:numPr>
        <w:spacing w:after="60" w:line="200" w:lineRule="atLeast"/>
        <w:ind w:left="357" w:hanging="357"/>
        <w:rPr>
          <w:rFonts w:eastAsiaTheme="minorHAnsi" w:cstheme="minorBidi"/>
          <w:sz w:val="22"/>
          <w:szCs w:val="22"/>
        </w:rPr>
      </w:pPr>
      <w:r w:rsidRPr="004F50BC">
        <w:rPr>
          <w:rFonts w:eastAsiaTheme="minorHAnsi" w:cstheme="minorBidi"/>
          <w:sz w:val="22"/>
          <w:szCs w:val="22"/>
        </w:rPr>
        <w:t>Chainsaw Operators Certificate</w:t>
      </w:r>
    </w:p>
    <w:p w14:paraId="587CFE64" w14:textId="77777777" w:rsidR="004F50BC" w:rsidRPr="004F50BC" w:rsidRDefault="004F50BC" w:rsidP="004F50BC">
      <w:pPr>
        <w:pStyle w:val="NumberedList"/>
        <w:numPr>
          <w:ilvl w:val="0"/>
          <w:numId w:val="39"/>
        </w:numPr>
        <w:spacing w:after="60" w:line="200" w:lineRule="atLeast"/>
        <w:ind w:left="357" w:hanging="357"/>
        <w:rPr>
          <w:rFonts w:eastAsiaTheme="minorHAnsi" w:cstheme="minorBidi"/>
          <w:sz w:val="22"/>
          <w:szCs w:val="22"/>
        </w:rPr>
      </w:pPr>
      <w:r w:rsidRPr="004F50BC">
        <w:rPr>
          <w:rFonts w:eastAsiaTheme="minorHAnsi" w:cstheme="minorBidi"/>
          <w:sz w:val="22"/>
          <w:szCs w:val="22"/>
        </w:rPr>
        <w:t>Elevated Work Platform Certificate</w:t>
      </w:r>
    </w:p>
    <w:p w14:paraId="4E381FC3" w14:textId="77777777" w:rsidR="004F50BC" w:rsidRPr="004F50BC" w:rsidRDefault="004F50BC" w:rsidP="004F50BC">
      <w:pPr>
        <w:pStyle w:val="NumberedList"/>
        <w:numPr>
          <w:ilvl w:val="0"/>
          <w:numId w:val="39"/>
        </w:numPr>
        <w:spacing w:after="60" w:line="200" w:lineRule="atLeast"/>
        <w:ind w:left="357" w:hanging="357"/>
        <w:rPr>
          <w:rFonts w:eastAsiaTheme="minorHAnsi" w:cstheme="minorBidi"/>
          <w:sz w:val="22"/>
          <w:szCs w:val="22"/>
        </w:rPr>
      </w:pPr>
      <w:r w:rsidRPr="004F50BC">
        <w:rPr>
          <w:rFonts w:eastAsiaTheme="minorHAnsi" w:cstheme="minorBidi"/>
          <w:sz w:val="22"/>
          <w:szCs w:val="22"/>
        </w:rPr>
        <w:t>Workplace II Senior First Aid Certificate</w:t>
      </w:r>
    </w:p>
    <w:p w14:paraId="5A276916" w14:textId="77777777" w:rsidR="004F50BC" w:rsidRPr="004F50BC" w:rsidRDefault="004F50BC" w:rsidP="004F50BC">
      <w:pPr>
        <w:pStyle w:val="NumberedList"/>
        <w:numPr>
          <w:ilvl w:val="0"/>
          <w:numId w:val="39"/>
        </w:numPr>
        <w:spacing w:after="60" w:line="200" w:lineRule="atLeast"/>
        <w:ind w:left="357" w:hanging="357"/>
        <w:rPr>
          <w:rFonts w:eastAsiaTheme="minorHAnsi" w:cstheme="minorBidi"/>
          <w:sz w:val="22"/>
          <w:szCs w:val="22"/>
        </w:rPr>
      </w:pPr>
      <w:r w:rsidRPr="004F50BC">
        <w:rPr>
          <w:rFonts w:eastAsiaTheme="minorHAnsi" w:cstheme="minorBidi"/>
          <w:sz w:val="22"/>
          <w:szCs w:val="22"/>
        </w:rPr>
        <w:t>Rigging Certificate</w:t>
      </w:r>
    </w:p>
    <w:p w14:paraId="34F74463" w14:textId="77777777" w:rsidR="004F50BC" w:rsidRPr="004F50BC" w:rsidRDefault="004F50BC" w:rsidP="004F50BC">
      <w:pPr>
        <w:pStyle w:val="NumberedList"/>
        <w:numPr>
          <w:ilvl w:val="0"/>
          <w:numId w:val="39"/>
        </w:numPr>
        <w:spacing w:after="60" w:line="200" w:lineRule="atLeast"/>
        <w:ind w:left="357" w:hanging="357"/>
        <w:rPr>
          <w:rFonts w:eastAsiaTheme="minorHAnsi" w:cstheme="minorBidi"/>
          <w:sz w:val="22"/>
          <w:szCs w:val="22"/>
        </w:rPr>
      </w:pPr>
      <w:r w:rsidRPr="004F50BC">
        <w:rPr>
          <w:rFonts w:eastAsiaTheme="minorHAnsi" w:cstheme="minorBidi"/>
          <w:sz w:val="22"/>
          <w:szCs w:val="22"/>
        </w:rPr>
        <w:t>Certificate II in Security Operations</w:t>
      </w:r>
    </w:p>
    <w:p w14:paraId="0D076A2D" w14:textId="77777777" w:rsidR="004F50BC" w:rsidRPr="004F50BC" w:rsidRDefault="004F50BC" w:rsidP="004F50BC">
      <w:pPr>
        <w:pStyle w:val="NumberedList"/>
        <w:numPr>
          <w:ilvl w:val="0"/>
          <w:numId w:val="39"/>
        </w:numPr>
        <w:spacing w:after="60" w:line="200" w:lineRule="atLeast"/>
        <w:ind w:left="357" w:hanging="357"/>
        <w:rPr>
          <w:rFonts w:eastAsiaTheme="minorHAnsi" w:cstheme="minorBidi"/>
          <w:sz w:val="22"/>
          <w:szCs w:val="22"/>
        </w:rPr>
      </w:pPr>
      <w:r w:rsidRPr="004F50BC">
        <w:rPr>
          <w:rFonts w:eastAsiaTheme="minorHAnsi" w:cstheme="minorBidi"/>
          <w:sz w:val="22"/>
          <w:szCs w:val="22"/>
        </w:rPr>
        <w:t>Scaffolding Certificate</w:t>
      </w:r>
    </w:p>
    <w:p w14:paraId="7080FC83" w14:textId="334C884F" w:rsidR="004F50BC" w:rsidRPr="004F50BC" w:rsidRDefault="004F50BC" w:rsidP="003973AA">
      <w:pPr>
        <w:pStyle w:val="NumberedList"/>
        <w:numPr>
          <w:ilvl w:val="0"/>
          <w:numId w:val="0"/>
        </w:numPr>
        <w:spacing w:after="60" w:line="200" w:lineRule="atLeast"/>
        <w:rPr>
          <w:rFonts w:eastAsiaTheme="minorHAnsi" w:cstheme="minorBidi"/>
          <w:sz w:val="22"/>
          <w:szCs w:val="22"/>
        </w:rPr>
      </w:pPr>
    </w:p>
    <w:p w14:paraId="0D193402" w14:textId="77777777" w:rsidR="00F87DED" w:rsidRDefault="00F87DED" w:rsidP="00F87DED">
      <w:pPr>
        <w:pStyle w:val="Heading3"/>
        <w:spacing w:before="0" w:after="0" w:line="240" w:lineRule="auto"/>
      </w:pPr>
    </w:p>
    <w:p w14:paraId="077ABAC9" w14:textId="77777777" w:rsidR="00D0799A" w:rsidRDefault="00D0799A" w:rsidP="00F87DED">
      <w:pPr>
        <w:pStyle w:val="Heading3"/>
        <w:spacing w:before="0" w:after="0" w:line="240" w:lineRule="auto"/>
      </w:pPr>
      <w:r>
        <w:t>Working at State Growth</w:t>
      </w:r>
    </w:p>
    <w:p w14:paraId="0A5C69BE" w14:textId="77777777" w:rsidR="003B0A4C" w:rsidRPr="00A4261D" w:rsidRDefault="003B0A4C" w:rsidP="003973AA">
      <w:pPr>
        <w:pStyle w:val="BodyText"/>
        <w:jc w:val="both"/>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165164C2" w14:textId="00422E24" w:rsidR="004D70E5" w:rsidRPr="0063697D" w:rsidRDefault="003B0A4C" w:rsidP="003973AA">
      <w:pPr>
        <w:pStyle w:val="BodyText"/>
        <w:jc w:val="both"/>
        <w:rPr>
          <w:rFonts w:cs="Arial"/>
          <w:sz w:val="22"/>
        </w:rPr>
      </w:pPr>
      <w:r w:rsidRPr="0063697D">
        <w:rPr>
          <w:rFonts w:cs="Arial"/>
          <w:sz w:val="22"/>
        </w:rPr>
        <w:t>The</w:t>
      </w:r>
      <w:r w:rsidR="004306B8">
        <w:rPr>
          <w:rFonts w:cs="Arial"/>
          <w:sz w:val="22"/>
        </w:rPr>
        <w:t xml:space="preserve"> Department’s website</w:t>
      </w:r>
      <w:r w:rsidRPr="0063697D">
        <w:rPr>
          <w:rFonts w:cs="Arial"/>
          <w:sz w:val="22"/>
        </w:rPr>
        <w:t xml:space="preserve"> </w:t>
      </w:r>
      <w:hyperlink r:id="rId8" w:history="1">
        <w:r w:rsidR="004306B8" w:rsidRPr="00A3704A">
          <w:rPr>
            <w:rStyle w:val="Hyperlink"/>
            <w:rFonts w:cs="Arial"/>
            <w:sz w:val="22"/>
          </w:rPr>
          <w:t>https://www.stategrowth.tas.gov.au/</w:t>
        </w:r>
      </w:hyperlink>
      <w:r w:rsidRPr="0063697D">
        <w:rPr>
          <w:rFonts w:cs="Arial"/>
          <w:sz w:val="22"/>
        </w:rPr>
        <w:t xml:space="preserve"> provides more information.</w:t>
      </w:r>
    </w:p>
    <w:p w14:paraId="4B932BEF" w14:textId="77777777" w:rsidR="0063697D" w:rsidRPr="00E44F81" w:rsidRDefault="0063697D" w:rsidP="003973AA">
      <w:pPr>
        <w:jc w:val="both"/>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68095846" w14:textId="71A58DF3" w:rsidR="00D0799A" w:rsidRPr="00C67374" w:rsidRDefault="0063697D" w:rsidP="003973AA">
      <w:pPr>
        <w:pStyle w:val="BodyText"/>
        <w:jc w:val="both"/>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r w:rsidR="000666CF" w:rsidRPr="00C67374">
        <w:rPr>
          <w:rFonts w:cs="Arial"/>
          <w:sz w:val="22"/>
        </w:rPr>
        <w:t>values-based</w:t>
      </w:r>
      <w:r w:rsidR="00D0799A" w:rsidRPr="00C67374">
        <w:rPr>
          <w:rFonts w:cs="Arial"/>
          <w:sz w:val="22"/>
        </w:rPr>
        <w:t xml:space="preserve"> culture.  Our values and behaviours reflect what we consider to be important, that is </w:t>
      </w:r>
    </w:p>
    <w:p w14:paraId="498C5736"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27FA8E08"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52279376"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5350E571"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617EF624"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5EB5B7F7"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7C5F665A" w14:textId="425DCCE4" w:rsidR="00D0799A" w:rsidRPr="00DE4220" w:rsidRDefault="00D0799A" w:rsidP="003973AA">
      <w:pPr>
        <w:jc w:val="both"/>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72E692EA" w14:textId="77777777" w:rsidR="00185BDA" w:rsidRDefault="00D0799A" w:rsidP="0063697D">
      <w:pPr>
        <w:pStyle w:val="BodyText"/>
        <w:ind w:right="43"/>
        <w:jc w:val="both"/>
        <w:rPr>
          <w:rFonts w:cs="Arial"/>
          <w:color w:val="0000FF" w:themeColor="hyperlink"/>
          <w:sz w:val="22"/>
          <w:u w:val="single"/>
        </w:rPr>
      </w:pPr>
      <w:r>
        <w:rPr>
          <w:rFonts w:eastAsia="Calibri" w:cs="Arial"/>
          <w:sz w:val="22"/>
        </w:rPr>
        <w:lastRenderedPageBreak/>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14:paraId="78716B93"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B4CC" w14:textId="77777777" w:rsidR="00F449F5" w:rsidRDefault="00F449F5" w:rsidP="00BC49A5">
      <w:r>
        <w:separator/>
      </w:r>
    </w:p>
  </w:endnote>
  <w:endnote w:type="continuationSeparator" w:id="0">
    <w:p w14:paraId="1494C905" w14:textId="77777777" w:rsidR="00F449F5" w:rsidRDefault="00F449F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5F572DDF"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957338">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28BBCC73" w14:textId="3FA3614D" w:rsidR="004674FB" w:rsidRDefault="004674FB" w:rsidP="004674FB">
        <w:pPr>
          <w:pStyle w:val="Footer"/>
          <w:tabs>
            <w:tab w:val="clear" w:pos="4513"/>
            <w:tab w:val="left" w:pos="7973"/>
            <w:tab w:val="center" w:pos="8222"/>
          </w:tabs>
          <w:rPr>
            <w:noProof/>
          </w:rPr>
        </w:pPr>
        <w:r>
          <w:tab/>
        </w:r>
        <w:r w:rsidR="00DE4863">
          <w:tab/>
        </w:r>
        <w:r>
          <w:tab/>
        </w:r>
        <w:r w:rsidR="008A3C6E">
          <w:t xml:space="preserve">  </w:t>
        </w:r>
        <w:r>
          <w:tab/>
        </w:r>
        <w:r>
          <w:fldChar w:fldCharType="begin"/>
        </w:r>
        <w:r>
          <w:instrText xml:space="preserve"> PAGE   \* MERGEFORMAT </w:instrText>
        </w:r>
        <w:r>
          <w:fldChar w:fldCharType="separate"/>
        </w:r>
        <w:r w:rsidR="00957338">
          <w:rPr>
            <w:noProof/>
          </w:rPr>
          <w:t>1</w:t>
        </w:r>
        <w:r>
          <w:rPr>
            <w:noProof/>
          </w:rPr>
          <w:fldChar w:fldCharType="end"/>
        </w:r>
      </w:p>
      <w:p w14:paraId="479F167E" w14:textId="60FF7ED6" w:rsidR="001A7FED" w:rsidRDefault="00000000"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7C28" w14:textId="77777777" w:rsidR="00F449F5" w:rsidRDefault="00F449F5" w:rsidP="00BC49A5">
      <w:r>
        <w:separator/>
      </w:r>
    </w:p>
  </w:footnote>
  <w:footnote w:type="continuationSeparator" w:id="0">
    <w:p w14:paraId="6E4116E4" w14:textId="77777777" w:rsidR="00F449F5" w:rsidRDefault="00F449F5"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0B5A52"/>
    <w:multiLevelType w:val="hybridMultilevel"/>
    <w:tmpl w:val="9456478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0"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06243B9"/>
    <w:multiLevelType w:val="hybridMultilevel"/>
    <w:tmpl w:val="C200FEF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1743EDB"/>
    <w:multiLevelType w:val="hybridMultilevel"/>
    <w:tmpl w:val="185E2C2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5"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18"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5F6F5D"/>
    <w:multiLevelType w:val="hybridMultilevel"/>
    <w:tmpl w:val="182E19D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9256A3"/>
    <w:multiLevelType w:val="hybridMultilevel"/>
    <w:tmpl w:val="E718298C"/>
    <w:lvl w:ilvl="0" w:tplc="0C090001">
      <w:start w:val="1"/>
      <w:numFmt w:val="bullet"/>
      <w:lvlText w:val=""/>
      <w:lvlJc w:val="left"/>
      <w:pPr>
        <w:ind w:left="720" w:hanging="360"/>
      </w:pPr>
      <w:rPr>
        <w:rFonts w:ascii="Symbol" w:hAnsi="Symbol" w:hint="default"/>
      </w:rPr>
    </w:lvl>
    <w:lvl w:ilvl="1" w:tplc="334AF04A">
      <w:start w:val="1"/>
      <w:numFmt w:val="decimal"/>
      <w:lvlText w:val="%2."/>
      <w:lvlJc w:val="left"/>
      <w:pPr>
        <w:ind w:left="1440" w:hanging="360"/>
      </w:pPr>
      <w:rPr>
        <w:rFonts w:ascii="Gill Sans MT" w:eastAsiaTheme="minorHAnsi" w:hAnsi="Gill Sans MT" w:cs="Arial"/>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0"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FB520C"/>
    <w:multiLevelType w:val="hybridMultilevel"/>
    <w:tmpl w:val="CA8E278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312180285">
    <w:abstractNumId w:val="25"/>
  </w:num>
  <w:num w:numId="2" w16cid:durableId="1390614724">
    <w:abstractNumId w:val="16"/>
  </w:num>
  <w:num w:numId="3" w16cid:durableId="1703744912">
    <w:abstractNumId w:val="19"/>
  </w:num>
  <w:num w:numId="4" w16cid:durableId="1796946116">
    <w:abstractNumId w:val="8"/>
  </w:num>
  <w:num w:numId="5" w16cid:durableId="275448421">
    <w:abstractNumId w:val="4"/>
  </w:num>
  <w:num w:numId="6" w16cid:durableId="1764885014">
    <w:abstractNumId w:val="33"/>
  </w:num>
  <w:num w:numId="7" w16cid:durableId="1134634947">
    <w:abstractNumId w:val="7"/>
  </w:num>
  <w:num w:numId="8" w16cid:durableId="1757749237">
    <w:abstractNumId w:val="36"/>
  </w:num>
  <w:num w:numId="9" w16cid:durableId="1412922095">
    <w:abstractNumId w:val="5"/>
  </w:num>
  <w:num w:numId="10" w16cid:durableId="285696380">
    <w:abstractNumId w:val="1"/>
  </w:num>
  <w:num w:numId="11" w16cid:durableId="41179148">
    <w:abstractNumId w:val="18"/>
  </w:num>
  <w:num w:numId="12" w16cid:durableId="2027629061">
    <w:abstractNumId w:val="3"/>
  </w:num>
  <w:num w:numId="13" w16cid:durableId="2293882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6113270">
    <w:abstractNumId w:val="29"/>
  </w:num>
  <w:num w:numId="15" w16cid:durableId="2063361180">
    <w:abstractNumId w:val="30"/>
  </w:num>
  <w:num w:numId="16" w16cid:durableId="690835778">
    <w:abstractNumId w:val="14"/>
  </w:num>
  <w:num w:numId="17" w16cid:durableId="970868353">
    <w:abstractNumId w:val="22"/>
  </w:num>
  <w:num w:numId="18" w16cid:durableId="1373504973">
    <w:abstractNumId w:val="24"/>
  </w:num>
  <w:num w:numId="19" w16cid:durableId="542139696">
    <w:abstractNumId w:val="20"/>
  </w:num>
  <w:num w:numId="20" w16cid:durableId="1136681589">
    <w:abstractNumId w:val="32"/>
  </w:num>
  <w:num w:numId="21" w16cid:durableId="1750034719">
    <w:abstractNumId w:val="28"/>
  </w:num>
  <w:num w:numId="22" w16cid:durableId="564727883">
    <w:abstractNumId w:val="15"/>
  </w:num>
  <w:num w:numId="23" w16cid:durableId="2037926949">
    <w:abstractNumId w:val="10"/>
  </w:num>
  <w:num w:numId="24" w16cid:durableId="1538590015">
    <w:abstractNumId w:val="35"/>
  </w:num>
  <w:num w:numId="25" w16cid:durableId="310989728">
    <w:abstractNumId w:val="11"/>
  </w:num>
  <w:num w:numId="26" w16cid:durableId="15178915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6505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1872922">
    <w:abstractNumId w:val="27"/>
  </w:num>
  <w:num w:numId="29" w16cid:durableId="641888742">
    <w:abstractNumId w:val="37"/>
  </w:num>
  <w:num w:numId="30" w16cid:durableId="1607078062">
    <w:abstractNumId w:val="0"/>
  </w:num>
  <w:num w:numId="31" w16cid:durableId="711416257">
    <w:abstractNumId w:val="21"/>
  </w:num>
  <w:num w:numId="32" w16cid:durableId="817455240">
    <w:abstractNumId w:val="13"/>
  </w:num>
  <w:num w:numId="33" w16cid:durableId="1537163106">
    <w:abstractNumId w:val="34"/>
  </w:num>
  <w:num w:numId="34" w16cid:durableId="716973732">
    <w:abstractNumId w:val="12"/>
  </w:num>
  <w:num w:numId="35" w16cid:durableId="854224901">
    <w:abstractNumId w:val="6"/>
  </w:num>
  <w:num w:numId="36" w16cid:durableId="1135370038">
    <w:abstractNumId w:val="17"/>
  </w:num>
  <w:num w:numId="37" w16cid:durableId="1633289496">
    <w:abstractNumId w:val="23"/>
  </w:num>
  <w:num w:numId="38" w16cid:durableId="1629043969">
    <w:abstractNumId w:val="9"/>
  </w:num>
  <w:num w:numId="39" w16cid:durableId="81805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66CF"/>
    <w:rsid w:val="00066D45"/>
    <w:rsid w:val="00085651"/>
    <w:rsid w:val="00094E6B"/>
    <w:rsid w:val="000A687B"/>
    <w:rsid w:val="000D117E"/>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26289"/>
    <w:rsid w:val="002506A1"/>
    <w:rsid w:val="00263E12"/>
    <w:rsid w:val="0027099F"/>
    <w:rsid w:val="002804C0"/>
    <w:rsid w:val="00285365"/>
    <w:rsid w:val="002A584C"/>
    <w:rsid w:val="002B256E"/>
    <w:rsid w:val="002E221A"/>
    <w:rsid w:val="002E33F1"/>
    <w:rsid w:val="003058D6"/>
    <w:rsid w:val="00331842"/>
    <w:rsid w:val="003420FF"/>
    <w:rsid w:val="00360930"/>
    <w:rsid w:val="00371F59"/>
    <w:rsid w:val="00391075"/>
    <w:rsid w:val="003951E9"/>
    <w:rsid w:val="0039695F"/>
    <w:rsid w:val="003973AA"/>
    <w:rsid w:val="003B0A4C"/>
    <w:rsid w:val="003C5DE2"/>
    <w:rsid w:val="003E0CDE"/>
    <w:rsid w:val="003F1C1E"/>
    <w:rsid w:val="003F442E"/>
    <w:rsid w:val="00411FA3"/>
    <w:rsid w:val="00417933"/>
    <w:rsid w:val="004306B8"/>
    <w:rsid w:val="00442FC8"/>
    <w:rsid w:val="004674FB"/>
    <w:rsid w:val="00476271"/>
    <w:rsid w:val="00486C56"/>
    <w:rsid w:val="00490402"/>
    <w:rsid w:val="004C0312"/>
    <w:rsid w:val="004C7642"/>
    <w:rsid w:val="004D70E5"/>
    <w:rsid w:val="004E3A2A"/>
    <w:rsid w:val="004F14B2"/>
    <w:rsid w:val="004F2DAF"/>
    <w:rsid w:val="004F50BC"/>
    <w:rsid w:val="00523008"/>
    <w:rsid w:val="00542542"/>
    <w:rsid w:val="00547824"/>
    <w:rsid w:val="00562D6C"/>
    <w:rsid w:val="005864CE"/>
    <w:rsid w:val="005A1849"/>
    <w:rsid w:val="005A351A"/>
    <w:rsid w:val="005D5969"/>
    <w:rsid w:val="005E3736"/>
    <w:rsid w:val="00600395"/>
    <w:rsid w:val="0060621A"/>
    <w:rsid w:val="00623F92"/>
    <w:rsid w:val="00626D9C"/>
    <w:rsid w:val="0063697D"/>
    <w:rsid w:val="00641A1F"/>
    <w:rsid w:val="00644FB9"/>
    <w:rsid w:val="00646492"/>
    <w:rsid w:val="00671978"/>
    <w:rsid w:val="00674ACE"/>
    <w:rsid w:val="00697962"/>
    <w:rsid w:val="006A23DC"/>
    <w:rsid w:val="006A2A48"/>
    <w:rsid w:val="006B623C"/>
    <w:rsid w:val="006C2ED7"/>
    <w:rsid w:val="006F2AF5"/>
    <w:rsid w:val="00702359"/>
    <w:rsid w:val="00703D04"/>
    <w:rsid w:val="00710239"/>
    <w:rsid w:val="00712B9C"/>
    <w:rsid w:val="00726176"/>
    <w:rsid w:val="00743A19"/>
    <w:rsid w:val="00751A0E"/>
    <w:rsid w:val="00773BAA"/>
    <w:rsid w:val="00794567"/>
    <w:rsid w:val="007B61E0"/>
    <w:rsid w:val="007C2B83"/>
    <w:rsid w:val="007F73E6"/>
    <w:rsid w:val="00805347"/>
    <w:rsid w:val="008171F0"/>
    <w:rsid w:val="00822C14"/>
    <w:rsid w:val="00840A9D"/>
    <w:rsid w:val="008728F7"/>
    <w:rsid w:val="008732A5"/>
    <w:rsid w:val="00877B74"/>
    <w:rsid w:val="008A3C6E"/>
    <w:rsid w:val="008B26CF"/>
    <w:rsid w:val="008F1AEF"/>
    <w:rsid w:val="008F3009"/>
    <w:rsid w:val="008F3F19"/>
    <w:rsid w:val="00905B48"/>
    <w:rsid w:val="0093612C"/>
    <w:rsid w:val="00946348"/>
    <w:rsid w:val="00956D67"/>
    <w:rsid w:val="00957338"/>
    <w:rsid w:val="009601AD"/>
    <w:rsid w:val="009664F5"/>
    <w:rsid w:val="00967EC2"/>
    <w:rsid w:val="00996C2B"/>
    <w:rsid w:val="00997371"/>
    <w:rsid w:val="009A1040"/>
    <w:rsid w:val="009A65F9"/>
    <w:rsid w:val="009B4518"/>
    <w:rsid w:val="009C1CB0"/>
    <w:rsid w:val="009C299E"/>
    <w:rsid w:val="009C31F1"/>
    <w:rsid w:val="009D278A"/>
    <w:rsid w:val="009D522C"/>
    <w:rsid w:val="009F6C23"/>
    <w:rsid w:val="00A124DA"/>
    <w:rsid w:val="00A23169"/>
    <w:rsid w:val="00A27736"/>
    <w:rsid w:val="00A355B8"/>
    <w:rsid w:val="00A44F84"/>
    <w:rsid w:val="00A8213E"/>
    <w:rsid w:val="00A87A2B"/>
    <w:rsid w:val="00A93A80"/>
    <w:rsid w:val="00AC5F3A"/>
    <w:rsid w:val="00AC6312"/>
    <w:rsid w:val="00AD7C94"/>
    <w:rsid w:val="00AE2C7D"/>
    <w:rsid w:val="00AF24D8"/>
    <w:rsid w:val="00B03221"/>
    <w:rsid w:val="00B232E2"/>
    <w:rsid w:val="00B36A48"/>
    <w:rsid w:val="00B43628"/>
    <w:rsid w:val="00B5403C"/>
    <w:rsid w:val="00B620CC"/>
    <w:rsid w:val="00B6253B"/>
    <w:rsid w:val="00B8360D"/>
    <w:rsid w:val="00B917C0"/>
    <w:rsid w:val="00B95AA5"/>
    <w:rsid w:val="00BB000F"/>
    <w:rsid w:val="00BB1930"/>
    <w:rsid w:val="00BB79E6"/>
    <w:rsid w:val="00BC49A5"/>
    <w:rsid w:val="00BD238B"/>
    <w:rsid w:val="00BE0907"/>
    <w:rsid w:val="00BE7277"/>
    <w:rsid w:val="00BF28DD"/>
    <w:rsid w:val="00C105FB"/>
    <w:rsid w:val="00C12643"/>
    <w:rsid w:val="00C538DE"/>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B7C94"/>
    <w:rsid w:val="00DC2BE2"/>
    <w:rsid w:val="00DD1205"/>
    <w:rsid w:val="00DE4220"/>
    <w:rsid w:val="00DE4863"/>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B7BA2"/>
    <w:rsid w:val="00ED32A9"/>
    <w:rsid w:val="00ED4B63"/>
    <w:rsid w:val="00F14B42"/>
    <w:rsid w:val="00F2463C"/>
    <w:rsid w:val="00F449F5"/>
    <w:rsid w:val="00F44E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1D71E"/>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DE4863"/>
    <w:rPr>
      <w:rFonts w:ascii="Gill Sans MT" w:hAnsi="Gill Sans MT"/>
      <w:sz w:val="24"/>
    </w:rPr>
  </w:style>
  <w:style w:type="character" w:styleId="UnresolvedMention">
    <w:name w:val="Unresolved Mention"/>
    <w:basedOn w:val="DefaultParagraphFont"/>
    <w:uiPriority w:val="99"/>
    <w:semiHidden/>
    <w:unhideWhenUsed/>
    <w:rsid w:val="004306B8"/>
    <w:rPr>
      <w:color w:val="605E5C"/>
      <w:shd w:val="clear" w:color="auto" w:fill="E1DFDD"/>
    </w:rPr>
  </w:style>
  <w:style w:type="paragraph" w:customStyle="1" w:styleId="NumberedList">
    <w:name w:val="Numbered List"/>
    <w:link w:val="NumberedListChar"/>
    <w:semiHidden/>
    <w:rsid w:val="00A23169"/>
    <w:pPr>
      <w:keepLines/>
      <w:numPr>
        <w:numId w:val="29"/>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A23169"/>
    <w:rPr>
      <w:rFonts w:ascii="Gill Sans MT" w:eastAsia="Times New Roman" w:hAnsi="Gill Sans MT" w:cs="Times New Roman"/>
      <w:sz w:val="24"/>
      <w:szCs w:val="20"/>
    </w:rPr>
  </w:style>
  <w:style w:type="paragraph" w:customStyle="1" w:styleId="BulletedListLevel1">
    <w:name w:val="Bulleted List Level 1"/>
    <w:semiHidden/>
    <w:rsid w:val="009664F5"/>
    <w:pPr>
      <w:keepLines/>
      <w:numPr>
        <w:numId w:val="35"/>
      </w:numPr>
      <w:tabs>
        <w:tab w:val="left" w:pos="1134"/>
      </w:tabs>
      <w:spacing w:after="140" w:line="300" w:lineRule="atLeast"/>
      <w:jc w:val="both"/>
    </w:pPr>
    <w:rPr>
      <w:rFonts w:ascii="Gill Sans MT" w:eastAsia="Times New Roman" w:hAnsi="Gill Sans MT" w:cs="Times New Roman"/>
      <w:sz w:val="24"/>
      <w:szCs w:val="24"/>
    </w:rPr>
  </w:style>
  <w:style w:type="paragraph" w:styleId="ListBullet">
    <w:name w:val="List Bullet"/>
    <w:basedOn w:val="BulletedListLevel1"/>
    <w:semiHidden/>
    <w:rsid w:val="009664F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B4C6-A6AE-471D-82D9-28E8CC5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Ferraro, Sandra</cp:lastModifiedBy>
  <cp:revision>4</cp:revision>
  <cp:lastPrinted>2023-03-06T02:34:00Z</cp:lastPrinted>
  <dcterms:created xsi:type="dcterms:W3CDTF">2023-03-06T02:34:00Z</dcterms:created>
  <dcterms:modified xsi:type="dcterms:W3CDTF">2023-03-06T02:37:00Z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