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5320C173" w14:textId="77777777" w:rsidTr="000B4D7A">
        <w:trPr>
          <w:cantSplit/>
          <w:trHeight w:val="1540"/>
        </w:trPr>
        <w:tc>
          <w:tcPr>
            <w:tcW w:w="3900" w:type="pct"/>
          </w:tcPr>
          <w:p w14:paraId="1BF0AF69" w14:textId="546157D1" w:rsidR="002C0991" w:rsidRPr="00CC3A28" w:rsidRDefault="000B4D7A" w:rsidP="00173A34">
            <w:pPr>
              <w:pStyle w:val="DepartmentTitle"/>
              <w:ind w:left="-247"/>
              <w:jc w:val="center"/>
              <w:rPr>
                <w:sz w:val="32"/>
                <w:szCs w:val="32"/>
              </w:rPr>
            </w:pPr>
            <w:bookmarkStart w:id="0" w:name="bmTop"/>
            <w:bookmarkEnd w:id="0"/>
            <w:r>
              <w:t xml:space="preserve">                      </w:t>
            </w:r>
            <w:r w:rsidR="00027DEB" w:rsidRPr="00CC3A28">
              <w:rPr>
                <w:sz w:val="32"/>
                <w:szCs w:val="32"/>
              </w:rPr>
              <w:t xml:space="preserve">Department of Health </w:t>
            </w:r>
          </w:p>
          <w:p w14:paraId="60307325" w14:textId="0CC3D4BD" w:rsidR="00DD6876" w:rsidRPr="00173A34" w:rsidRDefault="000B4D7A" w:rsidP="00173A34">
            <w:pPr>
              <w:pStyle w:val="Sub-branch"/>
              <w:spacing w:before="40" w:after="120"/>
              <w:jc w:val="center"/>
              <w:rPr>
                <w:caps w:val="0"/>
                <w:w w:val="100"/>
                <w:sz w:val="32"/>
                <w:szCs w:val="32"/>
              </w:rPr>
            </w:pPr>
            <w:r w:rsidRPr="00CC3A28">
              <w:rPr>
                <w:caps w:val="0"/>
                <w:w w:val="100"/>
                <w:sz w:val="32"/>
                <w:szCs w:val="32"/>
              </w:rPr>
              <w:t xml:space="preserve">                  </w:t>
            </w:r>
          </w:p>
          <w:p w14:paraId="3DBE4A6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483923D7" w14:textId="77777777" w:rsidR="004966A3" w:rsidRDefault="0021438D">
            <w:pPr>
              <w:pStyle w:val="Logo"/>
            </w:pPr>
            <w:r>
              <w:rPr>
                <w:noProof/>
                <w:lang w:eastAsia="en-AU"/>
              </w:rPr>
              <w:drawing>
                <wp:inline distT="0" distB="0" distL="0" distR="0" wp14:anchorId="3DCF595C" wp14:editId="2812BCAB">
                  <wp:extent cx="1113930" cy="1038225"/>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121474" cy="1045256"/>
                          </a:xfrm>
                          <a:prstGeom prst="rect">
                            <a:avLst/>
                          </a:prstGeom>
                          <a:noFill/>
                          <a:ln w="9525">
                            <a:noFill/>
                            <a:miter lim="800000"/>
                            <a:headEnd/>
                            <a:tailEnd/>
                          </a:ln>
                        </pic:spPr>
                      </pic:pic>
                    </a:graphicData>
                  </a:graphic>
                </wp:inline>
              </w:drawing>
            </w:r>
          </w:p>
        </w:tc>
      </w:tr>
      <w:tr w:rsidR="00FE2917" w14:paraId="61F99FD0" w14:textId="77777777" w:rsidTr="005713D6">
        <w:tblPrEx>
          <w:tblLook w:val="01E0" w:firstRow="1" w:lastRow="1" w:firstColumn="1" w:lastColumn="1" w:noHBand="0" w:noVBand="0"/>
        </w:tblPrEx>
        <w:tc>
          <w:tcPr>
            <w:tcW w:w="5000" w:type="pct"/>
            <w:gridSpan w:val="2"/>
          </w:tcPr>
          <w:p w14:paraId="2AAA4A85"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074E40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695"/>
        <w:gridCol w:w="2716"/>
      </w:tblGrid>
      <w:tr w:rsidR="005713D6" w14:paraId="3283CAF3" w14:textId="77777777" w:rsidTr="00173A34">
        <w:tc>
          <w:tcPr>
            <w:tcW w:w="2199" w:type="pct"/>
            <w:tcBorders>
              <w:top w:val="single" w:sz="4" w:space="0" w:color="auto"/>
              <w:left w:val="single" w:sz="4" w:space="0" w:color="auto"/>
              <w:bottom w:val="single" w:sz="4" w:space="0" w:color="auto"/>
              <w:right w:val="single" w:sz="4" w:space="0" w:color="auto"/>
            </w:tcBorders>
          </w:tcPr>
          <w:p w14:paraId="5F5D995E" w14:textId="1DDD02D5" w:rsidR="005713D6" w:rsidRPr="001469C6" w:rsidRDefault="005713D6" w:rsidP="005713D6">
            <w:pPr>
              <w:pStyle w:val="InformationBlockfillin"/>
              <w:tabs>
                <w:tab w:val="left" w:pos="425"/>
                <w:tab w:val="left" w:pos="8280"/>
                <w:tab w:val="left" w:pos="9180"/>
              </w:tabs>
              <w:spacing w:line="300" w:lineRule="exact"/>
              <w:rPr>
                <w:rFonts w:cs="Arial"/>
                <w:b/>
                <w:iCs/>
                <w:kern w:val="36"/>
                <w:lang w:eastAsia="en-AU"/>
              </w:rPr>
            </w:pPr>
            <w:r w:rsidRPr="001469C6">
              <w:rPr>
                <w:rStyle w:val="InformationBlockChar"/>
              </w:rPr>
              <w:t xml:space="preserve">Position Title: </w:t>
            </w:r>
            <w:r w:rsidR="00FE5711" w:rsidRPr="001469C6">
              <w:rPr>
                <w:rStyle w:val="InformationBlockChar"/>
                <w:b w:val="0"/>
                <w:bCs/>
              </w:rPr>
              <w:t>Executive Assistant</w:t>
            </w:r>
            <w:r w:rsidR="001469C6" w:rsidRPr="001469C6">
              <w:rPr>
                <w:rStyle w:val="InformationBlockChar"/>
                <w:b w:val="0"/>
                <w:bCs/>
              </w:rPr>
              <w:t xml:space="preserve"> </w:t>
            </w:r>
            <w:r w:rsidR="00FE5711" w:rsidRPr="001469C6">
              <w:rPr>
                <w:rStyle w:val="InformationBlockChar"/>
                <w:b w:val="0"/>
                <w:bCs/>
              </w:rPr>
              <w:t>-</w:t>
            </w:r>
            <w:r w:rsidR="001469C6" w:rsidRPr="001469C6">
              <w:rPr>
                <w:rStyle w:val="InformationBlockChar"/>
                <w:b w:val="0"/>
                <w:bCs/>
              </w:rPr>
              <w:t xml:space="preserve"> </w:t>
            </w:r>
            <w:r w:rsidR="00FE5711" w:rsidRPr="001469C6">
              <w:rPr>
                <w:rFonts w:cs="Arial"/>
                <w:iCs/>
                <w:kern w:val="36"/>
                <w:lang w:eastAsia="en-AU"/>
              </w:rPr>
              <w:t>Nursing and Midwifery Excellence</w:t>
            </w:r>
            <w:r w:rsidR="001469C6">
              <w:rPr>
                <w:rFonts w:cs="Arial"/>
                <w:iCs/>
                <w:kern w:val="36"/>
                <w:lang w:eastAsia="en-AU"/>
              </w:rPr>
              <w:t xml:space="preserve"> Unit</w:t>
            </w:r>
            <w:r w:rsidR="00A93086" w:rsidRPr="001469C6">
              <w:rPr>
                <w:rFonts w:cs="Arial"/>
                <w:iCs/>
                <w:kern w:val="36"/>
                <w:lang w:eastAsia="en-AU"/>
              </w:rPr>
              <w:fldChar w:fldCharType="begin"/>
            </w:r>
            <w:r w:rsidR="00A93086" w:rsidRPr="001469C6">
              <w:rPr>
                <w:rFonts w:cs="Arial"/>
                <w:iCs/>
                <w:kern w:val="36"/>
                <w:lang w:eastAsia="en-AU"/>
              </w:rPr>
              <w:instrText xml:space="preserve"> DOCPROPERTY  PositionTitle  \* MERGEFORMAT </w:instrText>
            </w:r>
            <w:r w:rsidR="00A93086" w:rsidRPr="001469C6">
              <w:rPr>
                <w:rFonts w:cs="Arial"/>
                <w:iCs/>
                <w:kern w:val="36"/>
                <w:lang w:eastAsia="en-AU"/>
              </w:rPr>
              <w:fldChar w:fldCharType="end"/>
            </w:r>
          </w:p>
        </w:tc>
        <w:tc>
          <w:tcPr>
            <w:tcW w:w="1395" w:type="pct"/>
            <w:tcBorders>
              <w:top w:val="single" w:sz="4" w:space="0" w:color="auto"/>
              <w:left w:val="single" w:sz="4" w:space="0" w:color="auto"/>
              <w:bottom w:val="single" w:sz="4" w:space="0" w:color="auto"/>
              <w:right w:val="single" w:sz="4" w:space="0" w:color="auto"/>
            </w:tcBorders>
          </w:tcPr>
          <w:p w14:paraId="24D19267" w14:textId="61808007" w:rsidR="005713D6" w:rsidRPr="00173A34" w:rsidRDefault="005713D6" w:rsidP="005713D6">
            <w:pPr>
              <w:pStyle w:val="InformationBlockfillin"/>
              <w:tabs>
                <w:tab w:val="left" w:pos="425"/>
                <w:tab w:val="left" w:pos="8280"/>
                <w:tab w:val="left" w:pos="9180"/>
              </w:tabs>
              <w:spacing w:line="300" w:lineRule="exact"/>
              <w:rPr>
                <w:rFonts w:cs="Arial"/>
                <w:b/>
                <w:iCs/>
                <w:kern w:val="36"/>
                <w:lang w:eastAsia="en-AU"/>
              </w:rPr>
            </w:pPr>
            <w:r w:rsidRPr="001469C6">
              <w:rPr>
                <w:rFonts w:cs="Arial"/>
                <w:b/>
                <w:iCs/>
                <w:kern w:val="36"/>
                <w:lang w:eastAsia="en-AU"/>
              </w:rPr>
              <w:t xml:space="preserve">Position Number: </w:t>
            </w:r>
            <w:r w:rsidR="001469C6" w:rsidRPr="001469C6">
              <w:rPr>
                <w:rFonts w:cs="Arial"/>
                <w:iCs/>
                <w:kern w:val="36"/>
                <w:lang w:eastAsia="en-AU"/>
              </w:rPr>
              <w:t>525184</w:t>
            </w:r>
            <w:r w:rsidR="00A93086" w:rsidRPr="001469C6">
              <w:rPr>
                <w:rFonts w:cs="Arial"/>
                <w:iCs/>
                <w:kern w:val="36"/>
                <w:lang w:eastAsia="en-AU"/>
              </w:rPr>
              <w:fldChar w:fldCharType="begin"/>
            </w:r>
            <w:r w:rsidR="00A93086" w:rsidRPr="001469C6">
              <w:rPr>
                <w:rFonts w:cs="Arial"/>
                <w:iCs/>
                <w:kern w:val="36"/>
                <w:lang w:eastAsia="en-AU"/>
              </w:rPr>
              <w:instrText xml:space="preserve"> DOCPROPERTY  PositionNumber  \* MERGEFORMAT </w:instrText>
            </w:r>
            <w:r w:rsidR="00A93086" w:rsidRPr="001469C6">
              <w:rPr>
                <w:rFonts w:cs="Arial"/>
                <w:iCs/>
                <w:kern w:val="36"/>
                <w:lang w:eastAsia="en-AU"/>
              </w:rPr>
              <w:fldChar w:fldCharType="end"/>
            </w:r>
          </w:p>
        </w:tc>
        <w:tc>
          <w:tcPr>
            <w:tcW w:w="1407" w:type="pct"/>
            <w:tcBorders>
              <w:top w:val="single" w:sz="4" w:space="0" w:color="auto"/>
              <w:left w:val="single" w:sz="4" w:space="0" w:color="auto"/>
              <w:bottom w:val="single" w:sz="4" w:space="0" w:color="auto"/>
              <w:right w:val="single" w:sz="4" w:space="0" w:color="auto"/>
            </w:tcBorders>
          </w:tcPr>
          <w:p w14:paraId="16EA386F" w14:textId="53C4B687" w:rsidR="005713D6" w:rsidRPr="00173A34" w:rsidRDefault="005713D6" w:rsidP="005713D6">
            <w:pPr>
              <w:pStyle w:val="InformationBlockfillin"/>
              <w:tabs>
                <w:tab w:val="left" w:pos="425"/>
                <w:tab w:val="left" w:pos="8280"/>
                <w:tab w:val="left" w:pos="9180"/>
              </w:tabs>
              <w:spacing w:line="300" w:lineRule="exact"/>
              <w:rPr>
                <w:b/>
              </w:rPr>
            </w:pPr>
            <w:r w:rsidRPr="001469C6">
              <w:rPr>
                <w:rStyle w:val="InformationBlockChar"/>
              </w:rPr>
              <w:t xml:space="preserve">Effective Date: </w:t>
            </w:r>
            <w:r w:rsidR="00173A34">
              <w:rPr>
                <w:rStyle w:val="InformationBlockChar"/>
              </w:rPr>
              <w:t xml:space="preserve">        </w:t>
            </w:r>
            <w:r w:rsidR="001469C6" w:rsidRPr="001469C6">
              <w:rPr>
                <w:rFonts w:cs="Arial"/>
                <w:kern w:val="36"/>
                <w:lang w:eastAsia="en-AU"/>
              </w:rPr>
              <w:t>August 2020</w:t>
            </w:r>
          </w:p>
        </w:tc>
      </w:tr>
      <w:tr w:rsidR="005713D6" w:rsidRPr="00173A34" w14:paraId="747A434C"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050D90D7" w14:textId="56B01C87" w:rsidR="005713D6" w:rsidRPr="00173A34" w:rsidRDefault="00570BAB" w:rsidP="00173A34">
            <w:pPr>
              <w:pStyle w:val="InformationBlockfillin"/>
              <w:tabs>
                <w:tab w:val="left" w:pos="425"/>
                <w:tab w:val="left" w:pos="1800"/>
                <w:tab w:val="left" w:pos="5040"/>
                <w:tab w:val="left" w:pos="8280"/>
                <w:tab w:val="left" w:pos="9180"/>
              </w:tabs>
              <w:spacing w:line="300" w:lineRule="exact"/>
              <w:rPr>
                <w:rStyle w:val="InformationBlockChar"/>
                <w:b w:val="0"/>
                <w:bCs/>
              </w:rPr>
            </w:pPr>
            <w:r w:rsidRPr="001469C6">
              <w:rPr>
                <w:rStyle w:val="InformationBlockChar"/>
              </w:rPr>
              <w:t xml:space="preserve">Group: </w:t>
            </w:r>
            <w:r w:rsidR="001469C6" w:rsidRPr="00173A34">
              <w:rPr>
                <w:rStyle w:val="InformationBlockChar"/>
                <w:b w:val="0"/>
                <w:bCs/>
              </w:rPr>
              <w:t xml:space="preserve">Hospitals South </w:t>
            </w:r>
            <w:r w:rsidR="00173A34">
              <w:rPr>
                <w:rStyle w:val="InformationBlockChar"/>
                <w:b w:val="0"/>
                <w:bCs/>
              </w:rPr>
              <w:t>–</w:t>
            </w:r>
            <w:r w:rsidR="001469C6" w:rsidRPr="00173A34">
              <w:rPr>
                <w:rStyle w:val="InformationBlockChar"/>
                <w:b w:val="0"/>
                <w:bCs/>
              </w:rPr>
              <w:t xml:space="preserve"> Office of the Executive Director of Nursing</w:t>
            </w:r>
          </w:p>
        </w:tc>
      </w:tr>
      <w:tr w:rsidR="005713D6" w14:paraId="06A2F245" w14:textId="77777777" w:rsidTr="00173A34">
        <w:tc>
          <w:tcPr>
            <w:tcW w:w="2199" w:type="pct"/>
            <w:tcBorders>
              <w:top w:val="single" w:sz="4" w:space="0" w:color="auto"/>
              <w:left w:val="single" w:sz="4" w:space="0" w:color="auto"/>
              <w:bottom w:val="single" w:sz="4" w:space="0" w:color="auto"/>
              <w:right w:val="single" w:sz="4" w:space="0" w:color="auto"/>
            </w:tcBorders>
          </w:tcPr>
          <w:p w14:paraId="1174A77C" w14:textId="28601EBD" w:rsidR="005713D6" w:rsidRPr="001469C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1469C6">
              <w:rPr>
                <w:rStyle w:val="InformationBlockChar"/>
              </w:rPr>
              <w:t xml:space="preserve">Section: </w:t>
            </w:r>
            <w:r w:rsidR="001469C6" w:rsidRPr="001469C6">
              <w:rPr>
                <w:spacing w:val="-1"/>
              </w:rPr>
              <w:t>Southern Hospitals</w:t>
            </w:r>
            <w:r w:rsidR="00A93086" w:rsidRPr="001469C6">
              <w:rPr>
                <w:rStyle w:val="InformationBlockChar"/>
                <w:b w:val="0"/>
              </w:rPr>
              <w:fldChar w:fldCharType="begin"/>
            </w:r>
            <w:r w:rsidR="00A93086" w:rsidRPr="001469C6">
              <w:rPr>
                <w:rStyle w:val="InformationBlockChar"/>
                <w:b w:val="0"/>
              </w:rPr>
              <w:instrText xml:space="preserve"> DOCPROPERTY  Section  \* MERGEFORMAT </w:instrText>
            </w:r>
            <w:r w:rsidR="00A93086" w:rsidRPr="001469C6">
              <w:rPr>
                <w:rStyle w:val="InformationBlockChar"/>
                <w:b w:val="0"/>
              </w:rPr>
              <w:fldChar w:fldCharType="end"/>
            </w:r>
          </w:p>
        </w:tc>
        <w:tc>
          <w:tcPr>
            <w:tcW w:w="2801" w:type="pct"/>
            <w:gridSpan w:val="2"/>
            <w:tcBorders>
              <w:top w:val="single" w:sz="4" w:space="0" w:color="auto"/>
              <w:left w:val="single" w:sz="4" w:space="0" w:color="auto"/>
              <w:bottom w:val="single" w:sz="4" w:space="0" w:color="auto"/>
              <w:right w:val="single" w:sz="4" w:space="0" w:color="auto"/>
            </w:tcBorders>
          </w:tcPr>
          <w:p w14:paraId="4349F0AD" w14:textId="1C1EA505" w:rsidR="005713D6" w:rsidRPr="001469C6" w:rsidRDefault="005713D6" w:rsidP="005713D6">
            <w:pPr>
              <w:pStyle w:val="InformationBlockfillin"/>
              <w:tabs>
                <w:tab w:val="left" w:pos="425"/>
                <w:tab w:val="left" w:pos="8280"/>
                <w:tab w:val="left" w:pos="9180"/>
              </w:tabs>
              <w:spacing w:line="300" w:lineRule="exact"/>
              <w:rPr>
                <w:rFonts w:cs="Arial"/>
                <w:iCs/>
                <w:kern w:val="36"/>
                <w:lang w:eastAsia="en-AU"/>
              </w:rPr>
            </w:pPr>
            <w:r w:rsidRPr="001469C6">
              <w:rPr>
                <w:rFonts w:cs="Arial"/>
                <w:b/>
                <w:iCs/>
                <w:kern w:val="36"/>
                <w:lang w:eastAsia="en-AU"/>
              </w:rPr>
              <w:t xml:space="preserve">Location: </w:t>
            </w:r>
            <w:r w:rsidR="00FE5711" w:rsidRPr="001469C6">
              <w:rPr>
                <w:rFonts w:cs="Arial"/>
                <w:bCs/>
                <w:iCs/>
                <w:kern w:val="36"/>
                <w:lang w:eastAsia="en-AU"/>
              </w:rPr>
              <w:t>South</w:t>
            </w:r>
            <w:r w:rsidR="00A93086" w:rsidRPr="001469C6">
              <w:rPr>
                <w:rFonts w:cs="Arial"/>
                <w:iCs/>
                <w:kern w:val="36"/>
                <w:lang w:eastAsia="en-AU"/>
              </w:rPr>
              <w:fldChar w:fldCharType="begin"/>
            </w:r>
            <w:r w:rsidR="00A93086" w:rsidRPr="001469C6">
              <w:rPr>
                <w:rFonts w:cs="Arial"/>
                <w:iCs/>
                <w:kern w:val="36"/>
                <w:lang w:eastAsia="en-AU"/>
              </w:rPr>
              <w:instrText xml:space="preserve"> DOCPROPERTY  Location  \* MERGEFORMAT </w:instrText>
            </w:r>
            <w:r w:rsidR="00A93086" w:rsidRPr="001469C6">
              <w:rPr>
                <w:rFonts w:cs="Arial"/>
                <w:iCs/>
                <w:kern w:val="36"/>
                <w:lang w:eastAsia="en-AU"/>
              </w:rPr>
              <w:fldChar w:fldCharType="end"/>
            </w:r>
          </w:p>
        </w:tc>
      </w:tr>
      <w:tr w:rsidR="005713D6" w14:paraId="5B750A55" w14:textId="77777777" w:rsidTr="00173A34">
        <w:tc>
          <w:tcPr>
            <w:tcW w:w="2199" w:type="pct"/>
            <w:vMerge w:val="restart"/>
            <w:tcBorders>
              <w:top w:val="single" w:sz="4" w:space="0" w:color="auto"/>
              <w:left w:val="single" w:sz="4" w:space="0" w:color="auto"/>
              <w:right w:val="single" w:sz="4" w:space="0" w:color="auto"/>
            </w:tcBorders>
          </w:tcPr>
          <w:p w14:paraId="188F1114" w14:textId="3C270BD8" w:rsidR="005713D6" w:rsidRPr="001469C6" w:rsidRDefault="00570BAB"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1469C6">
              <w:rPr>
                <w:rStyle w:val="InformationBlockChar"/>
                <w:bCs/>
              </w:rPr>
              <w:t xml:space="preserve">Award: </w:t>
            </w:r>
            <w:r w:rsidRPr="001469C6">
              <w:rPr>
                <w:rStyle w:val="InformationBlockChar"/>
                <w:b w:val="0"/>
              </w:rPr>
              <w:t>Health and Human Services (Tasmanian State Service)</w:t>
            </w:r>
            <w:r w:rsidR="00A93086" w:rsidRPr="001469C6">
              <w:rPr>
                <w:rStyle w:val="InformationBlockChar"/>
                <w:b w:val="0"/>
              </w:rPr>
              <w:fldChar w:fldCharType="begin"/>
            </w:r>
            <w:r w:rsidR="00A93086" w:rsidRPr="001469C6">
              <w:rPr>
                <w:rStyle w:val="InformationBlockChar"/>
                <w:b w:val="0"/>
              </w:rPr>
              <w:instrText xml:space="preserve"> DOCPROPERTY  Award  \* MERGEFORMAT </w:instrText>
            </w:r>
            <w:r w:rsidR="00A93086" w:rsidRPr="001469C6">
              <w:rPr>
                <w:rStyle w:val="InformationBlockChar"/>
                <w:b w:val="0"/>
              </w:rPr>
              <w:fldChar w:fldCharType="end"/>
            </w:r>
          </w:p>
        </w:tc>
        <w:tc>
          <w:tcPr>
            <w:tcW w:w="2801" w:type="pct"/>
            <w:gridSpan w:val="2"/>
            <w:tcBorders>
              <w:top w:val="single" w:sz="4" w:space="0" w:color="auto"/>
              <w:left w:val="single" w:sz="4" w:space="0" w:color="auto"/>
              <w:bottom w:val="single" w:sz="4" w:space="0" w:color="auto"/>
              <w:right w:val="single" w:sz="4" w:space="0" w:color="auto"/>
            </w:tcBorders>
          </w:tcPr>
          <w:p w14:paraId="438EE1B1" w14:textId="702A2B12" w:rsidR="005713D6" w:rsidRPr="001469C6" w:rsidRDefault="005713D6" w:rsidP="005713D6">
            <w:pPr>
              <w:pStyle w:val="InformationBlockfillin"/>
              <w:tabs>
                <w:tab w:val="left" w:pos="425"/>
                <w:tab w:val="left" w:pos="8280"/>
                <w:tab w:val="left" w:pos="9180"/>
              </w:tabs>
              <w:spacing w:line="300" w:lineRule="exact"/>
              <w:rPr>
                <w:rFonts w:cs="Arial"/>
                <w:iCs/>
                <w:kern w:val="36"/>
                <w:lang w:eastAsia="en-AU"/>
              </w:rPr>
            </w:pPr>
            <w:r w:rsidRPr="001469C6">
              <w:rPr>
                <w:rFonts w:cs="Arial"/>
                <w:b/>
                <w:iCs/>
                <w:kern w:val="36"/>
                <w:lang w:eastAsia="en-AU"/>
              </w:rPr>
              <w:t xml:space="preserve">Position Status: </w:t>
            </w:r>
            <w:r w:rsidR="00570BAB" w:rsidRPr="001469C6">
              <w:rPr>
                <w:rFonts w:cs="Arial"/>
                <w:bCs/>
                <w:iCs/>
                <w:kern w:val="36"/>
                <w:lang w:eastAsia="en-AU"/>
              </w:rPr>
              <w:t>P</w:t>
            </w:r>
            <w:r w:rsidR="00570BAB" w:rsidRPr="001469C6">
              <w:rPr>
                <w:rFonts w:cs="Arial"/>
                <w:iCs/>
                <w:kern w:val="36"/>
                <w:lang w:eastAsia="en-AU"/>
              </w:rPr>
              <w:t>ermanent</w:t>
            </w:r>
            <w:r w:rsidR="00A93086" w:rsidRPr="001469C6">
              <w:rPr>
                <w:rFonts w:cs="Arial"/>
                <w:iCs/>
                <w:kern w:val="36"/>
                <w:lang w:eastAsia="en-AU"/>
              </w:rPr>
              <w:fldChar w:fldCharType="begin"/>
            </w:r>
            <w:r w:rsidR="00A93086" w:rsidRPr="001469C6">
              <w:rPr>
                <w:rFonts w:cs="Arial"/>
                <w:iCs/>
                <w:kern w:val="36"/>
                <w:lang w:eastAsia="en-AU"/>
              </w:rPr>
              <w:instrText xml:space="preserve"> DOCPROPERTY  PositionStatus  \* MERGEFORMAT </w:instrText>
            </w:r>
            <w:r w:rsidR="00A93086" w:rsidRPr="001469C6">
              <w:rPr>
                <w:rFonts w:cs="Arial"/>
                <w:iCs/>
                <w:kern w:val="36"/>
                <w:lang w:eastAsia="en-AU"/>
              </w:rPr>
              <w:fldChar w:fldCharType="end"/>
            </w:r>
          </w:p>
        </w:tc>
      </w:tr>
      <w:tr w:rsidR="005713D6" w14:paraId="17144A69" w14:textId="77777777" w:rsidTr="00173A34">
        <w:tc>
          <w:tcPr>
            <w:tcW w:w="2199" w:type="pct"/>
            <w:vMerge/>
            <w:tcBorders>
              <w:left w:val="single" w:sz="4" w:space="0" w:color="auto"/>
              <w:bottom w:val="single" w:sz="4" w:space="0" w:color="auto"/>
              <w:right w:val="single" w:sz="4" w:space="0" w:color="auto"/>
            </w:tcBorders>
          </w:tcPr>
          <w:p w14:paraId="341A4036" w14:textId="77777777" w:rsidR="005713D6" w:rsidRPr="001469C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1" w:type="pct"/>
            <w:gridSpan w:val="2"/>
            <w:tcBorders>
              <w:top w:val="single" w:sz="4" w:space="0" w:color="auto"/>
              <w:left w:val="single" w:sz="4" w:space="0" w:color="auto"/>
              <w:bottom w:val="single" w:sz="4" w:space="0" w:color="auto"/>
              <w:right w:val="single" w:sz="4" w:space="0" w:color="auto"/>
            </w:tcBorders>
          </w:tcPr>
          <w:p w14:paraId="6E1E2F95" w14:textId="0BF2DA0C" w:rsidR="005713D6" w:rsidRPr="001469C6" w:rsidRDefault="005713D6" w:rsidP="005713D6">
            <w:pPr>
              <w:pStyle w:val="InformationBlockfillin"/>
              <w:tabs>
                <w:tab w:val="left" w:pos="425"/>
                <w:tab w:val="left" w:pos="8280"/>
                <w:tab w:val="left" w:pos="9180"/>
              </w:tabs>
              <w:spacing w:line="300" w:lineRule="exact"/>
              <w:rPr>
                <w:rFonts w:cs="Arial"/>
                <w:iCs/>
                <w:kern w:val="36"/>
                <w:lang w:eastAsia="en-AU"/>
              </w:rPr>
            </w:pPr>
            <w:r w:rsidRPr="001469C6">
              <w:rPr>
                <w:rFonts w:cs="Arial"/>
                <w:b/>
                <w:iCs/>
                <w:kern w:val="36"/>
                <w:lang w:eastAsia="en-AU"/>
              </w:rPr>
              <w:t xml:space="preserve">Position Type: </w:t>
            </w:r>
            <w:r w:rsidR="00FE5711" w:rsidRPr="001469C6">
              <w:rPr>
                <w:rFonts w:cs="Arial"/>
                <w:bCs/>
                <w:iCs/>
                <w:kern w:val="36"/>
                <w:lang w:eastAsia="en-AU"/>
              </w:rPr>
              <w:t>F</w:t>
            </w:r>
            <w:r w:rsidR="00FE5711" w:rsidRPr="001469C6">
              <w:rPr>
                <w:rFonts w:cs="Arial"/>
                <w:iCs/>
                <w:kern w:val="36"/>
                <w:lang w:eastAsia="en-AU"/>
              </w:rPr>
              <w:t xml:space="preserve">ull </w:t>
            </w:r>
            <w:r w:rsidR="001469C6">
              <w:rPr>
                <w:rFonts w:cs="Arial"/>
                <w:iCs/>
                <w:kern w:val="36"/>
                <w:lang w:eastAsia="en-AU"/>
              </w:rPr>
              <w:t>T</w:t>
            </w:r>
            <w:r w:rsidR="00FE5711" w:rsidRPr="001469C6">
              <w:rPr>
                <w:rFonts w:cs="Arial"/>
                <w:iCs/>
                <w:kern w:val="36"/>
                <w:lang w:eastAsia="en-AU"/>
              </w:rPr>
              <w:t>ime</w:t>
            </w:r>
            <w:r w:rsidR="00A93086" w:rsidRPr="001469C6">
              <w:rPr>
                <w:rFonts w:cs="Arial"/>
                <w:iCs/>
                <w:kern w:val="36"/>
                <w:lang w:eastAsia="en-AU"/>
              </w:rPr>
              <w:fldChar w:fldCharType="begin"/>
            </w:r>
            <w:r w:rsidR="00A93086" w:rsidRPr="001469C6">
              <w:rPr>
                <w:rFonts w:cs="Arial"/>
                <w:iCs/>
                <w:kern w:val="36"/>
                <w:lang w:eastAsia="en-AU"/>
              </w:rPr>
              <w:instrText xml:space="preserve"> DOCPROPERTY  PositionType  \* MERGEFORMAT </w:instrText>
            </w:r>
            <w:r w:rsidR="00A93086" w:rsidRPr="001469C6">
              <w:rPr>
                <w:rFonts w:cs="Arial"/>
                <w:iCs/>
                <w:kern w:val="36"/>
                <w:lang w:eastAsia="en-AU"/>
              </w:rPr>
              <w:fldChar w:fldCharType="end"/>
            </w:r>
          </w:p>
        </w:tc>
      </w:tr>
      <w:tr w:rsidR="005713D6" w14:paraId="569223E2" w14:textId="77777777" w:rsidTr="00173A34">
        <w:tc>
          <w:tcPr>
            <w:tcW w:w="2199" w:type="pct"/>
            <w:tcBorders>
              <w:top w:val="single" w:sz="4" w:space="0" w:color="auto"/>
              <w:left w:val="single" w:sz="4" w:space="0" w:color="auto"/>
              <w:bottom w:val="single" w:sz="4" w:space="0" w:color="auto"/>
              <w:right w:val="single" w:sz="4" w:space="0" w:color="auto"/>
            </w:tcBorders>
          </w:tcPr>
          <w:p w14:paraId="00776B8D" w14:textId="69EFC4A5" w:rsidR="005713D6" w:rsidRPr="001469C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1469C6">
              <w:rPr>
                <w:rStyle w:val="InformationBlockChar"/>
              </w:rPr>
              <w:t>Level</w:t>
            </w:r>
            <w:r w:rsidR="005713D6" w:rsidRPr="001469C6">
              <w:rPr>
                <w:rStyle w:val="InformationBlockChar"/>
              </w:rPr>
              <w:t>:</w:t>
            </w:r>
            <w:r w:rsidR="005713D6" w:rsidRPr="001469C6">
              <w:rPr>
                <w:rStyle w:val="InformationBlockChar"/>
                <w:b w:val="0"/>
                <w:bCs/>
              </w:rPr>
              <w:t xml:space="preserve"> </w:t>
            </w:r>
            <w:r w:rsidR="00FE5711" w:rsidRPr="001469C6">
              <w:rPr>
                <w:rStyle w:val="InformationBlockChar"/>
                <w:b w:val="0"/>
                <w:bCs/>
              </w:rPr>
              <w:t>Band 3</w:t>
            </w:r>
            <w:r w:rsidR="00A93086" w:rsidRPr="001469C6">
              <w:rPr>
                <w:rStyle w:val="InformationBlockChar"/>
                <w:b w:val="0"/>
              </w:rPr>
              <w:fldChar w:fldCharType="begin"/>
            </w:r>
            <w:r w:rsidR="00A93086" w:rsidRPr="001469C6">
              <w:rPr>
                <w:rStyle w:val="InformationBlockChar"/>
                <w:b w:val="0"/>
              </w:rPr>
              <w:instrText xml:space="preserve"> DOCPROPERTY  Classification  \* MERGEFORMAT </w:instrText>
            </w:r>
            <w:r w:rsidR="00A93086" w:rsidRPr="001469C6">
              <w:rPr>
                <w:rStyle w:val="InformationBlockChar"/>
                <w:b w:val="0"/>
              </w:rPr>
              <w:fldChar w:fldCharType="end"/>
            </w:r>
          </w:p>
        </w:tc>
        <w:tc>
          <w:tcPr>
            <w:tcW w:w="2801" w:type="pct"/>
            <w:gridSpan w:val="2"/>
            <w:tcBorders>
              <w:top w:val="single" w:sz="4" w:space="0" w:color="auto"/>
              <w:left w:val="single" w:sz="4" w:space="0" w:color="auto"/>
              <w:bottom w:val="single" w:sz="4" w:space="0" w:color="auto"/>
              <w:right w:val="single" w:sz="4" w:space="0" w:color="auto"/>
            </w:tcBorders>
          </w:tcPr>
          <w:p w14:paraId="0065A5B1" w14:textId="7B13BF21" w:rsidR="005713D6" w:rsidRPr="001469C6" w:rsidRDefault="00044CB7" w:rsidP="005713D6">
            <w:pPr>
              <w:pStyle w:val="InformationBlockfillin"/>
              <w:tabs>
                <w:tab w:val="left" w:pos="425"/>
                <w:tab w:val="left" w:pos="8280"/>
                <w:tab w:val="left" w:pos="9180"/>
              </w:tabs>
              <w:spacing w:line="300" w:lineRule="exact"/>
              <w:rPr>
                <w:rFonts w:cs="Arial"/>
                <w:iCs/>
                <w:kern w:val="36"/>
                <w:lang w:eastAsia="en-AU"/>
              </w:rPr>
            </w:pPr>
            <w:r w:rsidRPr="001469C6">
              <w:rPr>
                <w:rFonts w:cs="Arial"/>
                <w:b/>
                <w:iCs/>
                <w:kern w:val="36"/>
                <w:lang w:eastAsia="en-AU"/>
              </w:rPr>
              <w:t>Classification</w:t>
            </w:r>
            <w:r w:rsidR="005713D6" w:rsidRPr="001469C6">
              <w:rPr>
                <w:rFonts w:cs="Arial"/>
                <w:b/>
                <w:iCs/>
                <w:kern w:val="36"/>
                <w:lang w:eastAsia="en-AU"/>
              </w:rPr>
              <w:t>:</w:t>
            </w:r>
            <w:r w:rsidR="005713D6" w:rsidRPr="001469C6">
              <w:rPr>
                <w:rFonts w:cs="Arial"/>
                <w:iCs/>
                <w:kern w:val="36"/>
                <w:lang w:eastAsia="en-AU"/>
              </w:rPr>
              <w:t xml:space="preserve"> </w:t>
            </w:r>
            <w:r w:rsidR="001469C6" w:rsidRPr="001469C6">
              <w:rPr>
                <w:rFonts w:cs="Arial"/>
                <w:kern w:val="36"/>
                <w:lang w:eastAsia="en-AU"/>
              </w:rPr>
              <w:t>General Stream</w:t>
            </w:r>
          </w:p>
        </w:tc>
      </w:tr>
      <w:tr w:rsidR="00077A9F" w14:paraId="66112835"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F777D5D" w14:textId="747FA555" w:rsidR="00077A9F" w:rsidRPr="001469C6" w:rsidRDefault="00077A9F" w:rsidP="005713D6">
            <w:pPr>
              <w:pStyle w:val="InformationBlockfillin"/>
              <w:tabs>
                <w:tab w:val="left" w:pos="425"/>
                <w:tab w:val="left" w:pos="8280"/>
                <w:tab w:val="left" w:pos="9180"/>
              </w:tabs>
              <w:spacing w:line="300" w:lineRule="exact"/>
              <w:rPr>
                <w:rFonts w:cs="Arial"/>
                <w:iCs/>
                <w:kern w:val="36"/>
                <w:lang w:eastAsia="en-AU"/>
              </w:rPr>
            </w:pPr>
            <w:r w:rsidRPr="001469C6">
              <w:rPr>
                <w:rStyle w:val="InformationBlockChar"/>
              </w:rPr>
              <w:t xml:space="preserve">Reports To: </w:t>
            </w:r>
            <w:r w:rsidR="00FE5711" w:rsidRPr="001469C6">
              <w:rPr>
                <w:rStyle w:val="InformationBlockChar"/>
                <w:b w:val="0"/>
                <w:bCs/>
              </w:rPr>
              <w:t>Nurs</w:t>
            </w:r>
            <w:r w:rsidR="0083021C" w:rsidRPr="0083021C">
              <w:rPr>
                <w:rStyle w:val="InformationBlockChar"/>
                <w:b w:val="0"/>
                <w:bCs/>
              </w:rPr>
              <w:t>i</w:t>
            </w:r>
            <w:r w:rsidR="0083021C" w:rsidRPr="00CC3A28">
              <w:rPr>
                <w:rStyle w:val="InformationBlockChar"/>
                <w:b w:val="0"/>
                <w:bCs/>
              </w:rPr>
              <w:t>ng</w:t>
            </w:r>
            <w:r w:rsidR="00FE5711" w:rsidRPr="001469C6">
              <w:rPr>
                <w:rStyle w:val="InformationBlockChar"/>
                <w:b w:val="0"/>
                <w:bCs/>
              </w:rPr>
              <w:t xml:space="preserve"> Director</w:t>
            </w:r>
            <w:r w:rsidR="001469C6">
              <w:rPr>
                <w:rStyle w:val="InformationBlockChar"/>
                <w:b w:val="0"/>
                <w:bCs/>
              </w:rPr>
              <w:t xml:space="preserve"> </w:t>
            </w:r>
            <w:r w:rsidR="001469C6" w:rsidRPr="001469C6">
              <w:rPr>
                <w:rStyle w:val="InformationBlockChar"/>
                <w:b w:val="0"/>
              </w:rPr>
              <w:t>-</w:t>
            </w:r>
            <w:r w:rsidR="001469C6">
              <w:rPr>
                <w:rStyle w:val="InformationBlockChar"/>
                <w:bCs/>
              </w:rPr>
              <w:t xml:space="preserve"> </w:t>
            </w:r>
            <w:r w:rsidR="00FE5711" w:rsidRPr="001469C6">
              <w:rPr>
                <w:rStyle w:val="InformationBlockChar"/>
                <w:b w:val="0"/>
                <w:bCs/>
              </w:rPr>
              <w:t>Nursing and Midwifery Excellence</w:t>
            </w:r>
            <w:r w:rsidR="001469C6" w:rsidRPr="001469C6">
              <w:rPr>
                <w:rStyle w:val="InformationBlockChar"/>
                <w:b w:val="0"/>
              </w:rPr>
              <w:t xml:space="preserve"> (Magnet)</w:t>
            </w:r>
            <w:r w:rsidR="00A93086" w:rsidRPr="001469C6">
              <w:rPr>
                <w:rStyle w:val="InformationBlockChar"/>
                <w:b w:val="0"/>
              </w:rPr>
              <w:fldChar w:fldCharType="begin"/>
            </w:r>
            <w:r w:rsidR="00A93086" w:rsidRPr="001469C6">
              <w:rPr>
                <w:rStyle w:val="InformationBlockChar"/>
                <w:b w:val="0"/>
              </w:rPr>
              <w:instrText xml:space="preserve"> DOCPROPERTY  ReportsTo  \* MERGEFORMAT </w:instrText>
            </w:r>
            <w:r w:rsidR="00A93086" w:rsidRPr="001469C6">
              <w:rPr>
                <w:rStyle w:val="InformationBlockChar"/>
                <w:b w:val="0"/>
              </w:rPr>
              <w:fldChar w:fldCharType="end"/>
            </w:r>
          </w:p>
        </w:tc>
      </w:tr>
      <w:tr w:rsidR="00171E96" w14:paraId="3380AC8B" w14:textId="77777777" w:rsidTr="00173A34">
        <w:tc>
          <w:tcPr>
            <w:tcW w:w="2199" w:type="pct"/>
            <w:tcBorders>
              <w:top w:val="single" w:sz="4" w:space="0" w:color="auto"/>
              <w:left w:val="single" w:sz="4" w:space="0" w:color="auto"/>
              <w:bottom w:val="single" w:sz="4" w:space="0" w:color="auto"/>
              <w:right w:val="single" w:sz="4" w:space="0" w:color="auto"/>
            </w:tcBorders>
          </w:tcPr>
          <w:p w14:paraId="3B4067C6" w14:textId="469AD8E3" w:rsidR="00171E96" w:rsidRPr="001469C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1469C6">
              <w:rPr>
                <w:rStyle w:val="InformationBlockChar"/>
              </w:rPr>
              <w:t>Check Type:</w:t>
            </w:r>
            <w:r w:rsidRPr="001469C6">
              <w:rPr>
                <w:rStyle w:val="InformationBlockChar"/>
                <w:b w:val="0"/>
              </w:rPr>
              <w:t xml:space="preserve"> </w:t>
            </w:r>
            <w:r w:rsidR="00FE5711" w:rsidRPr="001469C6">
              <w:rPr>
                <w:rStyle w:val="InformationBlockChar"/>
                <w:b w:val="0"/>
              </w:rPr>
              <w:t>Annulled</w:t>
            </w:r>
            <w:r w:rsidR="00A93086" w:rsidRPr="001469C6">
              <w:rPr>
                <w:rStyle w:val="InformationBlockChar"/>
                <w:b w:val="0"/>
              </w:rPr>
              <w:fldChar w:fldCharType="begin"/>
            </w:r>
            <w:r w:rsidR="00A93086" w:rsidRPr="001469C6">
              <w:rPr>
                <w:rStyle w:val="InformationBlockChar"/>
                <w:b w:val="0"/>
              </w:rPr>
              <w:instrText xml:space="preserve"> DOCPROPERTY  CheckType  \* MERGEFORMAT </w:instrText>
            </w:r>
            <w:r w:rsidR="00A93086" w:rsidRPr="001469C6">
              <w:rPr>
                <w:rStyle w:val="InformationBlockChar"/>
                <w:b w:val="0"/>
              </w:rPr>
              <w:fldChar w:fldCharType="end"/>
            </w:r>
          </w:p>
        </w:tc>
        <w:tc>
          <w:tcPr>
            <w:tcW w:w="2801" w:type="pct"/>
            <w:gridSpan w:val="2"/>
            <w:tcBorders>
              <w:top w:val="single" w:sz="4" w:space="0" w:color="auto"/>
              <w:left w:val="single" w:sz="4" w:space="0" w:color="auto"/>
              <w:bottom w:val="single" w:sz="4" w:space="0" w:color="auto"/>
              <w:right w:val="single" w:sz="4" w:space="0" w:color="auto"/>
            </w:tcBorders>
          </w:tcPr>
          <w:p w14:paraId="30D9EDB3" w14:textId="577DF2C2" w:rsidR="00171E96" w:rsidRPr="001469C6" w:rsidRDefault="00171E96" w:rsidP="00F65B26">
            <w:pPr>
              <w:pStyle w:val="InformationBlockfillin"/>
              <w:tabs>
                <w:tab w:val="left" w:pos="425"/>
                <w:tab w:val="left" w:pos="8280"/>
                <w:tab w:val="left" w:pos="9180"/>
              </w:tabs>
              <w:spacing w:line="300" w:lineRule="exact"/>
              <w:rPr>
                <w:rFonts w:cs="Arial"/>
                <w:iCs/>
                <w:kern w:val="36"/>
                <w:lang w:eastAsia="en-AU"/>
              </w:rPr>
            </w:pPr>
            <w:r w:rsidRPr="001469C6">
              <w:rPr>
                <w:rStyle w:val="InformationBlockChar"/>
              </w:rPr>
              <w:t>Check Frequency:</w:t>
            </w:r>
            <w:r w:rsidRPr="001469C6">
              <w:rPr>
                <w:rStyle w:val="InformationBlockChar"/>
                <w:b w:val="0"/>
              </w:rPr>
              <w:t xml:space="preserve"> </w:t>
            </w:r>
            <w:r w:rsidR="00FE5711" w:rsidRPr="001469C6">
              <w:rPr>
                <w:rStyle w:val="InformationBlockChar"/>
                <w:b w:val="0"/>
              </w:rPr>
              <w:t>Pre-employment</w:t>
            </w:r>
            <w:r w:rsidR="00A93086" w:rsidRPr="001469C6">
              <w:rPr>
                <w:rStyle w:val="InformationBlockChar"/>
                <w:b w:val="0"/>
              </w:rPr>
              <w:fldChar w:fldCharType="begin"/>
            </w:r>
            <w:r w:rsidR="00A93086" w:rsidRPr="001469C6">
              <w:rPr>
                <w:rStyle w:val="InformationBlockChar"/>
                <w:b w:val="0"/>
              </w:rPr>
              <w:instrText xml:space="preserve"> DOCPROPERTY  CheckFrequency  \* MERGEFORMAT </w:instrText>
            </w:r>
            <w:r w:rsidR="00A93086" w:rsidRPr="001469C6">
              <w:rPr>
                <w:rStyle w:val="InformationBlockChar"/>
                <w:b w:val="0"/>
              </w:rPr>
              <w:fldChar w:fldCharType="end"/>
            </w:r>
          </w:p>
        </w:tc>
      </w:tr>
    </w:tbl>
    <w:p w14:paraId="35AEFF23" w14:textId="77777777" w:rsidR="0013547B" w:rsidRPr="008743F7" w:rsidRDefault="0013547B" w:rsidP="00173A34">
      <w:pPr>
        <w:pStyle w:val="Heading4"/>
        <w:spacing w:after="120" w:line="280" w:lineRule="atLeast"/>
      </w:pPr>
      <w:r w:rsidRPr="008743F7">
        <w:t>Focus of Duties:</w:t>
      </w:r>
    </w:p>
    <w:p w14:paraId="157EA467" w14:textId="50F240C6" w:rsidR="0013547B" w:rsidRDefault="00FE5711" w:rsidP="00173A34">
      <w:pPr>
        <w:pStyle w:val="ListBullet"/>
        <w:numPr>
          <w:ilvl w:val="0"/>
          <w:numId w:val="0"/>
        </w:numPr>
        <w:tabs>
          <w:tab w:val="clear" w:pos="1134"/>
        </w:tabs>
        <w:spacing w:after="120" w:line="280" w:lineRule="atLeast"/>
      </w:pPr>
      <w:r>
        <w:t xml:space="preserve">Provide </w:t>
      </w:r>
      <w:r w:rsidR="0083021C">
        <w:t xml:space="preserve">high level </w:t>
      </w:r>
      <w:r>
        <w:t>administrative and executive support to the Nurs</w:t>
      </w:r>
      <w:r w:rsidR="0083021C">
        <w:t>ing</w:t>
      </w:r>
      <w:r>
        <w:t xml:space="preserve"> Director and Nurse Manager </w:t>
      </w:r>
      <w:r w:rsidR="001469C6">
        <w:t>within the</w:t>
      </w:r>
      <w:r>
        <w:t xml:space="preserve"> Nursing and Midwifery Excellence</w:t>
      </w:r>
      <w:r w:rsidR="001469C6">
        <w:t xml:space="preserve"> Unit (NMEU)</w:t>
      </w:r>
      <w:r w:rsidR="00C71973">
        <w:t>.</w:t>
      </w:r>
    </w:p>
    <w:p w14:paraId="3675D038" w14:textId="70282FBD" w:rsidR="00887E3C" w:rsidRDefault="00FE5711" w:rsidP="00173A34">
      <w:pPr>
        <w:pStyle w:val="ListBullet"/>
        <w:numPr>
          <w:ilvl w:val="0"/>
          <w:numId w:val="0"/>
        </w:numPr>
        <w:tabs>
          <w:tab w:val="clear" w:pos="1134"/>
        </w:tabs>
        <w:spacing w:after="120" w:line="280" w:lineRule="atLeast"/>
      </w:pPr>
      <w:r>
        <w:t xml:space="preserve">Assist and support the management of material and financial resources for </w:t>
      </w:r>
      <w:r w:rsidR="001469C6">
        <w:t>NMEU</w:t>
      </w:r>
      <w:r w:rsidR="00C71973">
        <w:t>.</w:t>
      </w:r>
    </w:p>
    <w:p w14:paraId="60C1D526" w14:textId="77777777" w:rsidR="0013547B" w:rsidRPr="008743F7" w:rsidRDefault="0013547B" w:rsidP="00173A34">
      <w:pPr>
        <w:pStyle w:val="Heading4"/>
        <w:spacing w:before="0" w:after="120" w:line="280" w:lineRule="atLeast"/>
      </w:pPr>
      <w:r w:rsidRPr="008743F7">
        <w:t>Duties:</w:t>
      </w:r>
    </w:p>
    <w:p w14:paraId="038EEEBC" w14:textId="319FF9B4" w:rsidR="0083021C" w:rsidRDefault="00FE5711" w:rsidP="00173A34">
      <w:pPr>
        <w:pStyle w:val="NumberedList"/>
        <w:spacing w:after="120" w:line="280" w:lineRule="atLeast"/>
      </w:pPr>
      <w:r>
        <w:t xml:space="preserve">Provide </w:t>
      </w:r>
      <w:r w:rsidR="0083021C">
        <w:t xml:space="preserve">high level </w:t>
      </w:r>
      <w:r>
        <w:t xml:space="preserve">administrative and </w:t>
      </w:r>
      <w:r w:rsidR="0083021C">
        <w:t xml:space="preserve">executive </w:t>
      </w:r>
      <w:r>
        <w:t>support to the N</w:t>
      </w:r>
      <w:r w:rsidR="0083021C">
        <w:t xml:space="preserve">ursing </w:t>
      </w:r>
      <w:r>
        <w:t>D</w:t>
      </w:r>
      <w:r w:rsidR="0083021C">
        <w:t>irector</w:t>
      </w:r>
      <w:r>
        <w:t xml:space="preserve"> and N</w:t>
      </w:r>
      <w:r w:rsidR="0083021C">
        <w:t xml:space="preserve">urse </w:t>
      </w:r>
      <w:r>
        <w:t>M</w:t>
      </w:r>
      <w:r w:rsidR="0083021C">
        <w:t>anager of NMEU</w:t>
      </w:r>
      <w:r w:rsidR="00E84026">
        <w:t xml:space="preserve">, </w:t>
      </w:r>
      <w:r w:rsidR="00E84026" w:rsidRPr="0097270D">
        <w:t>ensuring the provision of a complete range of office management support services including</w:t>
      </w:r>
      <w:r w:rsidR="0083021C">
        <w:t>, but not limited to:</w:t>
      </w:r>
    </w:p>
    <w:p w14:paraId="17441C8E" w14:textId="3E1B0E3F" w:rsidR="0083021C" w:rsidRDefault="00657AF4" w:rsidP="00173A34">
      <w:pPr>
        <w:pStyle w:val="NumberedList"/>
        <w:numPr>
          <w:ilvl w:val="0"/>
          <w:numId w:val="37"/>
        </w:numPr>
        <w:spacing w:line="280" w:lineRule="atLeast"/>
        <w:ind w:left="993" w:hanging="426"/>
      </w:pPr>
      <w:r>
        <w:rPr>
          <w:szCs w:val="24"/>
        </w:rPr>
        <w:t>O</w:t>
      </w:r>
      <w:r w:rsidRPr="0039297D">
        <w:rPr>
          <w:szCs w:val="24"/>
        </w:rPr>
        <w:t>rganis</w:t>
      </w:r>
      <w:r>
        <w:rPr>
          <w:szCs w:val="24"/>
        </w:rPr>
        <w:t>ing</w:t>
      </w:r>
      <w:r w:rsidRPr="0039297D">
        <w:rPr>
          <w:szCs w:val="24"/>
        </w:rPr>
        <w:t xml:space="preserve"> and scheduling meetings and other appointments and maintaining a comprehensive diary of appointments</w:t>
      </w:r>
      <w:r w:rsidR="0083021C">
        <w:t xml:space="preserve"> and travel bookings.</w:t>
      </w:r>
    </w:p>
    <w:p w14:paraId="2B0836B9" w14:textId="7A3DC7EF" w:rsidR="0083021C" w:rsidRDefault="0083021C" w:rsidP="00173A34">
      <w:pPr>
        <w:pStyle w:val="NumberedList"/>
        <w:numPr>
          <w:ilvl w:val="0"/>
          <w:numId w:val="37"/>
        </w:numPr>
        <w:spacing w:line="280" w:lineRule="atLeast"/>
        <w:ind w:left="993" w:hanging="426"/>
      </w:pPr>
      <w:r>
        <w:t>Prepar</w:t>
      </w:r>
      <w:r w:rsidR="00657AF4">
        <w:t>ing</w:t>
      </w:r>
      <w:r>
        <w:t xml:space="preserve"> documents using Microsoft Word, Excel and PowerPoint</w:t>
      </w:r>
      <w:r w:rsidR="00E84026">
        <w:t xml:space="preserve"> including printing, photocopying and filing and dissemination of such material</w:t>
      </w:r>
      <w:r>
        <w:t>.</w:t>
      </w:r>
    </w:p>
    <w:p w14:paraId="05446737" w14:textId="0DDCFABE" w:rsidR="0083021C" w:rsidRPr="00200E2C" w:rsidRDefault="0083021C" w:rsidP="00173A34">
      <w:pPr>
        <w:pStyle w:val="NumberedList"/>
        <w:numPr>
          <w:ilvl w:val="1"/>
          <w:numId w:val="14"/>
        </w:numPr>
        <w:tabs>
          <w:tab w:val="clear" w:pos="1134"/>
        </w:tabs>
        <w:spacing w:after="120" w:line="280" w:lineRule="atLeast"/>
        <w:ind w:left="993" w:hanging="426"/>
      </w:pPr>
      <w:r>
        <w:t>P</w:t>
      </w:r>
      <w:r w:rsidRPr="00200E2C">
        <w:t>r</w:t>
      </w:r>
      <w:r>
        <w:t>epar</w:t>
      </w:r>
      <w:r w:rsidR="00657AF4">
        <w:t>ing</w:t>
      </w:r>
      <w:r>
        <w:t xml:space="preserve"> and compil</w:t>
      </w:r>
      <w:r w:rsidR="00657AF4">
        <w:t>ing</w:t>
      </w:r>
      <w:r w:rsidRPr="00200E2C">
        <w:t xml:space="preserve"> agenda papers and minutes, and handling of confidential information</w:t>
      </w:r>
      <w:r>
        <w:t xml:space="preserve"> as directed by the Nursing Director and/or Nurse Manager</w:t>
      </w:r>
      <w:r w:rsidRPr="00200E2C">
        <w:t>.</w:t>
      </w:r>
    </w:p>
    <w:p w14:paraId="51D4E2CA" w14:textId="315945A2" w:rsidR="0083021C" w:rsidRDefault="0083021C" w:rsidP="00173A34">
      <w:pPr>
        <w:pStyle w:val="NumberedList"/>
        <w:spacing w:after="120" w:line="280" w:lineRule="atLeast"/>
      </w:pPr>
      <w:r>
        <w:t xml:space="preserve">Assist and support the management of material and financial resources for NMEU and produce reports as and when required. </w:t>
      </w:r>
    </w:p>
    <w:p w14:paraId="46FCF2D9" w14:textId="40EDF7B8" w:rsidR="0083021C" w:rsidRDefault="0083021C" w:rsidP="00173A34">
      <w:pPr>
        <w:pStyle w:val="NumberedList"/>
        <w:spacing w:line="280" w:lineRule="atLeast"/>
      </w:pPr>
      <w:r>
        <w:t>Provide assistance to the Nursing Director and Nurse Manager with research, collection and collation of statistical data, background notes and briefing materials.</w:t>
      </w:r>
    </w:p>
    <w:p w14:paraId="6CBF8E5B" w14:textId="779E87BC" w:rsidR="0083021C" w:rsidRDefault="00E84026" w:rsidP="00173A34">
      <w:pPr>
        <w:pStyle w:val="NumberedList"/>
        <w:spacing w:line="280" w:lineRule="atLeast"/>
      </w:pPr>
      <w:r>
        <w:rPr>
          <w:szCs w:val="24"/>
        </w:rPr>
        <w:t xml:space="preserve">Provide </w:t>
      </w:r>
      <w:r w:rsidR="00657AF4" w:rsidRPr="0039297D">
        <w:rPr>
          <w:szCs w:val="24"/>
        </w:rPr>
        <w:t xml:space="preserve">prompt, sensitive and confidential </w:t>
      </w:r>
      <w:r>
        <w:rPr>
          <w:szCs w:val="24"/>
        </w:rPr>
        <w:t xml:space="preserve">services in </w:t>
      </w:r>
      <w:r w:rsidR="00657AF4" w:rsidRPr="0039297D">
        <w:rPr>
          <w:szCs w:val="24"/>
        </w:rPr>
        <w:t xml:space="preserve">handling enquiries and routine matters for </w:t>
      </w:r>
      <w:r w:rsidR="00657AF4">
        <w:rPr>
          <w:szCs w:val="24"/>
        </w:rPr>
        <w:t>NMEU</w:t>
      </w:r>
      <w:r>
        <w:rPr>
          <w:szCs w:val="24"/>
        </w:rPr>
        <w:t xml:space="preserve">, ensuring </w:t>
      </w:r>
      <w:r w:rsidR="0083021C">
        <w:t xml:space="preserve">the timely flow of information to and from </w:t>
      </w:r>
      <w:r>
        <w:t>the Unit</w:t>
      </w:r>
      <w:r w:rsidR="0083021C">
        <w:t>.</w:t>
      </w:r>
    </w:p>
    <w:p w14:paraId="5ADD3016" w14:textId="5DE8AB98" w:rsidR="00173A34" w:rsidRPr="00173A34" w:rsidRDefault="00E84026" w:rsidP="00173A34">
      <w:pPr>
        <w:pStyle w:val="NumberedList"/>
        <w:spacing w:line="280" w:lineRule="atLeast"/>
        <w:rPr>
          <w:szCs w:val="24"/>
        </w:rPr>
      </w:pPr>
      <w:r w:rsidRPr="0039297D">
        <w:rPr>
          <w:szCs w:val="24"/>
        </w:rPr>
        <w:t xml:space="preserve">Liaise with </w:t>
      </w:r>
      <w:r>
        <w:rPr>
          <w:szCs w:val="24"/>
        </w:rPr>
        <w:t xml:space="preserve">a variety of senior staff and management </w:t>
      </w:r>
      <w:r w:rsidRPr="0039297D">
        <w:rPr>
          <w:szCs w:val="24"/>
        </w:rPr>
        <w:t xml:space="preserve">in relation to </w:t>
      </w:r>
      <w:r w:rsidR="00161FB6">
        <w:rPr>
          <w:szCs w:val="24"/>
        </w:rPr>
        <w:t>the</w:t>
      </w:r>
      <w:r w:rsidRPr="0039297D">
        <w:rPr>
          <w:szCs w:val="24"/>
        </w:rPr>
        <w:t xml:space="preserve"> operation of </w:t>
      </w:r>
      <w:r>
        <w:rPr>
          <w:szCs w:val="24"/>
        </w:rPr>
        <w:t>NMEU</w:t>
      </w:r>
      <w:r w:rsidRPr="0039297D">
        <w:rPr>
          <w:szCs w:val="24"/>
        </w:rPr>
        <w:t xml:space="preserve">. </w:t>
      </w:r>
    </w:p>
    <w:p w14:paraId="7A811D5F" w14:textId="30803813" w:rsidR="0013547B" w:rsidRDefault="00672455" w:rsidP="00173A34">
      <w:pPr>
        <w:pStyle w:val="NumberedList"/>
        <w:spacing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650C963" w14:textId="197F0112" w:rsidR="0013547B" w:rsidRDefault="00672455" w:rsidP="00173A34">
      <w:pPr>
        <w:pStyle w:val="NumberedList"/>
        <w:spacing w:after="240" w:line="280" w:lineRule="atLeast"/>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244AA8D1" w14:textId="5F629099" w:rsidR="0013547B" w:rsidRDefault="0013547B" w:rsidP="00173A34">
      <w:pPr>
        <w:pStyle w:val="Heading4"/>
        <w:spacing w:before="0" w:after="120" w:line="280" w:lineRule="atLeast"/>
      </w:pPr>
      <w:r>
        <w:t>Scope of Work Performed:</w:t>
      </w:r>
    </w:p>
    <w:p w14:paraId="635214DF" w14:textId="0D07D29A" w:rsidR="000A7CA6" w:rsidRDefault="000A7CA6" w:rsidP="00173A34">
      <w:pPr>
        <w:pStyle w:val="Heading4"/>
        <w:spacing w:before="0" w:after="120" w:line="280" w:lineRule="atLeast"/>
        <w:rPr>
          <w:b w:val="0"/>
          <w:bCs w:val="0"/>
        </w:rPr>
      </w:pPr>
      <w:r>
        <w:rPr>
          <w:b w:val="0"/>
          <w:bCs w:val="0"/>
        </w:rPr>
        <w:t xml:space="preserve">In accordance with </w:t>
      </w:r>
      <w:r w:rsidRPr="000A7CA6">
        <w:rPr>
          <w:b w:val="0"/>
          <w:bCs w:val="0"/>
        </w:rPr>
        <w:t>established guidelines, systems and processes</w:t>
      </w:r>
      <w:r>
        <w:rPr>
          <w:b w:val="0"/>
          <w:bCs w:val="0"/>
        </w:rPr>
        <w:t xml:space="preserve"> and under the broad direction of the Nursing Director, the Executive Assistant will be:</w:t>
      </w:r>
    </w:p>
    <w:p w14:paraId="5E69B9E2" w14:textId="77777777" w:rsidR="00CC3A28" w:rsidRDefault="00CC3A28" w:rsidP="00173A34">
      <w:pPr>
        <w:pStyle w:val="ListBullet"/>
        <w:spacing w:after="120" w:line="280" w:lineRule="atLeast"/>
      </w:pPr>
      <w:r>
        <w:t>Responsible for providing an efficient and effective administrative and executive support service within NMEU.</w:t>
      </w:r>
    </w:p>
    <w:p w14:paraId="190D0359" w14:textId="77777777" w:rsidR="00CC3A28" w:rsidRDefault="00CC3A28" w:rsidP="00173A34">
      <w:pPr>
        <w:pStyle w:val="ListBullet"/>
        <w:spacing w:after="120" w:line="280" w:lineRule="atLeast"/>
      </w:pPr>
      <w:r>
        <w:t>Exercising initiative, creativity and a high level of independent judgement and discretion in undertaking work on a day to day basis.</w:t>
      </w:r>
    </w:p>
    <w:p w14:paraId="2346248E" w14:textId="77777777" w:rsidR="00CC3A28" w:rsidRDefault="00CC3A28" w:rsidP="00173A34">
      <w:pPr>
        <w:pStyle w:val="ListBullet"/>
        <w:spacing w:after="240" w:line="280" w:lineRule="atLeast"/>
      </w:pPr>
      <w:r w:rsidRPr="001B255B">
        <w:rPr>
          <w:iCs/>
        </w:rPr>
        <w:t>Complying at all times with policy and protocol requirements, in particular those relating to mandatory education, training and assessment.</w:t>
      </w:r>
    </w:p>
    <w:p w14:paraId="5D164059" w14:textId="77777777" w:rsidR="0013547B" w:rsidRDefault="00831D3C" w:rsidP="00173A34">
      <w:pPr>
        <w:pStyle w:val="Heading4"/>
        <w:spacing w:before="0" w:after="120" w:line="280" w:lineRule="atLeast"/>
      </w:pPr>
      <w:bookmarkStart w:id="1" w:name="bmScopeofWork"/>
      <w:bookmarkEnd w:id="1"/>
      <w:r>
        <w:t>Essential Requirements:</w:t>
      </w:r>
    </w:p>
    <w:p w14:paraId="39AF7E1C" w14:textId="050B69F8" w:rsidR="00672455" w:rsidRPr="00A326D9" w:rsidRDefault="00672455" w:rsidP="00173A34">
      <w:pPr>
        <w:pStyle w:val="BulletedListLevel1"/>
        <w:numPr>
          <w:ilvl w:val="0"/>
          <w:numId w:val="0"/>
        </w:numPr>
        <w:tabs>
          <w:tab w:val="clear" w:pos="1134"/>
        </w:tabs>
        <w:spacing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C85C19B" w14:textId="77777777" w:rsidR="0013547B" w:rsidRDefault="0013547B" w:rsidP="00173A34">
      <w:pPr>
        <w:pStyle w:val="BulletedListLevel1"/>
        <w:numPr>
          <w:ilvl w:val="0"/>
          <w:numId w:val="0"/>
        </w:numPr>
        <w:spacing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2610B15" w14:textId="77777777" w:rsidR="0013547B" w:rsidRDefault="00831D3C" w:rsidP="00173A34">
      <w:pPr>
        <w:pStyle w:val="BulletedListLevel1"/>
        <w:numPr>
          <w:ilvl w:val="0"/>
          <w:numId w:val="32"/>
        </w:numPr>
        <w:tabs>
          <w:tab w:val="clear" w:pos="1134"/>
        </w:tabs>
        <w:spacing w:after="120" w:line="280" w:lineRule="atLeast"/>
        <w:ind w:left="567"/>
      </w:pPr>
      <w:r>
        <w:t>Conviction checks in the following areas:</w:t>
      </w:r>
    </w:p>
    <w:p w14:paraId="6FF3122C" w14:textId="77777777" w:rsidR="00831D3C" w:rsidRDefault="007D4E47" w:rsidP="00173A34">
      <w:pPr>
        <w:pStyle w:val="BulletedListLevel1"/>
        <w:numPr>
          <w:ilvl w:val="1"/>
          <w:numId w:val="31"/>
        </w:numPr>
        <w:tabs>
          <w:tab w:val="clear" w:pos="720"/>
          <w:tab w:val="num" w:pos="1287"/>
          <w:tab w:val="num" w:pos="1701"/>
        </w:tabs>
        <w:spacing w:after="120" w:line="280" w:lineRule="atLeast"/>
        <w:ind w:left="993" w:hanging="426"/>
      </w:pPr>
      <w:r>
        <w:t>crimes of v</w:t>
      </w:r>
      <w:r w:rsidR="00831D3C">
        <w:t>iolence</w:t>
      </w:r>
    </w:p>
    <w:p w14:paraId="5B0D1140" w14:textId="77777777" w:rsidR="007D4E47" w:rsidRDefault="007D4E47" w:rsidP="00173A34">
      <w:pPr>
        <w:pStyle w:val="BulletedListLevel1"/>
        <w:numPr>
          <w:ilvl w:val="1"/>
          <w:numId w:val="31"/>
        </w:numPr>
        <w:tabs>
          <w:tab w:val="clear" w:pos="720"/>
          <w:tab w:val="num" w:pos="1287"/>
          <w:tab w:val="num" w:pos="1701"/>
        </w:tabs>
        <w:spacing w:after="120" w:line="280" w:lineRule="atLeast"/>
        <w:ind w:left="993" w:hanging="426"/>
      </w:pPr>
      <w:r>
        <w:t>sex related offences</w:t>
      </w:r>
    </w:p>
    <w:p w14:paraId="1F5BBA6A" w14:textId="77777777" w:rsidR="007D4E47" w:rsidRDefault="007D4E47" w:rsidP="00173A34">
      <w:pPr>
        <w:pStyle w:val="BulletedListLevel1"/>
        <w:numPr>
          <w:ilvl w:val="1"/>
          <w:numId w:val="31"/>
        </w:numPr>
        <w:tabs>
          <w:tab w:val="clear" w:pos="720"/>
          <w:tab w:val="num" w:pos="1287"/>
          <w:tab w:val="num" w:pos="1701"/>
        </w:tabs>
        <w:spacing w:after="120" w:line="280" w:lineRule="atLeast"/>
        <w:ind w:left="993" w:hanging="426"/>
      </w:pPr>
      <w:r>
        <w:t>serious drug offences</w:t>
      </w:r>
    </w:p>
    <w:p w14:paraId="1D0B3925" w14:textId="77777777" w:rsidR="007D4E47" w:rsidRDefault="007D4E47" w:rsidP="00173A34">
      <w:pPr>
        <w:pStyle w:val="BulletedListLevel1"/>
        <w:numPr>
          <w:ilvl w:val="1"/>
          <w:numId w:val="31"/>
        </w:numPr>
        <w:tabs>
          <w:tab w:val="clear" w:pos="720"/>
          <w:tab w:val="num" w:pos="1287"/>
          <w:tab w:val="num" w:pos="1701"/>
        </w:tabs>
        <w:spacing w:after="120" w:line="280" w:lineRule="atLeast"/>
        <w:ind w:left="993" w:hanging="426"/>
      </w:pPr>
      <w:r>
        <w:t>crimes involving dishonesty</w:t>
      </w:r>
    </w:p>
    <w:p w14:paraId="529C029A" w14:textId="77777777" w:rsidR="007D4E47" w:rsidRDefault="007D4E47" w:rsidP="00173A34">
      <w:pPr>
        <w:pStyle w:val="BulletedListLevel1"/>
        <w:numPr>
          <w:ilvl w:val="0"/>
          <w:numId w:val="32"/>
        </w:numPr>
        <w:tabs>
          <w:tab w:val="clear" w:pos="1134"/>
        </w:tabs>
        <w:spacing w:after="120" w:line="280" w:lineRule="atLeast"/>
        <w:ind w:left="567"/>
      </w:pPr>
      <w:r>
        <w:t>Identification check</w:t>
      </w:r>
    </w:p>
    <w:p w14:paraId="461CB6B2" w14:textId="77777777" w:rsidR="007D4E47" w:rsidRDefault="007D4E47" w:rsidP="00173A34">
      <w:pPr>
        <w:pStyle w:val="BulletedListLevel1"/>
        <w:numPr>
          <w:ilvl w:val="0"/>
          <w:numId w:val="32"/>
        </w:numPr>
        <w:tabs>
          <w:tab w:val="clear" w:pos="1134"/>
        </w:tabs>
        <w:spacing w:after="240" w:line="280" w:lineRule="atLeast"/>
        <w:ind w:left="567"/>
      </w:pPr>
      <w:r>
        <w:t>Disciplinary action in previous employment check</w:t>
      </w:r>
      <w:r w:rsidR="004B0994">
        <w:t>.</w:t>
      </w:r>
    </w:p>
    <w:p w14:paraId="2C36E878" w14:textId="77777777" w:rsidR="0013547B" w:rsidRDefault="0013547B" w:rsidP="00173A34">
      <w:pPr>
        <w:pStyle w:val="Heading4"/>
        <w:spacing w:before="0" w:after="120" w:line="280" w:lineRule="atLeast"/>
      </w:pPr>
      <w:r>
        <w:t>Selection Criteria:</w:t>
      </w:r>
    </w:p>
    <w:p w14:paraId="121FAE35" w14:textId="6F7DB9E4" w:rsidR="00D8162F" w:rsidRDefault="000A7CA6" w:rsidP="00173A34">
      <w:pPr>
        <w:pStyle w:val="NumberedList"/>
        <w:numPr>
          <w:ilvl w:val="0"/>
          <w:numId w:val="33"/>
        </w:numPr>
        <w:spacing w:after="120" w:line="280" w:lineRule="atLeast"/>
      </w:pPr>
      <w:r>
        <w:t>Well-developed</w:t>
      </w:r>
      <w:r w:rsidR="00D8162F">
        <w:t xml:space="preserve"> ability to work individually and as a member of a team </w:t>
      </w:r>
      <w:r>
        <w:t xml:space="preserve">with </w:t>
      </w:r>
      <w:r w:rsidR="00D8162F">
        <w:t>a proven ability to be adaptable and flexible to achieve the best results in an environment of change, ambiguity and pressure</w:t>
      </w:r>
      <w:r w:rsidR="00C71973">
        <w:t>.</w:t>
      </w:r>
    </w:p>
    <w:p w14:paraId="7FD26820" w14:textId="4551582A" w:rsidR="00C71973" w:rsidRDefault="00D8162F" w:rsidP="00173A34">
      <w:pPr>
        <w:pStyle w:val="NumberedList"/>
        <w:numPr>
          <w:ilvl w:val="0"/>
          <w:numId w:val="33"/>
        </w:numPr>
        <w:spacing w:after="120" w:line="280" w:lineRule="atLeast"/>
      </w:pPr>
      <w:r w:rsidRPr="00D8162F">
        <w:t xml:space="preserve">Demonstrated knowledge and experience in the provision of a sensitive and confidential business support services with highly developed interpersonal skills including communication, written, liaison and negotiation skills. </w:t>
      </w:r>
    </w:p>
    <w:p w14:paraId="484E80F7" w14:textId="69BB2C60" w:rsidR="00C71973" w:rsidRPr="00D8162F" w:rsidRDefault="00C71973" w:rsidP="00173A34">
      <w:pPr>
        <w:pStyle w:val="NumberedList"/>
        <w:numPr>
          <w:ilvl w:val="0"/>
          <w:numId w:val="33"/>
        </w:numPr>
        <w:spacing w:after="120" w:line="280" w:lineRule="atLeast"/>
      </w:pPr>
      <w:r w:rsidRPr="00C71973">
        <w:t xml:space="preserve">Ability to exercise initiative, judgment, sensitivity and discretion including the ability to interpret and analyse information and recommend or decide on appropriate action. </w:t>
      </w:r>
    </w:p>
    <w:p w14:paraId="18EA1781" w14:textId="4CA24A3F" w:rsidR="0013547B" w:rsidRDefault="000A7CA6" w:rsidP="00173A34">
      <w:pPr>
        <w:pStyle w:val="NumberedList"/>
        <w:numPr>
          <w:ilvl w:val="0"/>
          <w:numId w:val="33"/>
        </w:numPr>
        <w:spacing w:after="120" w:line="280" w:lineRule="atLeast"/>
      </w:pPr>
      <w:r>
        <w:t>Well-developed computer skills with demonstrated experience in using computer systems within a health care environment or large organisation with the knowledge of using a range of Microsoft Office Suite programs such as Word, Excel and PowerPoint with a high level of accuracy and attention to detail</w:t>
      </w:r>
      <w:r w:rsidR="00D8162F" w:rsidRPr="00D8162F">
        <w:t xml:space="preserve">. </w:t>
      </w:r>
    </w:p>
    <w:p w14:paraId="67946489" w14:textId="77777777" w:rsidR="0013547B" w:rsidRDefault="0013547B" w:rsidP="00570BAB">
      <w:pPr>
        <w:pStyle w:val="Heading4"/>
        <w:spacing w:before="0" w:after="120"/>
      </w:pPr>
      <w:r>
        <w:lastRenderedPageBreak/>
        <w:t>Working Environment:</w:t>
      </w:r>
    </w:p>
    <w:p w14:paraId="6BFD656E" w14:textId="77777777" w:rsidR="007C5DB4" w:rsidRPr="004B0994" w:rsidRDefault="007C5DB4" w:rsidP="00570BAB">
      <w:pPr>
        <w:spacing w:after="120"/>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7329278A" w14:textId="77777777" w:rsidR="007C5DB4" w:rsidRPr="004B0994" w:rsidRDefault="007C5DB4" w:rsidP="00570BAB">
      <w:pPr>
        <w:spacing w:after="120"/>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CDEDFA2" w14:textId="15D6EBF9" w:rsidR="007C5DB4" w:rsidRDefault="007C5DB4" w:rsidP="00570BAB">
      <w:pPr>
        <w:spacing w:after="120"/>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5D35FF20" w14:textId="77777777" w:rsidR="007C5DB4" w:rsidRPr="004B0994" w:rsidRDefault="007C5DB4" w:rsidP="00570BAB">
      <w:pPr>
        <w:spacing w:after="120"/>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7B894E15" w14:textId="77777777" w:rsidR="007C5DB4" w:rsidRPr="004B0994" w:rsidRDefault="007C5DB4" w:rsidP="00570BAB">
      <w:pPr>
        <w:spacing w:after="120"/>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D856534" w14:textId="77777777" w:rsidR="007C5DB4" w:rsidRPr="004B0994" w:rsidRDefault="007C5DB4" w:rsidP="00570BAB">
      <w:pPr>
        <w:spacing w:after="120"/>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188532E" w14:textId="77777777" w:rsidR="007C5DB4" w:rsidRPr="004B0994" w:rsidRDefault="007C5DB4" w:rsidP="00570BAB">
      <w:pPr>
        <w:spacing w:after="120"/>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45EBFD01" w14:textId="77777777" w:rsidR="007C5DB4" w:rsidRDefault="007C5DB4" w:rsidP="00570BAB">
      <w:pPr>
        <w:spacing w:after="120"/>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955DB6B" w14:textId="77777777" w:rsidR="005E71A7" w:rsidRPr="004B0994" w:rsidRDefault="005E71A7" w:rsidP="00570BAB">
      <w:pPr>
        <w:spacing w:after="120"/>
        <w:rPr>
          <w:bCs/>
          <w:lang w:val="en-US"/>
        </w:rPr>
      </w:pPr>
    </w:p>
    <w:sectPr w:rsidR="005E71A7" w:rsidRPr="004B0994" w:rsidSect="00CC3A28">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8F591" w14:textId="77777777" w:rsidR="00FE5711" w:rsidRDefault="00FE5711">
      <w:r>
        <w:separator/>
      </w:r>
    </w:p>
  </w:endnote>
  <w:endnote w:type="continuationSeparator" w:id="0">
    <w:p w14:paraId="4A427311" w14:textId="77777777" w:rsidR="00FE5711" w:rsidRDefault="00FE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EF81" w14:textId="77777777" w:rsidR="004B75F1" w:rsidRDefault="004B7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CAC3"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92B6"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E616" w14:textId="77777777" w:rsidR="00FE5711" w:rsidRDefault="00FE5711">
      <w:r>
        <w:separator/>
      </w:r>
    </w:p>
  </w:footnote>
  <w:footnote w:type="continuationSeparator" w:id="0">
    <w:p w14:paraId="7485FC16" w14:textId="77777777" w:rsidR="00FE5711" w:rsidRDefault="00FE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4556" w14:textId="77777777" w:rsidR="004B75F1" w:rsidRDefault="004B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10DA" w14:textId="678F65A8"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568F" w14:textId="77777777" w:rsidR="004B75F1" w:rsidRDefault="004B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CF4174"/>
    <w:multiLevelType w:val="hybridMultilevel"/>
    <w:tmpl w:val="C999F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0C090017"/>
    <w:lvl w:ilvl="0">
      <w:start w:val="1"/>
      <w:numFmt w:val="lowerLetter"/>
      <w:lvlText w:val="%1)"/>
      <w:lvlJc w:val="left"/>
      <w:pPr>
        <w:ind w:left="360" w:hanging="360"/>
      </w:pPr>
      <w:rPr>
        <w:rFont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B5250C6"/>
    <w:multiLevelType w:val="hybridMultilevel"/>
    <w:tmpl w:val="FE4676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7C517918"/>
    <w:multiLevelType w:val="multilevel"/>
    <w:tmpl w:val="3CD88B10"/>
    <w:lvl w:ilvl="0">
      <w:start w:val="1"/>
      <w:numFmt w:val="decimal"/>
      <w:pStyle w:val="NumberedList"/>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5"/>
  </w:num>
  <w:num w:numId="4">
    <w:abstractNumId w:val="4"/>
  </w:num>
  <w:num w:numId="5">
    <w:abstractNumId w:val="3"/>
  </w:num>
  <w:num w:numId="6">
    <w:abstractNumId w:val="2"/>
  </w:num>
  <w:num w:numId="7">
    <w:abstractNumId w:val="1"/>
  </w:num>
  <w:num w:numId="8">
    <w:abstractNumId w:val="8"/>
  </w:num>
  <w:num w:numId="9">
    <w:abstractNumId w:val="13"/>
  </w:num>
  <w:num w:numId="10">
    <w:abstractNumId w:val="7"/>
  </w:num>
  <w:num w:numId="11">
    <w:abstractNumId w:val="28"/>
  </w:num>
  <w:num w:numId="12">
    <w:abstractNumId w:val="15"/>
  </w:num>
  <w:num w:numId="13">
    <w:abstractNumId w:val="14"/>
  </w:num>
  <w:num w:numId="14">
    <w:abstractNumId w:val="32"/>
  </w:num>
  <w:num w:numId="15">
    <w:abstractNumId w:val="22"/>
  </w:num>
  <w:num w:numId="16">
    <w:abstractNumId w:val="11"/>
  </w:num>
  <w:num w:numId="17">
    <w:abstractNumId w:val="12"/>
  </w:num>
  <w:num w:numId="18">
    <w:abstractNumId w:val="26"/>
  </w:num>
  <w:num w:numId="19">
    <w:abstractNumId w:val="29"/>
  </w:num>
  <w:num w:numId="20">
    <w:abstractNumId w:val="20"/>
  </w:num>
  <w:num w:numId="21">
    <w:abstractNumId w:val="9"/>
  </w:num>
  <w:num w:numId="22">
    <w:abstractNumId w:val="30"/>
  </w:num>
  <w:num w:numId="23">
    <w:abstractNumId w:val="11"/>
  </w:num>
  <w:num w:numId="24">
    <w:abstractNumId w:val="17"/>
  </w:num>
  <w:num w:numId="25">
    <w:abstractNumId w:val="25"/>
  </w:num>
  <w:num w:numId="26">
    <w:abstractNumId w:val="19"/>
  </w:num>
  <w:num w:numId="27">
    <w:abstractNumId w:val="24"/>
  </w:num>
  <w:num w:numId="28">
    <w:abstractNumId w:val="27"/>
  </w:num>
  <w:num w:numId="29">
    <w:abstractNumId w:val="10"/>
  </w:num>
  <w:num w:numId="30">
    <w:abstractNumId w:val="6"/>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num>
  <w:num w:numId="36">
    <w:abstractNumId w:val="32"/>
  </w:num>
  <w:num w:numId="37">
    <w:abstractNumId w:val="3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11"/>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A6463"/>
    <w:rsid w:val="000A7CA6"/>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469C6"/>
    <w:rsid w:val="00161FB6"/>
    <w:rsid w:val="00163726"/>
    <w:rsid w:val="00163C4A"/>
    <w:rsid w:val="00163F75"/>
    <w:rsid w:val="00171E96"/>
    <w:rsid w:val="0017368D"/>
    <w:rsid w:val="00173A34"/>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2031"/>
    <w:rsid w:val="00475D0B"/>
    <w:rsid w:val="00480544"/>
    <w:rsid w:val="00485D4B"/>
    <w:rsid w:val="00494F46"/>
    <w:rsid w:val="004966A3"/>
    <w:rsid w:val="00497D0C"/>
    <w:rsid w:val="004A1B32"/>
    <w:rsid w:val="004A572D"/>
    <w:rsid w:val="004B0994"/>
    <w:rsid w:val="004B5514"/>
    <w:rsid w:val="004B75F1"/>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0BA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57AF4"/>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021C"/>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6EFC"/>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4C13"/>
    <w:rsid w:val="00C55F75"/>
    <w:rsid w:val="00C65ABE"/>
    <w:rsid w:val="00C703D9"/>
    <w:rsid w:val="00C71973"/>
    <w:rsid w:val="00C71D9D"/>
    <w:rsid w:val="00C76928"/>
    <w:rsid w:val="00C840B4"/>
    <w:rsid w:val="00C92388"/>
    <w:rsid w:val="00C95CAF"/>
    <w:rsid w:val="00CA44AB"/>
    <w:rsid w:val="00CB37C6"/>
    <w:rsid w:val="00CC0C71"/>
    <w:rsid w:val="00CC1215"/>
    <w:rsid w:val="00CC3A28"/>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62F"/>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37F04"/>
    <w:rsid w:val="00E42685"/>
    <w:rsid w:val="00E55651"/>
    <w:rsid w:val="00E56B0B"/>
    <w:rsid w:val="00E70680"/>
    <w:rsid w:val="00E706B2"/>
    <w:rsid w:val="00E7607F"/>
    <w:rsid w:val="00E82774"/>
    <w:rsid w:val="00E82FA1"/>
    <w:rsid w:val="00E834D1"/>
    <w:rsid w:val="00E84026"/>
    <w:rsid w:val="00E85AE0"/>
    <w:rsid w:val="00E85DAA"/>
    <w:rsid w:val="00E86476"/>
    <w:rsid w:val="00E86F0B"/>
    <w:rsid w:val="00E909C3"/>
    <w:rsid w:val="00E96290"/>
    <w:rsid w:val="00EA0021"/>
    <w:rsid w:val="00EB1CAA"/>
    <w:rsid w:val="00EB601C"/>
    <w:rsid w:val="00EC5163"/>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C6D62"/>
    <w:rsid w:val="00FD1566"/>
    <w:rsid w:val="00FD1CE9"/>
    <w:rsid w:val="00FD2D14"/>
    <w:rsid w:val="00FD59FC"/>
    <w:rsid w:val="00FD5C05"/>
    <w:rsid w:val="00FE01C7"/>
    <w:rsid w:val="00FE2895"/>
    <w:rsid w:val="00FE2917"/>
    <w:rsid w:val="00FE5711"/>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95E533"/>
  <w15:docId w15:val="{721EBF64-F73B-4203-8718-391B4F61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FE5711"/>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56EF-E855-4231-8E01-DF641AF8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3</Pages>
  <Words>1310</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9510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cmorley</dc:creator>
  <cp:keywords/>
  <dc:description/>
  <cp:lastModifiedBy>Tippett, Donna</cp:lastModifiedBy>
  <cp:revision>2</cp:revision>
  <cp:lastPrinted>2021-06-06T21:51:00Z</cp:lastPrinted>
  <dcterms:created xsi:type="dcterms:W3CDTF">2021-06-11T05:39:00Z</dcterms:created>
  <dcterms:modified xsi:type="dcterms:W3CDTF">2021-06-11T05:39:00Z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