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27454C">
        <w:rPr>
          <w:rStyle w:val="Heading3Char"/>
          <w:b w:val="0"/>
          <w:sz w:val="22"/>
        </w:rPr>
        <w:t>Support Officer</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27454C">
        <w:rPr>
          <w:rStyle w:val="Heading3Char"/>
          <w:b w:val="0"/>
          <w:sz w:val="22"/>
        </w:rPr>
        <w:t>425298</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27454C">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27454C">
        <w:rPr>
          <w:rStyle w:val="Heading3Char"/>
          <w:b w:val="0"/>
          <w:sz w:val="22"/>
        </w:rPr>
        <w:t>General Stream Band 2</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27454C">
        <w:rPr>
          <w:rStyle w:val="Heading3Char"/>
          <w:b w:val="0"/>
          <w:sz w:val="22"/>
        </w:rPr>
        <w:t>Business Services / People and Culture / Operational Services</w:t>
      </w:r>
    </w:p>
    <w:p w:rsidR="0027454C" w:rsidRPr="001327D4" w:rsidRDefault="0027454C" w:rsidP="0027454C">
      <w:pPr>
        <w:tabs>
          <w:tab w:val="clear" w:pos="2835"/>
          <w:tab w:val="left" w:pos="3119"/>
          <w:tab w:val="left" w:pos="3261"/>
        </w:tabs>
        <w:rPr>
          <w:sz w:val="22"/>
        </w:rPr>
      </w:pPr>
      <w:r w:rsidRPr="001327D4">
        <w:rPr>
          <w:rStyle w:val="Heading3Char"/>
          <w:sz w:val="22"/>
        </w:rPr>
        <w:t>Location:</w:t>
      </w:r>
      <w:r>
        <w:rPr>
          <w:sz w:val="22"/>
        </w:rPr>
        <w:tab/>
      </w:r>
      <w:r>
        <w:rPr>
          <w:rStyle w:val="Heading3Char"/>
          <w:b w:val="0"/>
          <w:sz w:val="22"/>
        </w:rPr>
        <w:t>Hobart</w:t>
      </w:r>
    </w:p>
    <w:p w:rsidR="0027454C" w:rsidRPr="001327D4" w:rsidRDefault="0027454C" w:rsidP="0027454C">
      <w:pPr>
        <w:tabs>
          <w:tab w:val="clear" w:pos="2835"/>
          <w:tab w:val="left" w:pos="3119"/>
          <w:tab w:val="left" w:pos="3261"/>
        </w:tabs>
        <w:rPr>
          <w:sz w:val="22"/>
        </w:rPr>
      </w:pPr>
      <w:r w:rsidRPr="001327D4">
        <w:rPr>
          <w:rStyle w:val="Heading3Char"/>
          <w:sz w:val="22"/>
        </w:rPr>
        <w:t>Employment status:</w:t>
      </w:r>
      <w:r w:rsidRPr="001327D4">
        <w:rPr>
          <w:sz w:val="22"/>
        </w:rPr>
        <w:tab/>
      </w:r>
      <w:r>
        <w:rPr>
          <w:rStyle w:val="Heading3Char"/>
          <w:b w:val="0"/>
          <w:sz w:val="22"/>
        </w:rPr>
        <w:t>Flexible</w:t>
      </w:r>
    </w:p>
    <w:p w:rsidR="0027454C" w:rsidRPr="001327D4" w:rsidRDefault="0027454C" w:rsidP="0027454C">
      <w:pPr>
        <w:tabs>
          <w:tab w:val="clear" w:pos="2835"/>
          <w:tab w:val="left" w:pos="3119"/>
          <w:tab w:val="left" w:pos="3261"/>
        </w:tabs>
        <w:rPr>
          <w:sz w:val="22"/>
        </w:rPr>
      </w:pPr>
      <w:r w:rsidRPr="001327D4">
        <w:rPr>
          <w:rStyle w:val="Heading3Char"/>
          <w:sz w:val="22"/>
        </w:rPr>
        <w:t>Supervisor:</w:t>
      </w:r>
      <w:r w:rsidRPr="001327D4">
        <w:rPr>
          <w:sz w:val="22"/>
        </w:rPr>
        <w:tab/>
      </w:r>
      <w:r>
        <w:rPr>
          <w:rStyle w:val="Heading3Char"/>
          <w:b w:val="0"/>
          <w:sz w:val="22"/>
        </w:rPr>
        <w:t>Team Leader, Operational Services</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27454C" w:rsidRPr="00A4261D" w:rsidRDefault="0027454C" w:rsidP="0027454C">
      <w:pPr>
        <w:pStyle w:val="BodyText"/>
        <w:ind w:left="-66" w:right="141"/>
        <w:jc w:val="both"/>
        <w:rPr>
          <w:rFonts w:cs="Arial"/>
          <w:sz w:val="22"/>
        </w:rPr>
      </w:pPr>
      <w:r>
        <w:rPr>
          <w:rFonts w:cs="Arial"/>
          <w:sz w:val="22"/>
        </w:rPr>
        <w:t>Provide a support and advisory service to clients on the day to day operational functions of the People and Culture Branch with a focus on payroll, recruitment and establishment management.</w:t>
      </w:r>
    </w:p>
    <w:p w:rsidR="00360930" w:rsidRDefault="00360930" w:rsidP="009F6C23">
      <w:pPr>
        <w:pStyle w:val="Heading3"/>
      </w:pPr>
    </w:p>
    <w:p w:rsidR="00CD42F8" w:rsidRPr="001327D4" w:rsidRDefault="00CD42F8" w:rsidP="009F6C23">
      <w:pPr>
        <w:pStyle w:val="Heading3"/>
      </w:pPr>
      <w:r w:rsidRPr="001327D4">
        <w:t>Major Duties</w:t>
      </w:r>
    </w:p>
    <w:p w:rsidR="0027454C" w:rsidRDefault="0027454C" w:rsidP="0027454C">
      <w:pPr>
        <w:pStyle w:val="BodyText"/>
        <w:numPr>
          <w:ilvl w:val="0"/>
          <w:numId w:val="18"/>
        </w:numPr>
        <w:ind w:left="426" w:hanging="426"/>
        <w:jc w:val="both"/>
        <w:rPr>
          <w:rFonts w:cs="Arial"/>
          <w:sz w:val="22"/>
        </w:rPr>
      </w:pPr>
      <w:r>
        <w:rPr>
          <w:rFonts w:cs="Arial"/>
          <w:sz w:val="22"/>
        </w:rPr>
        <w:t>Actively participate in the provision of an efficient and accurate payroll service ensuring compliance with relevant legislation and industrial arrangements.</w:t>
      </w:r>
    </w:p>
    <w:p w:rsidR="0027454C" w:rsidRDefault="0027454C" w:rsidP="0027454C">
      <w:pPr>
        <w:pStyle w:val="BodyText"/>
        <w:numPr>
          <w:ilvl w:val="0"/>
          <w:numId w:val="18"/>
        </w:numPr>
        <w:ind w:left="426" w:hanging="426"/>
        <w:jc w:val="both"/>
        <w:rPr>
          <w:rFonts w:cs="Arial"/>
          <w:sz w:val="22"/>
        </w:rPr>
      </w:pPr>
      <w:r>
        <w:rPr>
          <w:rFonts w:cs="Arial"/>
          <w:sz w:val="22"/>
        </w:rPr>
        <w:t>Undertake recruitment and establishment activities in line with relevant legislation and Agency procedures.</w:t>
      </w:r>
    </w:p>
    <w:p w:rsidR="0027454C" w:rsidRDefault="0027454C" w:rsidP="0027454C">
      <w:pPr>
        <w:pStyle w:val="BodyText"/>
        <w:numPr>
          <w:ilvl w:val="0"/>
          <w:numId w:val="18"/>
        </w:numPr>
        <w:ind w:left="426" w:hanging="426"/>
        <w:jc w:val="both"/>
        <w:rPr>
          <w:rFonts w:cs="Arial"/>
          <w:sz w:val="22"/>
        </w:rPr>
      </w:pPr>
      <w:r>
        <w:rPr>
          <w:rFonts w:cs="Arial"/>
          <w:sz w:val="22"/>
        </w:rPr>
        <w:t>Provide advice and assistance to a range of stakeholders on legislation, award interpretation and People and Culture related policies and procedures.</w:t>
      </w:r>
    </w:p>
    <w:p w:rsidR="0027454C" w:rsidRDefault="0027454C" w:rsidP="0027454C">
      <w:pPr>
        <w:pStyle w:val="BodyText"/>
        <w:numPr>
          <w:ilvl w:val="0"/>
          <w:numId w:val="18"/>
        </w:numPr>
        <w:ind w:left="426" w:hanging="426"/>
        <w:jc w:val="both"/>
        <w:rPr>
          <w:rFonts w:cs="Arial"/>
          <w:sz w:val="22"/>
        </w:rPr>
      </w:pPr>
      <w:r>
        <w:rPr>
          <w:rFonts w:cs="Arial"/>
          <w:sz w:val="22"/>
        </w:rPr>
        <w:t>Prepare routine correspondence relating to day to day operational activities.</w:t>
      </w:r>
    </w:p>
    <w:p w:rsidR="0027454C" w:rsidRDefault="0027454C" w:rsidP="0027454C">
      <w:pPr>
        <w:pStyle w:val="BodyText"/>
        <w:numPr>
          <w:ilvl w:val="0"/>
          <w:numId w:val="18"/>
        </w:numPr>
        <w:ind w:left="426" w:hanging="426"/>
        <w:jc w:val="both"/>
        <w:rPr>
          <w:rFonts w:cs="Arial"/>
          <w:sz w:val="22"/>
        </w:rPr>
      </w:pPr>
      <w:r>
        <w:rPr>
          <w:rFonts w:cs="Arial"/>
          <w:sz w:val="22"/>
        </w:rPr>
        <w:t>Assist with quality assurance and data integrity of operational activities.</w:t>
      </w:r>
    </w:p>
    <w:p w:rsidR="0027454C" w:rsidRPr="0027454C" w:rsidRDefault="0027454C" w:rsidP="0027454C">
      <w:pPr>
        <w:pStyle w:val="BodyText"/>
        <w:numPr>
          <w:ilvl w:val="0"/>
          <w:numId w:val="18"/>
        </w:numPr>
        <w:ind w:left="426" w:hanging="426"/>
        <w:jc w:val="both"/>
        <w:rPr>
          <w:rFonts w:cs="Arial"/>
          <w:sz w:val="22"/>
        </w:rPr>
      </w:pPr>
      <w:r w:rsidRPr="0027454C">
        <w:rPr>
          <w:rFonts w:cs="Arial"/>
          <w:sz w:val="22"/>
        </w:rPr>
        <w:t>Assist in the development, implementation and review of business improvement initiatives.</w:t>
      </w:r>
    </w:p>
    <w:p w:rsidR="00360930" w:rsidRDefault="00360930" w:rsidP="006C2ED7">
      <w:pPr>
        <w:pStyle w:val="Heading3"/>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27454C" w:rsidRDefault="0027454C" w:rsidP="0027454C">
      <w:pPr>
        <w:tabs>
          <w:tab w:val="clear" w:pos="2835"/>
        </w:tabs>
        <w:spacing w:before="0" w:after="200"/>
        <w:jc w:val="both"/>
        <w:rPr>
          <w:rFonts w:cs="Arial"/>
          <w:sz w:val="22"/>
        </w:rPr>
      </w:pPr>
      <w:r>
        <w:rPr>
          <w:rFonts w:cs="Arial"/>
          <w:sz w:val="22"/>
        </w:rPr>
        <w:t>Under general direction and instruction for the Manager Operational Services, this role is responsible for the efficient and accurate delivery of day to day operational functions.  This role also receives direction and support from the Team Leader, Operational Services.</w:t>
      </w:r>
    </w:p>
    <w:p w:rsidR="0027454C" w:rsidRDefault="0027454C" w:rsidP="0027454C">
      <w:pPr>
        <w:tabs>
          <w:tab w:val="clear" w:pos="2835"/>
        </w:tabs>
        <w:spacing w:before="0" w:after="200"/>
        <w:jc w:val="both"/>
        <w:rPr>
          <w:rFonts w:cs="Arial"/>
          <w:sz w:val="22"/>
        </w:rPr>
      </w:pPr>
      <w:r>
        <w:rPr>
          <w:rFonts w:cs="Arial"/>
          <w:sz w:val="22"/>
        </w:rPr>
        <w:t xml:space="preserve">A key expectation of this role is the establishment of co-operative and beneficial relationships with colleagues and clients. </w:t>
      </w:r>
    </w:p>
    <w:p w:rsidR="0027454C" w:rsidRDefault="0027454C" w:rsidP="0027454C">
      <w:pPr>
        <w:tabs>
          <w:tab w:val="clear" w:pos="2835"/>
        </w:tabs>
        <w:spacing w:before="0" w:after="200"/>
        <w:jc w:val="both"/>
        <w:rPr>
          <w:rFonts w:cs="Arial"/>
          <w:sz w:val="22"/>
        </w:rPr>
      </w:pPr>
      <w:r>
        <w:rPr>
          <w:rFonts w:cs="Arial"/>
          <w:sz w:val="22"/>
        </w:rPr>
        <w:lastRenderedPageBreak/>
        <w:t>The occupant is expected to operate with a degree of independent judgement in applying established practices, procedures and processes. The occupant will work towards achieving the priorities and objectives of the Operational Services team.  The occupant is expected to use initiative to resolve non-complex matters and to make recommendations based on evidence.</w:t>
      </w:r>
    </w:p>
    <w:p w:rsidR="0027454C" w:rsidRDefault="0027454C" w:rsidP="0027454C">
      <w:pPr>
        <w:tabs>
          <w:tab w:val="clear" w:pos="2835"/>
        </w:tabs>
        <w:spacing w:before="0" w:after="200"/>
        <w:jc w:val="both"/>
        <w:rPr>
          <w:rFonts w:cs="Arial"/>
          <w:sz w:val="22"/>
        </w:rPr>
      </w:pPr>
    </w:p>
    <w:p w:rsidR="001327D4" w:rsidRPr="0027454C" w:rsidRDefault="00726176" w:rsidP="0027454C">
      <w:pPr>
        <w:tabs>
          <w:tab w:val="clear" w:pos="2835"/>
        </w:tabs>
        <w:spacing w:before="0" w:after="200"/>
        <w:rPr>
          <w:b/>
          <w:color w:val="000000" w:themeColor="text1"/>
        </w:rPr>
      </w:pPr>
      <w:r w:rsidRPr="0027454C">
        <w:rPr>
          <w:b/>
        </w:rPr>
        <w:t>Selection Criteria (</w:t>
      </w:r>
      <w:r w:rsidR="00D17EEE" w:rsidRPr="0027454C">
        <w:rPr>
          <w:b/>
        </w:rPr>
        <w:t>Knowledge and Skills</w:t>
      </w:r>
      <w:r w:rsidRPr="0027454C">
        <w:rPr>
          <w:b/>
        </w:rPr>
        <w:t>)</w:t>
      </w:r>
      <w:r w:rsidR="00D17EEE" w:rsidRPr="0027454C">
        <w:rPr>
          <w:b/>
        </w:rPr>
        <w:t>:</w:t>
      </w:r>
    </w:p>
    <w:p w:rsidR="0027454C" w:rsidRDefault="0027454C" w:rsidP="0027454C">
      <w:pPr>
        <w:pStyle w:val="BodyText"/>
        <w:jc w:val="both"/>
        <w:rPr>
          <w:rFonts w:cs="Arial"/>
          <w:sz w:val="22"/>
        </w:rPr>
      </w:pPr>
      <w:r>
        <w:rPr>
          <w:rFonts w:cs="Arial"/>
          <w:sz w:val="22"/>
        </w:rPr>
        <w:t xml:space="preserve">The Department of State Growth insists on a collaborative and consultative approach, especially </w:t>
      </w:r>
      <w:proofErr w:type="gramStart"/>
      <w:r>
        <w:rPr>
          <w:rFonts w:cs="Arial"/>
          <w:sz w:val="22"/>
        </w:rPr>
        <w:t>involving</w:t>
      </w:r>
      <w:proofErr w:type="gramEnd"/>
      <w:r>
        <w:rPr>
          <w:rFonts w:cs="Arial"/>
          <w:sz w:val="22"/>
        </w:rPr>
        <w:t xml:space="preserve"> integrity, respect and openness in dealing with others and believes teamwork, effective communication and professionalism are essential in achieving higher quality outcomes.</w:t>
      </w:r>
    </w:p>
    <w:p w:rsidR="0027454C" w:rsidRDefault="0027454C" w:rsidP="0027454C">
      <w:pPr>
        <w:pStyle w:val="ListParagraph"/>
        <w:numPr>
          <w:ilvl w:val="0"/>
          <w:numId w:val="25"/>
        </w:numPr>
        <w:tabs>
          <w:tab w:val="clear" w:pos="2835"/>
        </w:tabs>
        <w:spacing w:before="0" w:after="0" w:line="240" w:lineRule="auto"/>
        <w:ind w:left="425" w:hanging="357"/>
        <w:jc w:val="both"/>
        <w:rPr>
          <w:rFonts w:cs="Arial"/>
          <w:sz w:val="22"/>
        </w:rPr>
      </w:pPr>
      <w:r>
        <w:rPr>
          <w:rFonts w:cs="Arial"/>
          <w:sz w:val="22"/>
        </w:rPr>
        <w:t>Knowledge of and experience in human resources practices and processes, particularly in the areas of payroll and recruitment.</w:t>
      </w:r>
    </w:p>
    <w:p w:rsidR="0027454C" w:rsidRPr="00CC11D9" w:rsidRDefault="0027454C" w:rsidP="0027454C">
      <w:pPr>
        <w:tabs>
          <w:tab w:val="clear" w:pos="2835"/>
        </w:tabs>
        <w:spacing w:before="0" w:after="0" w:line="240" w:lineRule="auto"/>
        <w:jc w:val="both"/>
        <w:rPr>
          <w:rFonts w:cs="Arial"/>
          <w:sz w:val="22"/>
        </w:rPr>
      </w:pPr>
    </w:p>
    <w:p w:rsidR="0027454C" w:rsidRDefault="0027454C" w:rsidP="0027454C">
      <w:pPr>
        <w:pStyle w:val="ListParagraph"/>
        <w:numPr>
          <w:ilvl w:val="0"/>
          <w:numId w:val="25"/>
        </w:numPr>
        <w:tabs>
          <w:tab w:val="clear" w:pos="2835"/>
        </w:tabs>
        <w:spacing w:before="0" w:after="0" w:line="240" w:lineRule="auto"/>
        <w:ind w:left="425" w:hanging="357"/>
        <w:jc w:val="both"/>
        <w:rPr>
          <w:rFonts w:cs="Arial"/>
          <w:sz w:val="22"/>
        </w:rPr>
      </w:pPr>
      <w:r>
        <w:rPr>
          <w:rFonts w:cs="Arial"/>
          <w:sz w:val="22"/>
        </w:rPr>
        <w:t>Knowledge of and experience in the application of State Service procedures and legislation or a demonstrated capability to develop such knowledge within a reasonable timeframe.</w:t>
      </w:r>
    </w:p>
    <w:p w:rsidR="0027454C" w:rsidRPr="00CC11D9" w:rsidRDefault="0027454C" w:rsidP="0027454C">
      <w:pPr>
        <w:pStyle w:val="ListParagraph"/>
        <w:jc w:val="both"/>
        <w:rPr>
          <w:rFonts w:cs="Arial"/>
          <w:sz w:val="22"/>
        </w:rPr>
      </w:pPr>
    </w:p>
    <w:p w:rsidR="0027454C" w:rsidRDefault="0027454C" w:rsidP="0027454C">
      <w:pPr>
        <w:pStyle w:val="ListParagraph"/>
        <w:numPr>
          <w:ilvl w:val="0"/>
          <w:numId w:val="25"/>
        </w:numPr>
        <w:tabs>
          <w:tab w:val="clear" w:pos="2835"/>
        </w:tabs>
        <w:spacing w:before="0" w:after="0" w:line="240" w:lineRule="auto"/>
        <w:ind w:left="425" w:hanging="357"/>
        <w:jc w:val="both"/>
        <w:rPr>
          <w:rFonts w:cs="Arial"/>
          <w:sz w:val="22"/>
        </w:rPr>
      </w:pPr>
      <w:r>
        <w:rPr>
          <w:rFonts w:cs="Arial"/>
          <w:sz w:val="22"/>
        </w:rPr>
        <w:t>Well-developed written and interpersonal skills including the ability to build effective relationships with a range of stakeholders in providing a high level client service.</w:t>
      </w:r>
    </w:p>
    <w:p w:rsidR="0027454C" w:rsidRPr="00CC11D9" w:rsidRDefault="0027454C" w:rsidP="0027454C">
      <w:pPr>
        <w:pStyle w:val="ListParagraph"/>
        <w:jc w:val="both"/>
        <w:rPr>
          <w:rFonts w:cs="Arial"/>
          <w:sz w:val="22"/>
        </w:rPr>
      </w:pPr>
    </w:p>
    <w:p w:rsidR="0027454C" w:rsidRDefault="0027454C" w:rsidP="0027454C">
      <w:pPr>
        <w:pStyle w:val="ListParagraph"/>
        <w:numPr>
          <w:ilvl w:val="0"/>
          <w:numId w:val="25"/>
        </w:numPr>
        <w:tabs>
          <w:tab w:val="clear" w:pos="2835"/>
        </w:tabs>
        <w:spacing w:before="0" w:after="0" w:line="240" w:lineRule="auto"/>
        <w:ind w:left="425" w:hanging="357"/>
        <w:jc w:val="both"/>
        <w:rPr>
          <w:rFonts w:cs="Arial"/>
          <w:sz w:val="22"/>
        </w:rPr>
      </w:pPr>
      <w:r>
        <w:rPr>
          <w:rFonts w:cs="Arial"/>
          <w:sz w:val="22"/>
        </w:rPr>
        <w:t>Demonstrated organisational skills and adaptability, with proven experience setting priorities and working as an effective member of a team in an environment with competing priorities to ensure deadlines are met.</w:t>
      </w:r>
    </w:p>
    <w:p w:rsidR="0027454C" w:rsidRPr="009C5EF7" w:rsidRDefault="0027454C" w:rsidP="0027454C">
      <w:pPr>
        <w:pStyle w:val="ListParagraph"/>
        <w:rPr>
          <w:rFonts w:cs="Arial"/>
          <w:sz w:val="22"/>
        </w:rPr>
      </w:pPr>
    </w:p>
    <w:p w:rsidR="0027454C" w:rsidRPr="00CC11D9" w:rsidRDefault="0027454C" w:rsidP="0027454C">
      <w:pPr>
        <w:pStyle w:val="ListParagraph"/>
        <w:numPr>
          <w:ilvl w:val="0"/>
          <w:numId w:val="25"/>
        </w:numPr>
        <w:tabs>
          <w:tab w:val="clear" w:pos="2835"/>
        </w:tabs>
        <w:spacing w:before="0" w:after="0" w:line="240" w:lineRule="auto"/>
        <w:ind w:left="425" w:hanging="357"/>
        <w:jc w:val="both"/>
        <w:rPr>
          <w:rFonts w:cs="Arial"/>
          <w:sz w:val="22"/>
        </w:rPr>
      </w:pPr>
      <w:r>
        <w:rPr>
          <w:rFonts w:cs="Arial"/>
          <w:sz w:val="22"/>
        </w:rPr>
        <w:t>Demonstrated experience with information management systems, with the ability adapt this knowledge\experience to a human resources setting.</w:t>
      </w:r>
    </w:p>
    <w:p w:rsidR="0027454C" w:rsidRDefault="0027454C" w:rsidP="0027454C">
      <w:pPr>
        <w:tabs>
          <w:tab w:val="clear" w:pos="2835"/>
        </w:tabs>
        <w:spacing w:before="0" w:after="0" w:line="240" w:lineRule="auto"/>
        <w:ind w:right="-1"/>
        <w:jc w:val="both"/>
        <w:rPr>
          <w:rFonts w:cs="Arial"/>
          <w:b/>
          <w:sz w:val="22"/>
        </w:rPr>
      </w:pPr>
    </w:p>
    <w:p w:rsidR="0027454C" w:rsidRDefault="0027454C" w:rsidP="0027454C">
      <w:pPr>
        <w:tabs>
          <w:tab w:val="clear" w:pos="2835"/>
        </w:tabs>
        <w:spacing w:before="0" w:after="0" w:line="240" w:lineRule="auto"/>
        <w:ind w:right="-1"/>
        <w:jc w:val="both"/>
        <w:rPr>
          <w:rFonts w:cs="Arial"/>
          <w:b/>
          <w:sz w:val="22"/>
        </w:rPr>
      </w:pPr>
    </w:p>
    <w:p w:rsidR="006C2ED7" w:rsidRPr="0027454C" w:rsidRDefault="006C2ED7" w:rsidP="0027454C">
      <w:pPr>
        <w:tabs>
          <w:tab w:val="clear" w:pos="2835"/>
        </w:tabs>
        <w:spacing w:before="0" w:after="0" w:line="240" w:lineRule="auto"/>
        <w:ind w:right="-1"/>
        <w:jc w:val="both"/>
        <w:rPr>
          <w:b/>
        </w:rPr>
      </w:pPr>
      <w:r w:rsidRPr="0027454C">
        <w:rPr>
          <w:b/>
        </w:rP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27454C" w:rsidRDefault="00F86C79" w:rsidP="009F6C23">
      <w:pPr>
        <w:pStyle w:val="ListParagraph"/>
        <w:numPr>
          <w:ilvl w:val="0"/>
          <w:numId w:val="17"/>
        </w:numPr>
        <w:tabs>
          <w:tab w:val="clear" w:pos="2835"/>
        </w:tabs>
        <w:spacing w:before="0" w:after="200"/>
        <w:ind w:left="426"/>
        <w:rPr>
          <w:b/>
          <w:sz w:val="22"/>
        </w:rPr>
      </w:pPr>
      <w:r w:rsidRPr="0027454C">
        <w:rPr>
          <w:rFonts w:cs="Arial"/>
          <w:sz w:val="22"/>
        </w:rPr>
        <w:t>Nil</w:t>
      </w:r>
    </w:p>
    <w:p w:rsidR="00E15171" w:rsidRPr="0027454C" w:rsidRDefault="00E15171" w:rsidP="00E15171">
      <w:pPr>
        <w:pStyle w:val="Heading4"/>
        <w:rPr>
          <w:rFonts w:ascii="Gill Sans MT" w:hAnsi="Gill Sans MT"/>
          <w:color w:val="auto"/>
          <w:sz w:val="22"/>
        </w:rPr>
      </w:pPr>
      <w:r w:rsidRPr="0027454C">
        <w:rPr>
          <w:rFonts w:ascii="Gill Sans MT" w:hAnsi="Gill Sans MT"/>
          <w:color w:val="auto"/>
          <w:sz w:val="22"/>
        </w:rPr>
        <w:t>Essential</w:t>
      </w:r>
    </w:p>
    <w:p w:rsidR="00F86C79" w:rsidRPr="0027454C" w:rsidRDefault="00F86C79" w:rsidP="009A1040">
      <w:pPr>
        <w:pStyle w:val="ListParagraph"/>
        <w:numPr>
          <w:ilvl w:val="0"/>
          <w:numId w:val="17"/>
        </w:numPr>
        <w:spacing w:line="240" w:lineRule="auto"/>
        <w:ind w:left="426" w:right="397"/>
        <w:rPr>
          <w:rFonts w:cs="Arial"/>
          <w:bCs/>
          <w:sz w:val="22"/>
        </w:rPr>
      </w:pPr>
      <w:r w:rsidRPr="0027454C">
        <w:rPr>
          <w:rFonts w:cs="Arial"/>
          <w:sz w:val="22"/>
        </w:rPr>
        <w:t xml:space="preserve">Nil </w:t>
      </w:r>
    </w:p>
    <w:p w:rsidR="0027454C" w:rsidRPr="0027454C" w:rsidRDefault="00E15171" w:rsidP="0027454C">
      <w:pPr>
        <w:pStyle w:val="Heading4"/>
        <w:rPr>
          <w:rFonts w:ascii="Gill Sans MT" w:hAnsi="Gill Sans MT"/>
          <w:color w:val="auto"/>
          <w:sz w:val="22"/>
        </w:rPr>
      </w:pPr>
      <w:r w:rsidRPr="0027454C">
        <w:rPr>
          <w:rFonts w:ascii="Gill Sans MT" w:hAnsi="Gill Sans MT"/>
          <w:color w:val="auto"/>
          <w:sz w:val="22"/>
        </w:rPr>
        <w:t>Desirable</w:t>
      </w:r>
    </w:p>
    <w:p w:rsidR="00C648C9" w:rsidRPr="0027454C" w:rsidRDefault="00C648C9" w:rsidP="00C648C9">
      <w:pPr>
        <w:pStyle w:val="ListParagraph"/>
        <w:numPr>
          <w:ilvl w:val="0"/>
          <w:numId w:val="17"/>
        </w:numPr>
        <w:tabs>
          <w:tab w:val="clear" w:pos="2835"/>
        </w:tabs>
        <w:spacing w:before="0" w:after="200"/>
        <w:ind w:left="426"/>
        <w:rPr>
          <w:b/>
          <w:sz w:val="22"/>
        </w:rPr>
      </w:pPr>
      <w:r w:rsidRPr="0027454C">
        <w:rPr>
          <w:rFonts w:cs="Arial"/>
          <w:sz w:val="22"/>
        </w:rPr>
        <w:t>Nil</w:t>
      </w:r>
    </w:p>
    <w:p w:rsidR="00F87DED" w:rsidRDefault="00F87DED" w:rsidP="00F87DED">
      <w:pPr>
        <w:pStyle w:val="Heading3"/>
        <w:spacing w:before="0" w:after="0" w:line="240" w:lineRule="auto"/>
      </w:pPr>
    </w:p>
    <w:p w:rsidR="009A1040" w:rsidRDefault="009A1040" w:rsidP="00F87DED">
      <w:pPr>
        <w:pStyle w:val="Heading3"/>
        <w:spacing w:before="0" w:after="0" w:line="240" w:lineRule="auto"/>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w:t>
      </w:r>
      <w:bookmarkStart w:id="0" w:name="_GoBack"/>
      <w:bookmarkEnd w:id="0"/>
      <w:r w:rsidRPr="00A4261D">
        <w:rPr>
          <w:rFonts w:cs="Arial"/>
          <w:sz w:val="22"/>
        </w:rPr>
        <w:t>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lastRenderedPageBreak/>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26" w:rsidRDefault="009F3C26" w:rsidP="00BC49A5">
      <w:r>
        <w:separator/>
      </w:r>
    </w:p>
  </w:endnote>
  <w:endnote w:type="continuationSeparator" w:id="0">
    <w:p w:rsidR="009F3C26" w:rsidRDefault="009F3C2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27454C">
          <w:rPr>
            <w:noProof/>
          </w:rPr>
          <w:t>3</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27454C">
          <w:rPr>
            <w:noProof/>
          </w:rPr>
          <w:t>1</w:t>
        </w:r>
        <w:r>
          <w:rPr>
            <w:noProof/>
          </w:rPr>
          <w:fldChar w:fldCharType="end"/>
        </w:r>
      </w:p>
      <w:p w:rsidR="001A7FED" w:rsidRDefault="004674FB" w:rsidP="004674FB">
        <w:pPr>
          <w:pStyle w:val="Footer"/>
          <w:tabs>
            <w:tab w:val="clear" w:pos="4513"/>
            <w:tab w:val="center" w:pos="8222"/>
          </w:tabs>
        </w:pPr>
        <w:r>
          <w:rPr>
            <w:sz w:val="14"/>
          </w:rPr>
          <w:t xml:space="preserve">Template </w:t>
        </w:r>
        <w:r>
          <w:rPr>
            <w:sz w:val="14"/>
          </w:rPr>
          <w:fldChar w:fldCharType="begin"/>
        </w:r>
        <w:r>
          <w:rPr>
            <w:sz w:val="14"/>
          </w:rPr>
          <w:instrText xml:space="preserve"> CREATEDATE  \@ "d/MM/yyyy"  \* MERGEFORMAT </w:instrText>
        </w:r>
        <w:r>
          <w:rPr>
            <w:sz w:val="14"/>
          </w:rPr>
          <w:fldChar w:fldCharType="separate"/>
        </w:r>
        <w:r>
          <w:rPr>
            <w:noProof/>
            <w:sz w:val="14"/>
          </w:rPr>
          <w:t>16/03/2018</w:t>
        </w:r>
        <w:r>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26" w:rsidRDefault="009F3C26" w:rsidP="00BC49A5">
      <w:r>
        <w:separator/>
      </w:r>
    </w:p>
  </w:footnote>
  <w:footnote w:type="continuationSeparator" w:id="0">
    <w:p w:rsidR="009F3C26" w:rsidRDefault="009F3C26"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0C39E7"/>
    <w:multiLevelType w:val="hybridMultilevel"/>
    <w:tmpl w:val="1736E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6"/>
  </w:num>
  <w:num w:numId="5">
    <w:abstractNumId w:val="2"/>
  </w:num>
  <w:num w:numId="6">
    <w:abstractNumId w:val="22"/>
  </w:num>
  <w:num w:numId="7">
    <w:abstractNumId w:val="5"/>
  </w:num>
  <w:num w:numId="8">
    <w:abstractNumId w:val="24"/>
  </w:num>
  <w:num w:numId="9">
    <w:abstractNumId w:val="3"/>
  </w:num>
  <w:num w:numId="10">
    <w:abstractNumId w:val="0"/>
  </w:num>
  <w:num w:numId="11">
    <w:abstractNumId w:val="11"/>
  </w:num>
  <w:num w:numId="12">
    <w:abstractNumId w:val="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8"/>
  </w:num>
  <w:num w:numId="17">
    <w:abstractNumId w:val="14"/>
  </w:num>
  <w:num w:numId="18">
    <w:abstractNumId w:val="15"/>
  </w:num>
  <w:num w:numId="19">
    <w:abstractNumId w:val="13"/>
  </w:num>
  <w:num w:numId="20">
    <w:abstractNumId w:val="21"/>
  </w:num>
  <w:num w:numId="21">
    <w:abstractNumId w:val="18"/>
  </w:num>
  <w:num w:numId="22">
    <w:abstractNumId w:val="9"/>
  </w:num>
  <w:num w:numId="23">
    <w:abstractNumId w:val="7"/>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99F"/>
    <w:rsid w:val="0027454C"/>
    <w:rsid w:val="002804C0"/>
    <w:rsid w:val="00285365"/>
    <w:rsid w:val="002A584C"/>
    <w:rsid w:val="002B256E"/>
    <w:rsid w:val="002E221A"/>
    <w:rsid w:val="002E33F1"/>
    <w:rsid w:val="003058D6"/>
    <w:rsid w:val="00331842"/>
    <w:rsid w:val="003420FF"/>
    <w:rsid w:val="00360930"/>
    <w:rsid w:val="00371F59"/>
    <w:rsid w:val="00391075"/>
    <w:rsid w:val="003951E9"/>
    <w:rsid w:val="0039695F"/>
    <w:rsid w:val="003B0A4C"/>
    <w:rsid w:val="003C5DE2"/>
    <w:rsid w:val="003E0CDE"/>
    <w:rsid w:val="003F1C1E"/>
    <w:rsid w:val="003F442E"/>
    <w:rsid w:val="00411FA3"/>
    <w:rsid w:val="00417933"/>
    <w:rsid w:val="004674FB"/>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40A9D"/>
    <w:rsid w:val="008728F7"/>
    <w:rsid w:val="008732A5"/>
    <w:rsid w:val="00877B74"/>
    <w:rsid w:val="008B26CF"/>
    <w:rsid w:val="008F1AEF"/>
    <w:rsid w:val="008F3009"/>
    <w:rsid w:val="008F3F19"/>
    <w:rsid w:val="00905B48"/>
    <w:rsid w:val="0093612C"/>
    <w:rsid w:val="00946348"/>
    <w:rsid w:val="00956D67"/>
    <w:rsid w:val="009601AD"/>
    <w:rsid w:val="00967EC2"/>
    <w:rsid w:val="00997371"/>
    <w:rsid w:val="009A1040"/>
    <w:rsid w:val="009A65F9"/>
    <w:rsid w:val="009B4518"/>
    <w:rsid w:val="009C1CB0"/>
    <w:rsid w:val="009C299E"/>
    <w:rsid w:val="009C31F1"/>
    <w:rsid w:val="009D278A"/>
    <w:rsid w:val="009D522C"/>
    <w:rsid w:val="009F3C26"/>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2463C"/>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EAE7-AC2A-4B38-8E9C-D331DBB3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Clifton, David</cp:lastModifiedBy>
  <cp:revision>2</cp:revision>
  <cp:lastPrinted>2017-08-09T01:49:00Z</cp:lastPrinted>
  <dcterms:created xsi:type="dcterms:W3CDTF">2018-05-11T05:29:00Z</dcterms:created>
  <dcterms:modified xsi:type="dcterms:W3CDTF">2018-05-11T05:29:00Z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