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1C4" w:rsidRPr="00181065" w:rsidRDefault="00111068" w:rsidP="00181065">
      <w:pPr>
        <w:jc w:val="center"/>
        <w:rPr>
          <w:rFonts w:asciiTheme="minorHAnsi" w:hAnsiTheme="minorHAnsi"/>
        </w:rPr>
      </w:pPr>
      <w:bookmarkStart w:id="0" w:name="_GoBack"/>
      <w:bookmarkEnd w:id="0"/>
      <w:r w:rsidRPr="00181065">
        <w:rPr>
          <w:rFonts w:asciiTheme="minorHAnsi" w:hAnsiTheme="minorHAnsi"/>
          <w:noProof/>
          <w:lang w:val="en-AU" w:eastAsia="en-AU"/>
        </w:rPr>
        <w:drawing>
          <wp:inline distT="0" distB="0" distL="0" distR="0" wp14:anchorId="019AC2DF" wp14:editId="2932A3F4">
            <wp:extent cx="2710180" cy="1348740"/>
            <wp:effectExtent l="0" t="0" r="0" b="3810"/>
            <wp:docPr id="4" name="Picture 4" descr="Logo of the Tasmanian Audit Office " title="Tasmanian Audi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dit_RGB_COL_H"/>
                    <pic:cNvPicPr>
                      <a:picLocks noChangeAspect="1" noChangeArrowheads="1"/>
                    </pic:cNvPicPr>
                  </pic:nvPicPr>
                  <pic:blipFill>
                    <a:blip r:embed="rId7" cstate="print">
                      <a:extLst>
                        <a:ext uri="{28A0092B-C50C-407E-A947-70E740481C1C}">
                          <a14:useLocalDpi xmlns:a14="http://schemas.microsoft.com/office/drawing/2010/main" val="0"/>
                        </a:ext>
                      </a:extLst>
                    </a:blip>
                    <a:srcRect l="10153" t="17569" r="10617" b="17184"/>
                    <a:stretch>
                      <a:fillRect/>
                    </a:stretch>
                  </pic:blipFill>
                  <pic:spPr bwMode="auto">
                    <a:xfrm>
                      <a:off x="0" y="0"/>
                      <a:ext cx="2710180" cy="1348740"/>
                    </a:xfrm>
                    <a:prstGeom prst="rect">
                      <a:avLst/>
                    </a:prstGeom>
                    <a:noFill/>
                    <a:ln>
                      <a:noFill/>
                    </a:ln>
                  </pic:spPr>
                </pic:pic>
              </a:graphicData>
            </a:graphic>
          </wp:inline>
        </w:drawing>
      </w:r>
    </w:p>
    <w:p w:rsidR="00F42BB6" w:rsidRPr="00181065" w:rsidRDefault="00F42BB6" w:rsidP="00181065">
      <w:pPr>
        <w:jc w:val="center"/>
        <w:rPr>
          <w:rFonts w:asciiTheme="minorHAnsi" w:hAnsiTheme="minorHAnsi"/>
          <w:b/>
          <w:color w:val="000080"/>
          <w:sz w:val="36"/>
          <w:szCs w:val="36"/>
        </w:rPr>
      </w:pPr>
    </w:p>
    <w:p w:rsidR="00DA760F" w:rsidRPr="00181065" w:rsidRDefault="00DA760F" w:rsidP="00181065">
      <w:pPr>
        <w:pStyle w:val="Title"/>
        <w:rPr>
          <w:rFonts w:asciiTheme="minorHAnsi" w:hAnsiTheme="minorHAnsi"/>
        </w:rPr>
      </w:pPr>
      <w:r w:rsidRPr="00181065">
        <w:rPr>
          <w:rFonts w:asciiTheme="minorHAnsi" w:hAnsiTheme="minorHAnsi"/>
        </w:rPr>
        <w:t>Statement of Duties</w:t>
      </w:r>
    </w:p>
    <w:p w:rsidR="00DA760F" w:rsidRPr="00181065" w:rsidRDefault="00DA760F" w:rsidP="00181065">
      <w:pPr>
        <w:rPr>
          <w:rFonts w:asciiTheme="minorHAnsi" w:hAnsiTheme="minorHAnsi" w:cs="Arial"/>
          <w:b/>
          <w:sz w:val="28"/>
          <w:szCs w:val="28"/>
        </w:rPr>
      </w:pPr>
    </w:p>
    <w:p w:rsidR="006D0A85" w:rsidRPr="00181065" w:rsidRDefault="00DA760F" w:rsidP="00F46B1B">
      <w:pPr>
        <w:jc w:val="both"/>
        <w:rPr>
          <w:rFonts w:asciiTheme="minorHAnsi" w:hAnsiTheme="minorHAnsi"/>
          <w:b/>
          <w:color w:val="000080"/>
          <w:sz w:val="28"/>
          <w:szCs w:val="28"/>
        </w:rPr>
      </w:pPr>
      <w:r w:rsidRPr="00181065">
        <w:rPr>
          <w:rStyle w:val="Heading1Char"/>
        </w:rPr>
        <w:t>Position</w:t>
      </w:r>
      <w:r w:rsidR="0085697A" w:rsidRPr="00181065">
        <w:rPr>
          <w:rStyle w:val="Heading1Char"/>
        </w:rPr>
        <w:t xml:space="preserve"> Title</w:t>
      </w:r>
      <w:r w:rsidRPr="00181065">
        <w:rPr>
          <w:rStyle w:val="Heading1Char"/>
        </w:rPr>
        <w:t>:</w:t>
      </w:r>
      <w:r w:rsidR="00F42BB6" w:rsidRPr="00181065">
        <w:rPr>
          <w:rFonts w:asciiTheme="minorHAnsi" w:hAnsiTheme="minorHAnsi"/>
          <w:b/>
          <w:color w:val="000080"/>
          <w:sz w:val="28"/>
          <w:szCs w:val="28"/>
        </w:rPr>
        <w:tab/>
      </w:r>
      <w:r w:rsidR="00F42BB6" w:rsidRPr="00181065">
        <w:rPr>
          <w:rFonts w:asciiTheme="minorHAnsi" w:hAnsiTheme="minorHAnsi"/>
          <w:b/>
          <w:color w:val="000080"/>
          <w:sz w:val="28"/>
          <w:szCs w:val="28"/>
        </w:rPr>
        <w:tab/>
      </w:r>
      <w:r w:rsidR="006C723C" w:rsidRPr="006C723C">
        <w:rPr>
          <w:rFonts w:asciiTheme="minorHAnsi" w:hAnsiTheme="minorHAnsi" w:cs="Arial"/>
          <w:sz w:val="28"/>
          <w:szCs w:val="28"/>
        </w:rPr>
        <w:t>Performance Analyst</w:t>
      </w:r>
    </w:p>
    <w:p w:rsidR="00DD5A96" w:rsidRPr="00181065" w:rsidRDefault="00DA760F" w:rsidP="00F46B1B">
      <w:pPr>
        <w:jc w:val="both"/>
        <w:rPr>
          <w:rFonts w:asciiTheme="minorHAnsi" w:hAnsiTheme="minorHAnsi" w:cs="Arial"/>
          <w:b/>
          <w:sz w:val="28"/>
          <w:szCs w:val="28"/>
        </w:rPr>
      </w:pPr>
      <w:r w:rsidRPr="00181065">
        <w:rPr>
          <w:rStyle w:val="Heading1Char"/>
        </w:rPr>
        <w:t>Vacancy</w:t>
      </w:r>
      <w:r w:rsidR="0085697A" w:rsidRPr="00181065">
        <w:rPr>
          <w:rStyle w:val="Heading1Char"/>
        </w:rPr>
        <w:t xml:space="preserve"> Number</w:t>
      </w:r>
      <w:r w:rsidRPr="00181065">
        <w:rPr>
          <w:rStyle w:val="Heading1Char"/>
        </w:rPr>
        <w:t>:</w:t>
      </w:r>
      <w:r w:rsidR="00F42BB6" w:rsidRPr="00181065">
        <w:rPr>
          <w:rFonts w:asciiTheme="minorHAnsi" w:hAnsiTheme="minorHAnsi" w:cs="Arial"/>
          <w:b/>
          <w:sz w:val="28"/>
          <w:szCs w:val="28"/>
        </w:rPr>
        <w:tab/>
      </w:r>
      <w:r w:rsidR="00F42BB6" w:rsidRPr="00181065">
        <w:rPr>
          <w:rFonts w:asciiTheme="minorHAnsi" w:hAnsiTheme="minorHAnsi" w:cs="Arial"/>
          <w:b/>
          <w:sz w:val="28"/>
          <w:szCs w:val="28"/>
        </w:rPr>
        <w:tab/>
      </w:r>
      <w:r w:rsidR="007A773D">
        <w:rPr>
          <w:rFonts w:asciiTheme="minorHAnsi" w:hAnsiTheme="minorHAnsi" w:cs="Arial"/>
          <w:sz w:val="28"/>
          <w:szCs w:val="28"/>
        </w:rPr>
        <w:t>Various</w:t>
      </w:r>
    </w:p>
    <w:p w:rsidR="0085697A" w:rsidRPr="00181065" w:rsidRDefault="0085697A" w:rsidP="00F46B1B">
      <w:pPr>
        <w:jc w:val="both"/>
        <w:rPr>
          <w:rStyle w:val="Heading1Char"/>
        </w:rPr>
      </w:pPr>
      <w:r w:rsidRPr="00181065">
        <w:rPr>
          <w:rStyle w:val="Heading1Char"/>
        </w:rPr>
        <w:t>Award/Agreement:</w:t>
      </w:r>
      <w:r w:rsidRPr="00181065">
        <w:rPr>
          <w:rStyle w:val="Heading1Char"/>
        </w:rPr>
        <w:tab/>
      </w:r>
      <w:r w:rsidRPr="00181065">
        <w:rPr>
          <w:rFonts w:asciiTheme="minorHAnsi" w:hAnsiTheme="minorHAnsi" w:cs="Arial"/>
          <w:sz w:val="28"/>
          <w:szCs w:val="28"/>
        </w:rPr>
        <w:t xml:space="preserve">Tasmanian State Service Award </w:t>
      </w:r>
    </w:p>
    <w:p w:rsidR="00B52DA8" w:rsidRPr="00181065" w:rsidRDefault="00B52DA8" w:rsidP="00F46B1B">
      <w:pPr>
        <w:jc w:val="both"/>
        <w:rPr>
          <w:rFonts w:asciiTheme="minorHAnsi" w:hAnsiTheme="minorHAnsi" w:cs="Arial"/>
          <w:b/>
          <w:sz w:val="28"/>
          <w:szCs w:val="28"/>
        </w:rPr>
      </w:pPr>
      <w:r w:rsidRPr="00181065">
        <w:rPr>
          <w:rStyle w:val="Heading1Char"/>
        </w:rPr>
        <w:t>Classification Level:</w:t>
      </w:r>
      <w:r w:rsidRPr="00181065">
        <w:rPr>
          <w:rFonts w:asciiTheme="minorHAnsi" w:hAnsiTheme="minorHAnsi" w:cs="Arial"/>
          <w:b/>
          <w:sz w:val="28"/>
          <w:szCs w:val="28"/>
        </w:rPr>
        <w:tab/>
      </w:r>
      <w:r w:rsidR="006C723C" w:rsidRPr="006C723C">
        <w:rPr>
          <w:rFonts w:asciiTheme="minorHAnsi" w:hAnsiTheme="minorHAnsi" w:cs="Arial"/>
          <w:sz w:val="28"/>
          <w:szCs w:val="28"/>
        </w:rPr>
        <w:t>Professional</w:t>
      </w:r>
      <w:r w:rsidRPr="00181065">
        <w:rPr>
          <w:rFonts w:asciiTheme="minorHAnsi" w:hAnsiTheme="minorHAnsi" w:cs="Arial"/>
          <w:sz w:val="28"/>
          <w:szCs w:val="28"/>
        </w:rPr>
        <w:t xml:space="preserve"> Stream Band </w:t>
      </w:r>
      <w:r w:rsidR="006C723C">
        <w:rPr>
          <w:rFonts w:asciiTheme="minorHAnsi" w:hAnsiTheme="minorHAnsi" w:cs="Arial"/>
          <w:sz w:val="28"/>
          <w:szCs w:val="28"/>
        </w:rPr>
        <w:t>1</w:t>
      </w:r>
    </w:p>
    <w:p w:rsidR="0085697A" w:rsidRPr="00181065" w:rsidRDefault="00B52DA8" w:rsidP="00F46B1B">
      <w:pPr>
        <w:ind w:left="2880" w:hanging="2880"/>
        <w:jc w:val="both"/>
        <w:rPr>
          <w:rFonts w:asciiTheme="minorHAnsi" w:hAnsiTheme="minorHAnsi" w:cs="Arial"/>
          <w:sz w:val="28"/>
          <w:szCs w:val="28"/>
        </w:rPr>
      </w:pPr>
      <w:r w:rsidRPr="00181065">
        <w:rPr>
          <w:rStyle w:val="Heading1Char"/>
        </w:rPr>
        <w:t>Employment Status:</w:t>
      </w:r>
      <w:r w:rsidRPr="00181065">
        <w:rPr>
          <w:rFonts w:asciiTheme="minorHAnsi" w:hAnsiTheme="minorHAnsi"/>
          <w:b/>
          <w:color w:val="000080"/>
          <w:sz w:val="28"/>
          <w:szCs w:val="28"/>
        </w:rPr>
        <w:tab/>
      </w:r>
      <w:r w:rsidR="007A773D">
        <w:rPr>
          <w:rFonts w:asciiTheme="minorHAnsi" w:hAnsiTheme="minorHAnsi" w:cs="Arial"/>
          <w:sz w:val="28"/>
          <w:szCs w:val="28"/>
        </w:rPr>
        <w:t>Fixed-Term</w:t>
      </w:r>
      <w:r w:rsidR="006A7138" w:rsidRPr="00181065">
        <w:rPr>
          <w:rFonts w:asciiTheme="minorHAnsi" w:hAnsiTheme="minorHAnsi" w:cs="Arial"/>
          <w:sz w:val="28"/>
          <w:szCs w:val="28"/>
        </w:rPr>
        <w:t xml:space="preserve"> </w:t>
      </w:r>
      <w:r w:rsidR="006C723C">
        <w:rPr>
          <w:rFonts w:asciiTheme="minorHAnsi" w:hAnsiTheme="minorHAnsi" w:cs="Arial"/>
          <w:sz w:val="28"/>
          <w:szCs w:val="28"/>
        </w:rPr>
        <w:t xml:space="preserve">– </w:t>
      </w:r>
      <w:r w:rsidR="007A773D">
        <w:rPr>
          <w:rFonts w:asciiTheme="minorHAnsi" w:hAnsiTheme="minorHAnsi" w:cs="Arial"/>
          <w:sz w:val="28"/>
          <w:szCs w:val="28"/>
        </w:rPr>
        <w:t xml:space="preserve">Up to </w:t>
      </w:r>
      <w:r w:rsidR="006C723C">
        <w:rPr>
          <w:rFonts w:asciiTheme="minorHAnsi" w:hAnsiTheme="minorHAnsi" w:cs="Arial"/>
          <w:sz w:val="28"/>
          <w:szCs w:val="28"/>
        </w:rPr>
        <w:t>36.75</w:t>
      </w:r>
      <w:r w:rsidRPr="00181065">
        <w:rPr>
          <w:rFonts w:asciiTheme="minorHAnsi" w:hAnsiTheme="minorHAnsi" w:cs="Arial"/>
          <w:sz w:val="28"/>
          <w:szCs w:val="28"/>
        </w:rPr>
        <w:t xml:space="preserve"> hours per week</w:t>
      </w:r>
      <w:r w:rsidR="0085697A" w:rsidRPr="00181065">
        <w:rPr>
          <w:rFonts w:asciiTheme="minorHAnsi" w:hAnsiTheme="minorHAnsi" w:cs="Arial"/>
          <w:sz w:val="28"/>
          <w:szCs w:val="28"/>
        </w:rPr>
        <w:t xml:space="preserve"> (flexible) - </w:t>
      </w:r>
      <w:r w:rsidR="00181065" w:rsidRPr="00123EA4">
        <w:rPr>
          <w:rFonts w:asciiTheme="minorHAnsi" w:hAnsiTheme="minorHAnsi" w:cs="Arial"/>
          <w:b/>
          <w:sz w:val="28"/>
          <w:szCs w:val="28"/>
        </w:rPr>
        <w:t>T</w:t>
      </w:r>
      <w:r w:rsidR="0085697A" w:rsidRPr="00181065">
        <w:rPr>
          <w:rFonts w:asciiTheme="minorHAnsi" w:hAnsiTheme="minorHAnsi" w:cs="Arial"/>
          <w:b/>
          <w:sz w:val="28"/>
          <w:szCs w:val="28"/>
        </w:rPr>
        <w:t>alk to us about how this could work for you. We are open to considering a range of flexible work options including part-time hours</w:t>
      </w:r>
    </w:p>
    <w:p w:rsidR="005F4521" w:rsidRPr="00181065" w:rsidRDefault="005F4521" w:rsidP="00F46B1B">
      <w:pPr>
        <w:jc w:val="both"/>
        <w:rPr>
          <w:rFonts w:asciiTheme="minorHAnsi" w:hAnsiTheme="minorHAnsi" w:cs="Arial"/>
          <w:b/>
          <w:sz w:val="28"/>
          <w:szCs w:val="28"/>
        </w:rPr>
      </w:pPr>
      <w:r w:rsidRPr="00181065">
        <w:rPr>
          <w:rStyle w:val="Heading1Char"/>
        </w:rPr>
        <w:t>Location:</w:t>
      </w:r>
      <w:r w:rsidR="00F42BB6" w:rsidRPr="00181065">
        <w:rPr>
          <w:rFonts w:asciiTheme="minorHAnsi" w:hAnsiTheme="minorHAnsi"/>
          <w:b/>
          <w:color w:val="000080"/>
          <w:sz w:val="28"/>
          <w:szCs w:val="28"/>
        </w:rPr>
        <w:tab/>
      </w:r>
      <w:r w:rsidR="00F42BB6" w:rsidRPr="00181065">
        <w:rPr>
          <w:rFonts w:asciiTheme="minorHAnsi" w:hAnsiTheme="minorHAnsi"/>
          <w:b/>
          <w:color w:val="000080"/>
          <w:sz w:val="28"/>
          <w:szCs w:val="28"/>
        </w:rPr>
        <w:tab/>
      </w:r>
      <w:r w:rsidR="00F42BB6" w:rsidRPr="00181065">
        <w:rPr>
          <w:rFonts w:asciiTheme="minorHAnsi" w:hAnsiTheme="minorHAnsi"/>
          <w:b/>
          <w:color w:val="000080"/>
          <w:sz w:val="28"/>
          <w:szCs w:val="28"/>
        </w:rPr>
        <w:tab/>
      </w:r>
      <w:r w:rsidRPr="00181065">
        <w:rPr>
          <w:rFonts w:asciiTheme="minorHAnsi" w:hAnsiTheme="minorHAnsi" w:cs="Arial"/>
          <w:sz w:val="28"/>
          <w:szCs w:val="28"/>
        </w:rPr>
        <w:t>Hobart</w:t>
      </w:r>
    </w:p>
    <w:p w:rsidR="005F4521" w:rsidRPr="00181065" w:rsidRDefault="006A7138" w:rsidP="00F46B1B">
      <w:pPr>
        <w:jc w:val="both"/>
        <w:rPr>
          <w:rFonts w:asciiTheme="minorHAnsi" w:hAnsiTheme="minorHAnsi"/>
          <w:color w:val="000080"/>
          <w:sz w:val="28"/>
          <w:szCs w:val="28"/>
        </w:rPr>
      </w:pPr>
      <w:r w:rsidRPr="00181065">
        <w:rPr>
          <w:rStyle w:val="Heading1Char"/>
        </w:rPr>
        <w:t>Business Unit</w:t>
      </w:r>
      <w:r w:rsidR="005F4521" w:rsidRPr="00181065">
        <w:rPr>
          <w:rStyle w:val="Heading1Char"/>
        </w:rPr>
        <w:t>:</w:t>
      </w:r>
      <w:r w:rsidR="005F4521" w:rsidRPr="00181065">
        <w:rPr>
          <w:rFonts w:asciiTheme="minorHAnsi" w:hAnsiTheme="minorHAnsi"/>
          <w:b/>
          <w:color w:val="000080"/>
          <w:sz w:val="28"/>
          <w:szCs w:val="28"/>
        </w:rPr>
        <w:tab/>
      </w:r>
      <w:r w:rsidR="005F4521" w:rsidRPr="00181065">
        <w:rPr>
          <w:rFonts w:asciiTheme="minorHAnsi" w:hAnsiTheme="minorHAnsi"/>
          <w:b/>
          <w:color w:val="000080"/>
          <w:sz w:val="28"/>
          <w:szCs w:val="28"/>
        </w:rPr>
        <w:tab/>
      </w:r>
      <w:r w:rsidR="006C723C">
        <w:rPr>
          <w:rFonts w:asciiTheme="minorHAnsi" w:hAnsiTheme="minorHAnsi" w:cs="Arial"/>
          <w:sz w:val="28"/>
          <w:szCs w:val="28"/>
        </w:rPr>
        <w:t xml:space="preserve">Performance Audit Services </w:t>
      </w:r>
    </w:p>
    <w:p w:rsidR="006A7138" w:rsidRPr="00181065" w:rsidRDefault="00DA760F" w:rsidP="00F46B1B">
      <w:pPr>
        <w:jc w:val="both"/>
        <w:rPr>
          <w:rFonts w:asciiTheme="minorHAnsi" w:hAnsiTheme="minorHAnsi"/>
          <w:color w:val="000080"/>
          <w:sz w:val="28"/>
          <w:szCs w:val="28"/>
        </w:rPr>
      </w:pPr>
      <w:r w:rsidRPr="00181065">
        <w:rPr>
          <w:rStyle w:val="Heading1Char"/>
        </w:rPr>
        <w:t>Reports To:</w:t>
      </w:r>
      <w:r w:rsidR="00845BA8" w:rsidRPr="00181065">
        <w:rPr>
          <w:rFonts w:asciiTheme="minorHAnsi" w:hAnsiTheme="minorHAnsi" w:cs="Arial"/>
          <w:b/>
          <w:sz w:val="28"/>
          <w:szCs w:val="28"/>
        </w:rPr>
        <w:tab/>
      </w:r>
      <w:r w:rsidR="00845BA8" w:rsidRPr="00181065">
        <w:rPr>
          <w:rFonts w:asciiTheme="minorHAnsi" w:hAnsiTheme="minorHAnsi" w:cs="Arial"/>
          <w:b/>
          <w:sz w:val="28"/>
          <w:szCs w:val="28"/>
        </w:rPr>
        <w:tab/>
      </w:r>
      <w:r w:rsidR="00DD5A96" w:rsidRPr="00181065">
        <w:rPr>
          <w:rFonts w:asciiTheme="minorHAnsi" w:hAnsiTheme="minorHAnsi" w:cs="Arial"/>
          <w:b/>
          <w:sz w:val="28"/>
          <w:szCs w:val="28"/>
        </w:rPr>
        <w:tab/>
      </w:r>
      <w:r w:rsidR="006C723C">
        <w:rPr>
          <w:rFonts w:asciiTheme="minorHAnsi" w:hAnsiTheme="minorHAnsi" w:cs="Arial"/>
          <w:sz w:val="28"/>
          <w:szCs w:val="28"/>
        </w:rPr>
        <w:t xml:space="preserve">Manager Performance Audits </w:t>
      </w:r>
    </w:p>
    <w:p w:rsidR="005F4521" w:rsidRPr="00181065" w:rsidRDefault="00B52DA8" w:rsidP="00F46B1B">
      <w:pPr>
        <w:jc w:val="both"/>
        <w:rPr>
          <w:rFonts w:asciiTheme="minorHAnsi" w:hAnsiTheme="minorHAnsi"/>
          <w:color w:val="000080"/>
          <w:sz w:val="28"/>
          <w:szCs w:val="28"/>
        </w:rPr>
      </w:pPr>
      <w:r w:rsidRPr="00181065">
        <w:rPr>
          <w:rStyle w:val="Heading1Char"/>
        </w:rPr>
        <w:t>Direct Reports:</w:t>
      </w:r>
      <w:r w:rsidRPr="00181065">
        <w:rPr>
          <w:rFonts w:asciiTheme="minorHAnsi" w:hAnsiTheme="minorHAnsi" w:cs="Arial"/>
          <w:b/>
          <w:sz w:val="28"/>
          <w:szCs w:val="28"/>
        </w:rPr>
        <w:tab/>
      </w:r>
      <w:r w:rsidR="00404482" w:rsidRPr="00181065">
        <w:rPr>
          <w:rFonts w:asciiTheme="minorHAnsi" w:hAnsiTheme="minorHAnsi" w:cs="Arial"/>
          <w:b/>
          <w:sz w:val="28"/>
          <w:szCs w:val="28"/>
        </w:rPr>
        <w:tab/>
      </w:r>
      <w:r w:rsidR="006C723C">
        <w:rPr>
          <w:rFonts w:asciiTheme="minorHAnsi" w:hAnsiTheme="minorHAnsi" w:cs="Arial"/>
          <w:sz w:val="28"/>
          <w:szCs w:val="28"/>
        </w:rPr>
        <w:t>Nil</w:t>
      </w:r>
    </w:p>
    <w:p w:rsidR="00E4132B" w:rsidRPr="00181065" w:rsidRDefault="00E4132B" w:rsidP="00F46B1B">
      <w:pPr>
        <w:ind w:left="2880" w:hanging="2880"/>
        <w:jc w:val="both"/>
        <w:rPr>
          <w:rFonts w:asciiTheme="minorHAnsi" w:hAnsiTheme="minorHAnsi"/>
        </w:rPr>
      </w:pPr>
    </w:p>
    <w:p w:rsidR="005F4521" w:rsidRPr="00181065" w:rsidRDefault="005F4521" w:rsidP="00F46B1B">
      <w:pPr>
        <w:jc w:val="both"/>
        <w:rPr>
          <w:rFonts w:asciiTheme="minorHAnsi" w:hAnsiTheme="minorHAnsi"/>
        </w:rPr>
      </w:pPr>
      <w:r w:rsidRPr="00181065">
        <w:rPr>
          <w:rFonts w:asciiTheme="minorHAnsi" w:hAnsiTheme="minorHAnsi"/>
        </w:rPr>
        <w:t xml:space="preserve">It is strongly recommended </w:t>
      </w:r>
      <w:r w:rsidR="00AA51AA" w:rsidRPr="00181065">
        <w:rPr>
          <w:rFonts w:asciiTheme="minorHAnsi" w:hAnsiTheme="minorHAnsi"/>
        </w:rPr>
        <w:t xml:space="preserve">when applying for positions with the Tasmanian Audit Office </w:t>
      </w:r>
      <w:r w:rsidRPr="00181065">
        <w:rPr>
          <w:rFonts w:asciiTheme="minorHAnsi" w:hAnsiTheme="minorHAnsi"/>
        </w:rPr>
        <w:t>that this document is read in conjunction with the Applicant Information Kit.</w:t>
      </w:r>
    </w:p>
    <w:p w:rsidR="005F4521" w:rsidRPr="00181065" w:rsidRDefault="005F4521" w:rsidP="00181065">
      <w:pPr>
        <w:pBdr>
          <w:bottom w:val="single" w:sz="4" w:space="1" w:color="auto"/>
        </w:pBdr>
        <w:rPr>
          <w:rFonts w:asciiTheme="minorHAnsi" w:hAnsiTheme="minorHAnsi"/>
        </w:rPr>
      </w:pPr>
    </w:p>
    <w:p w:rsidR="00A01A00" w:rsidRPr="00181065" w:rsidRDefault="00A01A00" w:rsidP="00181065">
      <w:pPr>
        <w:rPr>
          <w:rFonts w:asciiTheme="minorHAnsi" w:hAnsiTheme="minorHAnsi"/>
        </w:rPr>
      </w:pPr>
    </w:p>
    <w:p w:rsidR="002F06F8" w:rsidRPr="00181065" w:rsidRDefault="002F06F8" w:rsidP="00F46B1B">
      <w:pPr>
        <w:pStyle w:val="Heading1"/>
      </w:pPr>
      <w:r w:rsidRPr="00181065">
        <w:t xml:space="preserve">Purpose of </w:t>
      </w:r>
      <w:r w:rsidRPr="00F46B1B">
        <w:t>Position</w:t>
      </w:r>
    </w:p>
    <w:p w:rsidR="002F06F8" w:rsidRPr="00181065" w:rsidRDefault="006C723C" w:rsidP="00F46B1B">
      <w:pPr>
        <w:jc w:val="both"/>
        <w:rPr>
          <w:rFonts w:asciiTheme="minorHAnsi" w:hAnsiTheme="minorHAnsi" w:cs="Arial"/>
        </w:rPr>
      </w:pPr>
      <w:r w:rsidRPr="006C723C">
        <w:rPr>
          <w:rFonts w:asciiTheme="minorHAnsi" w:hAnsiTheme="minorHAnsi" w:cs="Arial"/>
        </w:rPr>
        <w:t>As a member of a professional research and analysis team, this position conducts audits in accordance with professional standards and the law and reports on performance of public sector bodies assessing whether they are operating efficiently, effectively and economically and makes recommendations for improvements.</w:t>
      </w:r>
    </w:p>
    <w:p w:rsidR="00EB1846" w:rsidRPr="00181065" w:rsidRDefault="00EB1846" w:rsidP="00F46B1B">
      <w:pPr>
        <w:ind w:left="720"/>
        <w:jc w:val="both"/>
        <w:rPr>
          <w:rFonts w:asciiTheme="minorHAnsi" w:hAnsiTheme="minorHAnsi" w:cs="Arial"/>
        </w:rPr>
      </w:pPr>
    </w:p>
    <w:p w:rsidR="00B52DA8" w:rsidRPr="00181065" w:rsidRDefault="00B52DA8" w:rsidP="00F46B1B">
      <w:pPr>
        <w:pStyle w:val="Heading1"/>
      </w:pPr>
      <w:r w:rsidRPr="00181065">
        <w:t>Nature and Scope</w:t>
      </w:r>
      <w:r w:rsidR="003132A6" w:rsidRPr="00181065">
        <w:t xml:space="preserve"> </w:t>
      </w:r>
      <w:r w:rsidR="009F36EF">
        <w:t xml:space="preserve">(Level of Responsibility) </w:t>
      </w:r>
    </w:p>
    <w:p w:rsidR="006C723C" w:rsidRPr="006C723C" w:rsidRDefault="006C723C" w:rsidP="006C723C">
      <w:pPr>
        <w:jc w:val="both"/>
        <w:rPr>
          <w:rFonts w:asciiTheme="minorHAnsi" w:hAnsiTheme="minorHAnsi" w:cs="Arial"/>
        </w:rPr>
      </w:pPr>
      <w:r w:rsidRPr="006C723C">
        <w:rPr>
          <w:rFonts w:asciiTheme="minorHAnsi" w:hAnsiTheme="minorHAnsi" w:cs="Arial"/>
        </w:rPr>
        <w:t xml:space="preserve">The Performance Audit Services business unit delivers the Office’s discretionary performance audit program. This results in reports to Parliament and advice to clients on the economy, efficiency and effectiveness of Government programs and the extent to which they are compliant with relevant legislation and are conducted in a transparent and accountable manner. Performance audits are team-based research and analysis projects conducted by teams applying auditing standards and utilising and/or developing a wide range of qualitative and quantitative research methodologies including document and records analysis, database interrogation, stakeholder surveys, benchmarking, statistical analysis and modelling and consultations with stakeholders via forums and public submissions. The unit also accesses external assistance including specialists and contractors. </w:t>
      </w:r>
      <w:r w:rsidRPr="006C723C">
        <w:rPr>
          <w:rFonts w:asciiTheme="minorHAnsi" w:hAnsiTheme="minorHAnsi" w:cs="Arial"/>
        </w:rPr>
        <w:lastRenderedPageBreak/>
        <w:t>Audit teams are established on a needs basis, matching team members’ skills and experience to the requirements of the particular audit.</w:t>
      </w:r>
    </w:p>
    <w:p w:rsidR="006C723C" w:rsidRPr="006C723C" w:rsidRDefault="006C723C" w:rsidP="006C723C">
      <w:pPr>
        <w:jc w:val="both"/>
        <w:rPr>
          <w:rFonts w:asciiTheme="minorHAnsi" w:hAnsiTheme="minorHAnsi" w:cs="Arial"/>
        </w:rPr>
      </w:pPr>
    </w:p>
    <w:p w:rsidR="006C723C" w:rsidRPr="006C723C" w:rsidRDefault="006C723C" w:rsidP="006C723C">
      <w:pPr>
        <w:jc w:val="both"/>
        <w:rPr>
          <w:rFonts w:asciiTheme="minorHAnsi" w:hAnsiTheme="minorHAnsi" w:cs="Arial"/>
        </w:rPr>
      </w:pPr>
      <w:r w:rsidRPr="006C723C">
        <w:rPr>
          <w:rFonts w:asciiTheme="minorHAnsi" w:hAnsiTheme="minorHAnsi" w:cs="Arial"/>
        </w:rPr>
        <w:t>This position is a member of a team that identifies potential topics for performance auditing and develops relevant audit criteria. The fact that each audit is unique presents challenges with regard to developing audit criteria, working to deadlines and budgets and producing reports supported by evidence and beyond dispute. As a team member, the incumbent examines systems and procedures identifying deficiencies and inefficiencies and assists in the development of recommendations and preparation of draft reports for discussion with clients.</w:t>
      </w:r>
    </w:p>
    <w:p w:rsidR="006C723C" w:rsidRPr="006C723C" w:rsidRDefault="006C723C" w:rsidP="006C723C">
      <w:pPr>
        <w:jc w:val="both"/>
        <w:rPr>
          <w:rFonts w:asciiTheme="minorHAnsi" w:hAnsiTheme="minorHAnsi" w:cs="Arial"/>
        </w:rPr>
      </w:pPr>
    </w:p>
    <w:p w:rsidR="006C723C" w:rsidRPr="006C723C" w:rsidRDefault="006C723C" w:rsidP="006C723C">
      <w:pPr>
        <w:jc w:val="both"/>
        <w:rPr>
          <w:rFonts w:asciiTheme="minorHAnsi" w:hAnsiTheme="minorHAnsi" w:cs="Arial"/>
        </w:rPr>
      </w:pPr>
      <w:r w:rsidRPr="006C723C">
        <w:rPr>
          <w:rFonts w:asciiTheme="minorHAnsi" w:hAnsiTheme="minorHAnsi" w:cs="Arial"/>
        </w:rPr>
        <w:t>The position provides considerable freedom in terms of how and when audit tasks are performed and is held accountable for meeting budgets and schedules and assuring audits are conducted in accordance with audit standards, internal methodologies and consistent with quality requirements. The incumbent assists in the presentation of findings to clients and senior management within the Office. This position assists less experienced audit personnel.</w:t>
      </w:r>
    </w:p>
    <w:p w:rsidR="007E47D1" w:rsidRPr="00181065" w:rsidRDefault="007E47D1" w:rsidP="00F46B1B">
      <w:pPr>
        <w:jc w:val="both"/>
        <w:rPr>
          <w:rFonts w:asciiTheme="minorHAnsi" w:hAnsiTheme="minorHAnsi"/>
        </w:rPr>
      </w:pPr>
    </w:p>
    <w:p w:rsidR="00D521C4" w:rsidRPr="00181065" w:rsidRDefault="0085697A" w:rsidP="00F46B1B">
      <w:pPr>
        <w:pStyle w:val="Heading1"/>
      </w:pPr>
      <w:r w:rsidRPr="00181065">
        <w:t xml:space="preserve">Key </w:t>
      </w:r>
      <w:r w:rsidR="005F4521" w:rsidRPr="00181065">
        <w:t>Duties</w:t>
      </w:r>
    </w:p>
    <w:p w:rsidR="006C723C" w:rsidRDefault="006C723C" w:rsidP="006C723C">
      <w:pPr>
        <w:numPr>
          <w:ilvl w:val="0"/>
          <w:numId w:val="2"/>
        </w:numPr>
        <w:tabs>
          <w:tab w:val="clear" w:pos="734"/>
          <w:tab w:val="num" w:pos="0"/>
        </w:tabs>
        <w:ind w:left="360"/>
        <w:jc w:val="both"/>
        <w:rPr>
          <w:rFonts w:asciiTheme="minorHAnsi" w:hAnsiTheme="minorHAnsi" w:cs="Arial"/>
        </w:rPr>
      </w:pPr>
      <w:r w:rsidRPr="006C723C">
        <w:rPr>
          <w:rFonts w:asciiTheme="minorHAnsi" w:hAnsiTheme="minorHAnsi" w:cs="Arial"/>
        </w:rPr>
        <w:t>Under supervision, undertakes components of larger projects in accordance with the project plan/program and within time, cost and quality parameters.</w:t>
      </w:r>
    </w:p>
    <w:p w:rsidR="006C723C" w:rsidRDefault="006C723C" w:rsidP="006C723C">
      <w:pPr>
        <w:numPr>
          <w:ilvl w:val="0"/>
          <w:numId w:val="2"/>
        </w:numPr>
        <w:tabs>
          <w:tab w:val="clear" w:pos="734"/>
          <w:tab w:val="num" w:pos="0"/>
        </w:tabs>
        <w:ind w:left="360"/>
        <w:jc w:val="both"/>
        <w:rPr>
          <w:rFonts w:asciiTheme="minorHAnsi" w:hAnsiTheme="minorHAnsi" w:cs="Arial"/>
        </w:rPr>
      </w:pPr>
      <w:r w:rsidRPr="006C723C">
        <w:rPr>
          <w:rFonts w:asciiTheme="minorHAnsi" w:hAnsiTheme="minorHAnsi" w:cs="Arial"/>
        </w:rPr>
        <w:t>Contributes to the development of audit strategi</w:t>
      </w:r>
      <w:r>
        <w:rPr>
          <w:rFonts w:asciiTheme="minorHAnsi" w:hAnsiTheme="minorHAnsi" w:cs="Arial"/>
        </w:rPr>
        <w:t>es and the planning of projects</w:t>
      </w:r>
    </w:p>
    <w:p w:rsidR="006C723C" w:rsidRDefault="006C723C" w:rsidP="006C723C">
      <w:pPr>
        <w:numPr>
          <w:ilvl w:val="0"/>
          <w:numId w:val="2"/>
        </w:numPr>
        <w:tabs>
          <w:tab w:val="clear" w:pos="734"/>
          <w:tab w:val="num" w:pos="0"/>
        </w:tabs>
        <w:ind w:left="360"/>
        <w:jc w:val="both"/>
        <w:rPr>
          <w:rFonts w:asciiTheme="minorHAnsi" w:hAnsiTheme="minorHAnsi" w:cs="Arial"/>
        </w:rPr>
      </w:pPr>
      <w:r w:rsidRPr="006C723C">
        <w:rPr>
          <w:rFonts w:asciiTheme="minorHAnsi" w:hAnsiTheme="minorHAnsi" w:cs="Arial"/>
        </w:rPr>
        <w:t>Assists in developing audit specifications and plans and drafting performance audit reports.</w:t>
      </w:r>
    </w:p>
    <w:p w:rsidR="006C723C" w:rsidRDefault="006C723C" w:rsidP="006C723C">
      <w:pPr>
        <w:numPr>
          <w:ilvl w:val="0"/>
          <w:numId w:val="2"/>
        </w:numPr>
        <w:tabs>
          <w:tab w:val="clear" w:pos="734"/>
          <w:tab w:val="num" w:pos="0"/>
        </w:tabs>
        <w:ind w:left="360"/>
        <w:jc w:val="both"/>
        <w:rPr>
          <w:rFonts w:asciiTheme="minorHAnsi" w:hAnsiTheme="minorHAnsi" w:cs="Arial"/>
        </w:rPr>
      </w:pPr>
      <w:r w:rsidRPr="006C723C">
        <w:rPr>
          <w:rFonts w:asciiTheme="minorHAnsi" w:hAnsiTheme="minorHAnsi" w:cs="Arial"/>
        </w:rPr>
        <w:t>Maintains working papers (in accordance with Office and unit policy) to record evidence of examinations.</w:t>
      </w:r>
    </w:p>
    <w:p w:rsidR="006C723C" w:rsidRDefault="006C723C" w:rsidP="006C723C">
      <w:pPr>
        <w:numPr>
          <w:ilvl w:val="0"/>
          <w:numId w:val="2"/>
        </w:numPr>
        <w:tabs>
          <w:tab w:val="clear" w:pos="734"/>
          <w:tab w:val="num" w:pos="0"/>
        </w:tabs>
        <w:ind w:left="360"/>
        <w:jc w:val="both"/>
        <w:rPr>
          <w:rFonts w:asciiTheme="minorHAnsi" w:hAnsiTheme="minorHAnsi" w:cs="Arial"/>
        </w:rPr>
      </w:pPr>
      <w:r w:rsidRPr="006C723C">
        <w:rPr>
          <w:rFonts w:asciiTheme="minorHAnsi" w:hAnsiTheme="minorHAnsi" w:cs="Arial"/>
        </w:rPr>
        <w:t>Identifies and researches audit issues and prepa</w:t>
      </w:r>
      <w:r>
        <w:rPr>
          <w:rFonts w:asciiTheme="minorHAnsi" w:hAnsiTheme="minorHAnsi" w:cs="Arial"/>
        </w:rPr>
        <w:t>res briefings and presentations.</w:t>
      </w:r>
    </w:p>
    <w:p w:rsidR="006C723C" w:rsidRDefault="006C723C" w:rsidP="006C723C">
      <w:pPr>
        <w:numPr>
          <w:ilvl w:val="0"/>
          <w:numId w:val="2"/>
        </w:numPr>
        <w:tabs>
          <w:tab w:val="clear" w:pos="734"/>
          <w:tab w:val="num" w:pos="0"/>
        </w:tabs>
        <w:ind w:left="360"/>
        <w:jc w:val="both"/>
        <w:rPr>
          <w:rFonts w:asciiTheme="minorHAnsi" w:hAnsiTheme="minorHAnsi" w:cs="Arial"/>
        </w:rPr>
      </w:pPr>
      <w:r w:rsidRPr="006C723C">
        <w:rPr>
          <w:rFonts w:asciiTheme="minorHAnsi" w:hAnsiTheme="minorHAnsi" w:cs="Arial"/>
        </w:rPr>
        <w:t>Develops recommendations, reports and briefings on specific issues.</w:t>
      </w:r>
    </w:p>
    <w:p w:rsidR="006C723C" w:rsidRDefault="006C723C" w:rsidP="006C723C">
      <w:pPr>
        <w:numPr>
          <w:ilvl w:val="0"/>
          <w:numId w:val="2"/>
        </w:numPr>
        <w:tabs>
          <w:tab w:val="clear" w:pos="734"/>
          <w:tab w:val="num" w:pos="0"/>
        </w:tabs>
        <w:ind w:left="360"/>
        <w:jc w:val="both"/>
        <w:rPr>
          <w:rFonts w:asciiTheme="minorHAnsi" w:hAnsiTheme="minorHAnsi" w:cs="Arial"/>
        </w:rPr>
      </w:pPr>
      <w:r w:rsidRPr="006C723C">
        <w:rPr>
          <w:rFonts w:asciiTheme="minorHAnsi" w:hAnsiTheme="minorHAnsi" w:cs="Arial"/>
        </w:rPr>
        <w:t>Liaises with client agencies and maintains effective relationships with staff in client agencies and external stakeholders.</w:t>
      </w:r>
    </w:p>
    <w:p w:rsidR="006C723C" w:rsidRPr="006C723C" w:rsidRDefault="006C723C" w:rsidP="006C723C">
      <w:pPr>
        <w:numPr>
          <w:ilvl w:val="0"/>
          <w:numId w:val="2"/>
        </w:numPr>
        <w:tabs>
          <w:tab w:val="clear" w:pos="734"/>
          <w:tab w:val="num" w:pos="0"/>
        </w:tabs>
        <w:ind w:left="360"/>
        <w:jc w:val="both"/>
        <w:rPr>
          <w:rFonts w:asciiTheme="minorHAnsi" w:hAnsiTheme="minorHAnsi" w:cs="Arial"/>
        </w:rPr>
      </w:pPr>
      <w:r w:rsidRPr="006C723C">
        <w:rPr>
          <w:rFonts w:asciiTheme="minorHAnsi" w:hAnsiTheme="minorHAnsi" w:cs="Arial"/>
        </w:rPr>
        <w:t>Produces small performance audits within time, cost and quality parameters.</w:t>
      </w:r>
    </w:p>
    <w:p w:rsidR="00EB1846" w:rsidRPr="00181065" w:rsidRDefault="00EB1846" w:rsidP="00F46B1B">
      <w:pPr>
        <w:jc w:val="both"/>
        <w:rPr>
          <w:rFonts w:asciiTheme="minorHAnsi" w:hAnsiTheme="minorHAnsi" w:cs="Arial"/>
        </w:rPr>
      </w:pPr>
    </w:p>
    <w:p w:rsidR="002955AA" w:rsidRPr="00181065" w:rsidRDefault="00C317B8" w:rsidP="006C723C">
      <w:pPr>
        <w:jc w:val="both"/>
        <w:rPr>
          <w:rFonts w:asciiTheme="minorHAnsi" w:hAnsiTheme="minorHAnsi" w:cs="Arial"/>
          <w:i/>
        </w:rPr>
      </w:pPr>
      <w:r w:rsidRPr="00181065">
        <w:rPr>
          <w:rFonts w:asciiTheme="minorHAnsi" w:hAnsiTheme="minorHAnsi" w:cs="Arial"/>
        </w:rPr>
        <w:t>Performance is measured against Key Performance Indicators that are developed and agreed to for each role in the Office and documented in annual Performance Plans.</w:t>
      </w:r>
      <w:r w:rsidR="0026682D" w:rsidRPr="00181065">
        <w:rPr>
          <w:rFonts w:asciiTheme="minorHAnsi" w:hAnsiTheme="minorHAnsi" w:cs="Arial"/>
        </w:rPr>
        <w:t xml:space="preserve"> </w:t>
      </w:r>
      <w:r w:rsidR="0026682D" w:rsidRPr="00181065">
        <w:rPr>
          <w:rFonts w:asciiTheme="minorHAnsi" w:hAnsiTheme="minorHAnsi" w:cs="Arial"/>
        </w:rPr>
        <w:br/>
      </w:r>
    </w:p>
    <w:p w:rsidR="00D521C4" w:rsidRPr="00181065" w:rsidRDefault="002955AA" w:rsidP="00F46B1B">
      <w:pPr>
        <w:pStyle w:val="Heading1"/>
      </w:pPr>
      <w:r w:rsidRPr="00181065">
        <w:t xml:space="preserve">Selection Criteria (Key Competencies) </w:t>
      </w:r>
    </w:p>
    <w:p w:rsidR="00596400" w:rsidRPr="00181065" w:rsidRDefault="00596400" w:rsidP="00F46B1B">
      <w:pPr>
        <w:jc w:val="both"/>
        <w:rPr>
          <w:rFonts w:asciiTheme="minorHAnsi" w:hAnsiTheme="minorHAnsi" w:cs="Arial"/>
        </w:rPr>
      </w:pPr>
      <w:r w:rsidRPr="00181065">
        <w:rPr>
          <w:rFonts w:asciiTheme="minorHAnsi" w:hAnsiTheme="minorHAnsi" w:cs="Arial"/>
        </w:rPr>
        <w:t>Please refer to the document titled “Applicant information kit” for advice on how to address the selection criteria.</w:t>
      </w:r>
    </w:p>
    <w:p w:rsidR="00596400" w:rsidRPr="00181065" w:rsidRDefault="00596400" w:rsidP="00F46B1B">
      <w:pPr>
        <w:ind w:left="589"/>
        <w:jc w:val="both"/>
        <w:rPr>
          <w:rFonts w:asciiTheme="minorHAnsi" w:hAnsiTheme="minorHAnsi" w:cs="Arial"/>
        </w:rPr>
      </w:pPr>
    </w:p>
    <w:p w:rsidR="006C723C" w:rsidRPr="006C723C" w:rsidRDefault="006C723C" w:rsidP="006C723C">
      <w:pPr>
        <w:numPr>
          <w:ilvl w:val="0"/>
          <w:numId w:val="3"/>
        </w:numPr>
        <w:tabs>
          <w:tab w:val="clear" w:pos="1108"/>
          <w:tab w:val="num" w:pos="388"/>
        </w:tabs>
        <w:ind w:left="388"/>
        <w:jc w:val="both"/>
        <w:rPr>
          <w:rFonts w:asciiTheme="minorHAnsi" w:hAnsiTheme="minorHAnsi"/>
          <w:b/>
          <w:color w:val="000080"/>
        </w:rPr>
      </w:pPr>
      <w:r>
        <w:rPr>
          <w:rFonts w:asciiTheme="minorHAnsi" w:hAnsiTheme="minorHAnsi"/>
          <w:b/>
          <w:color w:val="000080"/>
        </w:rPr>
        <w:t>Effective Customer Interaction</w:t>
      </w:r>
    </w:p>
    <w:p w:rsidR="006C723C" w:rsidRPr="006C723C" w:rsidRDefault="006C723C" w:rsidP="006C723C">
      <w:pPr>
        <w:ind w:left="388"/>
        <w:jc w:val="both"/>
        <w:rPr>
          <w:rFonts w:asciiTheme="minorHAnsi" w:hAnsiTheme="minorHAnsi" w:cs="Arial"/>
        </w:rPr>
      </w:pPr>
      <w:r w:rsidRPr="006C723C">
        <w:rPr>
          <w:rFonts w:asciiTheme="minorHAnsi" w:hAnsiTheme="minorHAnsi" w:cs="Arial"/>
        </w:rPr>
        <w:t>Adapting personal style to suit different customers and promptly and effectively responding to their needs. Where appropriate, initiating and maintaining contact with customers and anticipating issues that may arise.</w:t>
      </w:r>
    </w:p>
    <w:p w:rsidR="006C723C" w:rsidRPr="00E4132B" w:rsidRDefault="006C723C" w:rsidP="006C723C">
      <w:pPr>
        <w:ind w:left="1379"/>
        <w:rPr>
          <w:rFonts w:ascii="Calibri" w:hAnsi="Calibri" w:cs="Arial"/>
        </w:rPr>
      </w:pPr>
    </w:p>
    <w:p w:rsidR="006C723C" w:rsidRPr="004D5811" w:rsidRDefault="006C723C" w:rsidP="006C723C">
      <w:pPr>
        <w:numPr>
          <w:ilvl w:val="0"/>
          <w:numId w:val="3"/>
        </w:numPr>
        <w:tabs>
          <w:tab w:val="clear" w:pos="1108"/>
          <w:tab w:val="num" w:pos="388"/>
        </w:tabs>
        <w:ind w:left="388"/>
        <w:jc w:val="both"/>
        <w:rPr>
          <w:rFonts w:ascii="Calibri" w:hAnsi="Calibri" w:cs="Arial"/>
          <w:b/>
        </w:rPr>
      </w:pPr>
      <w:r w:rsidRPr="004D5811">
        <w:rPr>
          <w:rFonts w:ascii="Calibri" w:hAnsi="Calibri"/>
          <w:b/>
          <w:color w:val="000080"/>
        </w:rPr>
        <w:t xml:space="preserve">Cooperates &amp; Articulates </w:t>
      </w:r>
    </w:p>
    <w:p w:rsidR="006C723C" w:rsidRPr="006C723C" w:rsidRDefault="006C723C" w:rsidP="006C723C">
      <w:pPr>
        <w:ind w:left="388"/>
        <w:jc w:val="both"/>
        <w:rPr>
          <w:rFonts w:asciiTheme="minorHAnsi" w:hAnsiTheme="minorHAnsi" w:cs="Arial"/>
        </w:rPr>
      </w:pPr>
      <w:r w:rsidRPr="006C723C">
        <w:rPr>
          <w:rFonts w:asciiTheme="minorHAnsi" w:hAnsiTheme="minorHAnsi" w:cs="Arial"/>
        </w:rPr>
        <w:t>Cooperating with people in the workplace and contributing to team activities. Clearly, positively and convincingly conveying information, in written and verbal form.</w:t>
      </w:r>
    </w:p>
    <w:p w:rsidR="006C723C" w:rsidRPr="00E4132B" w:rsidRDefault="006C723C" w:rsidP="006C723C">
      <w:pPr>
        <w:ind w:left="1379"/>
        <w:rPr>
          <w:rFonts w:ascii="Calibri" w:hAnsi="Calibri" w:cs="Arial"/>
        </w:rPr>
      </w:pPr>
    </w:p>
    <w:p w:rsidR="006C723C" w:rsidRPr="004D5811" w:rsidRDefault="006C723C" w:rsidP="006C723C">
      <w:pPr>
        <w:numPr>
          <w:ilvl w:val="0"/>
          <w:numId w:val="3"/>
        </w:numPr>
        <w:tabs>
          <w:tab w:val="clear" w:pos="1108"/>
          <w:tab w:val="num" w:pos="388"/>
        </w:tabs>
        <w:ind w:left="388"/>
        <w:jc w:val="both"/>
        <w:rPr>
          <w:rFonts w:ascii="Calibri" w:hAnsi="Calibri"/>
          <w:b/>
          <w:color w:val="000080"/>
        </w:rPr>
      </w:pPr>
      <w:r w:rsidRPr="004D5811">
        <w:rPr>
          <w:rFonts w:ascii="Calibri" w:hAnsi="Calibri"/>
          <w:b/>
          <w:color w:val="000080"/>
        </w:rPr>
        <w:t>Self-Development &amp; Responsibility for Actions</w:t>
      </w:r>
    </w:p>
    <w:p w:rsidR="006C723C" w:rsidRPr="006C723C" w:rsidRDefault="006C723C" w:rsidP="006C723C">
      <w:pPr>
        <w:ind w:left="388"/>
        <w:jc w:val="both"/>
        <w:rPr>
          <w:rFonts w:asciiTheme="minorHAnsi" w:hAnsiTheme="minorHAnsi" w:cs="Arial"/>
        </w:rPr>
      </w:pPr>
      <w:r w:rsidRPr="006C723C">
        <w:rPr>
          <w:rFonts w:asciiTheme="minorHAnsi" w:hAnsiTheme="minorHAnsi" w:cs="Arial"/>
        </w:rPr>
        <w:lastRenderedPageBreak/>
        <w:t>As a result of seeking out and utilising learning opportunities, taking new and unique concepts, strategies and approaches and applying them for positive results. Accepting responsibility for identifying and addressing personal development needs and ensuring that dealings with other people show courtesy, respect and an awareness of individual differences.</w:t>
      </w:r>
    </w:p>
    <w:p w:rsidR="006C723C" w:rsidRPr="00E4132B" w:rsidRDefault="006C723C" w:rsidP="006C723C">
      <w:pPr>
        <w:ind w:left="935"/>
        <w:rPr>
          <w:rFonts w:ascii="Calibri" w:hAnsi="Calibri" w:cs="Arial"/>
        </w:rPr>
      </w:pPr>
    </w:p>
    <w:p w:rsidR="006C723C" w:rsidRDefault="006C723C" w:rsidP="006C723C">
      <w:pPr>
        <w:numPr>
          <w:ilvl w:val="0"/>
          <w:numId w:val="3"/>
        </w:numPr>
        <w:tabs>
          <w:tab w:val="clear" w:pos="1108"/>
          <w:tab w:val="num" w:pos="388"/>
        </w:tabs>
        <w:ind w:left="388"/>
        <w:jc w:val="both"/>
        <w:rPr>
          <w:rFonts w:ascii="Calibri" w:hAnsi="Calibri" w:cs="Arial"/>
        </w:rPr>
      </w:pPr>
      <w:r w:rsidRPr="006C723C">
        <w:rPr>
          <w:rFonts w:ascii="Calibri" w:hAnsi="Calibri"/>
          <w:b/>
          <w:color w:val="000080"/>
        </w:rPr>
        <w:t xml:space="preserve">Problem Solving &amp; Analysis </w:t>
      </w:r>
    </w:p>
    <w:p w:rsidR="006C723C" w:rsidRPr="006C723C" w:rsidRDefault="006C723C" w:rsidP="006C723C">
      <w:pPr>
        <w:ind w:left="388"/>
        <w:jc w:val="both"/>
        <w:rPr>
          <w:rFonts w:ascii="Calibri" w:hAnsi="Calibri" w:cs="Arial"/>
        </w:rPr>
      </w:pPr>
      <w:r>
        <w:rPr>
          <w:rFonts w:ascii="Calibri" w:hAnsi="Calibri" w:cs="Arial"/>
        </w:rPr>
        <w:t>I</w:t>
      </w:r>
      <w:r w:rsidRPr="006C723C">
        <w:rPr>
          <w:rFonts w:ascii="Calibri" w:hAnsi="Calibri" w:cs="Arial"/>
        </w:rPr>
        <w:t xml:space="preserve">dentifying key issues in a problem, selecting or conducting </w:t>
      </w:r>
      <w:r w:rsidRPr="006C723C">
        <w:rPr>
          <w:rFonts w:asciiTheme="minorHAnsi" w:hAnsiTheme="minorHAnsi" w:cs="Arial"/>
        </w:rPr>
        <w:t>appropriate research, analysis and evaluation and adapting or developing methodology to achieve this. Knowing when to refer a problem elsewhere.</w:t>
      </w:r>
    </w:p>
    <w:p w:rsidR="006C723C" w:rsidRPr="00E4132B" w:rsidRDefault="006C723C" w:rsidP="006C723C">
      <w:pPr>
        <w:ind w:left="1379"/>
        <w:rPr>
          <w:rFonts w:ascii="Calibri" w:hAnsi="Calibri" w:cs="Arial"/>
        </w:rPr>
      </w:pPr>
    </w:p>
    <w:p w:rsidR="006C723C" w:rsidRPr="00E4132B" w:rsidRDefault="006C723C" w:rsidP="006C723C">
      <w:pPr>
        <w:numPr>
          <w:ilvl w:val="0"/>
          <w:numId w:val="3"/>
        </w:numPr>
        <w:tabs>
          <w:tab w:val="clear" w:pos="1108"/>
          <w:tab w:val="num" w:pos="388"/>
        </w:tabs>
        <w:ind w:left="388"/>
        <w:jc w:val="both"/>
        <w:rPr>
          <w:rFonts w:ascii="Calibri" w:hAnsi="Calibri" w:cs="Arial"/>
          <w:b/>
        </w:rPr>
      </w:pPr>
      <w:r w:rsidRPr="004D5811">
        <w:rPr>
          <w:rFonts w:ascii="Calibri" w:hAnsi="Calibri"/>
          <w:b/>
          <w:color w:val="000080"/>
        </w:rPr>
        <w:t xml:space="preserve">Adapts to Change </w:t>
      </w:r>
    </w:p>
    <w:p w:rsidR="006C723C" w:rsidRPr="006C723C" w:rsidRDefault="006C723C" w:rsidP="006C723C">
      <w:pPr>
        <w:ind w:left="388"/>
        <w:rPr>
          <w:rFonts w:ascii="Calibri" w:hAnsi="Calibri" w:cs="Arial"/>
        </w:rPr>
      </w:pPr>
      <w:r w:rsidRPr="006C723C">
        <w:rPr>
          <w:rFonts w:ascii="Calibri" w:hAnsi="Calibri" w:cs="Arial"/>
        </w:rPr>
        <w:t>Demonstrating flexibility by changing plans, approach and focus to effectively respond to changed circumstances in terms of new ideas and ways of working.</w:t>
      </w:r>
    </w:p>
    <w:p w:rsidR="006C723C" w:rsidRPr="00E4132B" w:rsidRDefault="006C723C" w:rsidP="006C723C">
      <w:pPr>
        <w:ind w:left="1379"/>
        <w:rPr>
          <w:rFonts w:ascii="Calibri" w:hAnsi="Calibri" w:cs="Arial"/>
        </w:rPr>
      </w:pPr>
    </w:p>
    <w:p w:rsidR="006C723C" w:rsidRPr="00E4132B" w:rsidRDefault="006C723C" w:rsidP="006C723C">
      <w:pPr>
        <w:numPr>
          <w:ilvl w:val="0"/>
          <w:numId w:val="3"/>
        </w:numPr>
        <w:tabs>
          <w:tab w:val="clear" w:pos="1108"/>
          <w:tab w:val="num" w:pos="388"/>
        </w:tabs>
        <w:ind w:left="388"/>
        <w:jc w:val="both"/>
        <w:rPr>
          <w:rFonts w:ascii="Calibri" w:hAnsi="Calibri"/>
          <w:b/>
          <w:color w:val="000080"/>
        </w:rPr>
      </w:pPr>
      <w:r w:rsidRPr="004D5811">
        <w:rPr>
          <w:rFonts w:ascii="Calibri" w:hAnsi="Calibri"/>
          <w:b/>
          <w:color w:val="000080"/>
        </w:rPr>
        <w:t xml:space="preserve">Organising </w:t>
      </w:r>
    </w:p>
    <w:p w:rsidR="006C723C" w:rsidRDefault="006C723C" w:rsidP="006C723C">
      <w:pPr>
        <w:ind w:left="388"/>
        <w:rPr>
          <w:rFonts w:ascii="Calibri" w:hAnsi="Calibri" w:cs="Arial"/>
        </w:rPr>
      </w:pPr>
      <w:r w:rsidRPr="004D5811">
        <w:rPr>
          <w:rFonts w:ascii="Calibri" w:hAnsi="Calibri" w:cs="Arial"/>
        </w:rPr>
        <w:t>Setting short and medium term targets, priorities and schedules to meet business goals and planning, organising and coordinating resources to meet them.</w:t>
      </w:r>
    </w:p>
    <w:p w:rsidR="006C723C" w:rsidRPr="00E4132B" w:rsidRDefault="006C723C" w:rsidP="006C723C">
      <w:pPr>
        <w:ind w:left="1309"/>
        <w:rPr>
          <w:rFonts w:ascii="Calibri" w:hAnsi="Calibri" w:cs="Arial"/>
        </w:rPr>
      </w:pPr>
    </w:p>
    <w:p w:rsidR="006C723C" w:rsidRPr="004D5811" w:rsidRDefault="006C723C" w:rsidP="006C723C">
      <w:pPr>
        <w:numPr>
          <w:ilvl w:val="0"/>
          <w:numId w:val="3"/>
        </w:numPr>
        <w:tabs>
          <w:tab w:val="clear" w:pos="1108"/>
          <w:tab w:val="num" w:pos="388"/>
        </w:tabs>
        <w:ind w:left="388"/>
        <w:jc w:val="both"/>
        <w:rPr>
          <w:rFonts w:ascii="Calibri" w:hAnsi="Calibri"/>
          <w:b/>
          <w:color w:val="000080"/>
        </w:rPr>
      </w:pPr>
      <w:r w:rsidRPr="004D5811">
        <w:rPr>
          <w:rFonts w:ascii="Calibri" w:hAnsi="Calibri"/>
          <w:b/>
          <w:color w:val="000080"/>
        </w:rPr>
        <w:t xml:space="preserve">Understanding &amp; Application of Technical Knowledge (Professional) </w:t>
      </w:r>
    </w:p>
    <w:p w:rsidR="006C723C" w:rsidRDefault="006C723C" w:rsidP="006C723C">
      <w:pPr>
        <w:ind w:left="388"/>
        <w:rPr>
          <w:rFonts w:ascii="Calibri" w:hAnsi="Calibri" w:cs="Arial"/>
        </w:rPr>
      </w:pPr>
      <w:r w:rsidRPr="004D5811">
        <w:rPr>
          <w:rFonts w:ascii="Calibri" w:hAnsi="Calibri" w:cs="Arial"/>
        </w:rPr>
        <w:t>Applying strong technical skills to critically evaluate and comment on relevant information and issues. Identifying key issues, trends and inconsistencies and their implications for the business.</w:t>
      </w:r>
    </w:p>
    <w:p w:rsidR="00FC41A0" w:rsidRPr="00181065" w:rsidRDefault="00FC41A0" w:rsidP="00F46B1B">
      <w:pPr>
        <w:jc w:val="both"/>
        <w:rPr>
          <w:rFonts w:asciiTheme="minorHAnsi" w:hAnsiTheme="minorHAnsi" w:cs="Arial"/>
          <w:i/>
        </w:rPr>
      </w:pPr>
    </w:p>
    <w:p w:rsidR="00B93270" w:rsidRPr="00181065" w:rsidRDefault="0026682D" w:rsidP="00F46B1B">
      <w:pPr>
        <w:jc w:val="both"/>
        <w:rPr>
          <w:rFonts w:asciiTheme="minorHAnsi" w:hAnsiTheme="minorHAnsi" w:cs="Arial"/>
          <w:i/>
        </w:rPr>
      </w:pPr>
      <w:r w:rsidRPr="00181065">
        <w:rPr>
          <w:rFonts w:asciiTheme="minorHAnsi" w:hAnsiTheme="minorHAnsi" w:cs="Arial"/>
          <w:i/>
        </w:rPr>
        <w:t>It should be noted that the above key competencies have equal weighting for assessment purposes. The essential qualifications and requirements must be met. You should not be discouraged from applying if you do not meet the desirable requirements, as you would not be precluded from appointment to the position, provided all of the key competencies and essential requirements are met.</w:t>
      </w:r>
    </w:p>
    <w:p w:rsidR="0026682D" w:rsidRPr="00181065" w:rsidRDefault="0026682D" w:rsidP="00F46B1B">
      <w:pPr>
        <w:jc w:val="both"/>
        <w:rPr>
          <w:rFonts w:asciiTheme="minorHAnsi" w:hAnsiTheme="minorHAnsi"/>
        </w:rPr>
      </w:pPr>
    </w:p>
    <w:p w:rsidR="00D521C4" w:rsidRPr="00181065" w:rsidRDefault="00DA760F" w:rsidP="00F46B1B">
      <w:pPr>
        <w:pStyle w:val="Heading1"/>
      </w:pPr>
      <w:r w:rsidRPr="00181065">
        <w:t>Essential Qualifications and Requirements</w:t>
      </w:r>
    </w:p>
    <w:p w:rsidR="00EB1846" w:rsidRDefault="006C723C" w:rsidP="006C723C">
      <w:pPr>
        <w:numPr>
          <w:ilvl w:val="0"/>
          <w:numId w:val="7"/>
        </w:numPr>
        <w:tabs>
          <w:tab w:val="clear" w:pos="1070"/>
          <w:tab w:val="num" w:pos="575"/>
        </w:tabs>
        <w:ind w:left="575"/>
        <w:jc w:val="both"/>
        <w:rPr>
          <w:rFonts w:asciiTheme="minorHAnsi" w:hAnsiTheme="minorHAnsi" w:cs="Arial"/>
        </w:rPr>
      </w:pPr>
      <w:r w:rsidRPr="006C723C">
        <w:rPr>
          <w:rFonts w:asciiTheme="minorHAnsi" w:hAnsiTheme="minorHAnsi" w:cs="Arial"/>
        </w:rPr>
        <w:t>A tertiary qualification at degree level in a relevant discipline from a recognised tertiary institution.</w:t>
      </w:r>
    </w:p>
    <w:p w:rsidR="006C723C" w:rsidRPr="006C723C" w:rsidRDefault="006C723C" w:rsidP="006C723C">
      <w:pPr>
        <w:jc w:val="both"/>
        <w:rPr>
          <w:rFonts w:asciiTheme="minorHAnsi" w:hAnsiTheme="minorHAnsi" w:cs="Arial"/>
        </w:rPr>
      </w:pPr>
    </w:p>
    <w:p w:rsidR="00AF30FB" w:rsidRPr="00181065" w:rsidRDefault="00307C74" w:rsidP="00F46B1B">
      <w:pPr>
        <w:ind w:left="10"/>
        <w:jc w:val="both"/>
        <w:rPr>
          <w:rFonts w:asciiTheme="minorHAnsi" w:hAnsiTheme="minorHAnsi" w:cs="Arial"/>
        </w:rPr>
      </w:pPr>
      <w:r w:rsidRPr="00181065">
        <w:rPr>
          <w:rFonts w:asciiTheme="minorHAnsi" w:hAnsiTheme="minorHAnsi" w:cs="Arial"/>
        </w:rPr>
        <w:t xml:space="preserve">The </w:t>
      </w:r>
      <w:r w:rsidR="0026682D" w:rsidRPr="00181065">
        <w:rPr>
          <w:rFonts w:asciiTheme="minorHAnsi" w:hAnsiTheme="minorHAnsi" w:cs="Arial"/>
        </w:rPr>
        <w:t>Head of the State Service</w:t>
      </w:r>
      <w:r w:rsidR="0090144C" w:rsidRPr="00181065">
        <w:rPr>
          <w:rFonts w:asciiTheme="minorHAnsi" w:hAnsiTheme="minorHAnsi" w:cs="Arial"/>
        </w:rPr>
        <w:t xml:space="preserve"> </w:t>
      </w:r>
      <w:r w:rsidRPr="00181065">
        <w:rPr>
          <w:rFonts w:asciiTheme="minorHAnsi" w:hAnsiTheme="minorHAnsi" w:cs="Arial"/>
        </w:rPr>
        <w:t>has determined that the person nominated for this position is to satisfy a pre-employment check before taking up the appointment, promotion or transfer. The follo</w:t>
      </w:r>
      <w:r w:rsidR="003132A6" w:rsidRPr="00181065">
        <w:rPr>
          <w:rFonts w:asciiTheme="minorHAnsi" w:hAnsiTheme="minorHAnsi" w:cs="Arial"/>
        </w:rPr>
        <w:t>wing checks are to be conducted:</w:t>
      </w:r>
    </w:p>
    <w:p w:rsidR="00AF30FB" w:rsidRPr="00181065" w:rsidRDefault="00307C74" w:rsidP="00F46B1B">
      <w:pPr>
        <w:numPr>
          <w:ilvl w:val="0"/>
          <w:numId w:val="11"/>
        </w:numPr>
        <w:ind w:left="370"/>
        <w:jc w:val="both"/>
        <w:rPr>
          <w:rFonts w:asciiTheme="minorHAnsi" w:hAnsiTheme="minorHAnsi" w:cs="Arial"/>
        </w:rPr>
      </w:pPr>
      <w:r w:rsidRPr="00181065">
        <w:rPr>
          <w:rFonts w:asciiTheme="minorHAnsi" w:hAnsiTheme="minorHAnsi" w:cs="Arial"/>
        </w:rPr>
        <w:t>Conviction checks in the following; Arson and fire setting; Violent crimes and crimes against the person; Sex-related offences; Drug and alcohol related offences; Crimes involving dishonesty; Crimes involving deception; Making false declarations; Malicious damage and destruction to property; Serious traffic offences; Crimes against public order or relating to the Administration of Law and Justice; Crimes against Executive or the Legislative Power; Crimes involving Conspiracy.</w:t>
      </w:r>
      <w:r w:rsidR="000670A9" w:rsidRPr="00181065">
        <w:rPr>
          <w:rFonts w:asciiTheme="minorHAnsi" w:hAnsiTheme="minorHAnsi" w:cs="Arial"/>
        </w:rPr>
        <w:t xml:space="preserve"> </w:t>
      </w:r>
    </w:p>
    <w:p w:rsidR="00AF30FB" w:rsidRPr="00181065" w:rsidRDefault="00307C74" w:rsidP="00F46B1B">
      <w:pPr>
        <w:numPr>
          <w:ilvl w:val="0"/>
          <w:numId w:val="11"/>
        </w:numPr>
        <w:ind w:left="370"/>
        <w:jc w:val="both"/>
        <w:rPr>
          <w:rFonts w:asciiTheme="minorHAnsi" w:hAnsiTheme="minorHAnsi" w:cs="Arial"/>
        </w:rPr>
      </w:pPr>
      <w:r w:rsidRPr="00181065">
        <w:rPr>
          <w:rFonts w:asciiTheme="minorHAnsi" w:hAnsiTheme="minorHAnsi" w:cs="Arial"/>
        </w:rPr>
        <w:t>Disciplinary action in previous employment check.</w:t>
      </w:r>
      <w:r w:rsidR="000670A9" w:rsidRPr="00181065">
        <w:rPr>
          <w:rFonts w:asciiTheme="minorHAnsi" w:hAnsiTheme="minorHAnsi" w:cs="Arial"/>
        </w:rPr>
        <w:t xml:space="preserve"> </w:t>
      </w:r>
    </w:p>
    <w:p w:rsidR="00307C74" w:rsidRPr="00181065" w:rsidRDefault="00307C74" w:rsidP="00F46B1B">
      <w:pPr>
        <w:numPr>
          <w:ilvl w:val="0"/>
          <w:numId w:val="11"/>
        </w:numPr>
        <w:ind w:left="370"/>
        <w:jc w:val="both"/>
        <w:rPr>
          <w:rFonts w:asciiTheme="minorHAnsi" w:hAnsiTheme="minorHAnsi" w:cs="Arial"/>
        </w:rPr>
      </w:pPr>
      <w:r w:rsidRPr="00181065">
        <w:rPr>
          <w:rFonts w:asciiTheme="minorHAnsi" w:hAnsiTheme="minorHAnsi" w:cs="Arial"/>
        </w:rPr>
        <w:t>Identification check.</w:t>
      </w:r>
    </w:p>
    <w:p w:rsidR="00A62492" w:rsidRPr="00181065" w:rsidRDefault="00A62492" w:rsidP="00F46B1B">
      <w:pPr>
        <w:ind w:left="720"/>
        <w:jc w:val="both"/>
        <w:rPr>
          <w:rFonts w:asciiTheme="minorHAnsi" w:hAnsiTheme="minorHAnsi"/>
        </w:rPr>
      </w:pPr>
    </w:p>
    <w:p w:rsidR="007A773D" w:rsidRDefault="007A773D">
      <w:pPr>
        <w:rPr>
          <w:rFonts w:asciiTheme="minorHAnsi" w:hAnsiTheme="minorHAnsi"/>
          <w:b/>
          <w:color w:val="000080"/>
          <w:sz w:val="28"/>
          <w:szCs w:val="28"/>
        </w:rPr>
      </w:pPr>
      <w:r>
        <w:br w:type="page"/>
      </w:r>
    </w:p>
    <w:p w:rsidR="009D2651" w:rsidRPr="00181065" w:rsidRDefault="009D2651" w:rsidP="00F46B1B">
      <w:pPr>
        <w:pStyle w:val="Heading1"/>
      </w:pPr>
      <w:r w:rsidRPr="00181065">
        <w:lastRenderedPageBreak/>
        <w:t xml:space="preserve">Desirable </w:t>
      </w:r>
      <w:r w:rsidR="00F46B1B">
        <w:t>Qualifications and Requirements</w:t>
      </w:r>
    </w:p>
    <w:p w:rsidR="006C723C" w:rsidRPr="006C723C" w:rsidRDefault="006C723C" w:rsidP="006C723C">
      <w:pPr>
        <w:numPr>
          <w:ilvl w:val="0"/>
          <w:numId w:val="7"/>
        </w:numPr>
        <w:tabs>
          <w:tab w:val="clear" w:pos="1070"/>
          <w:tab w:val="num" w:pos="575"/>
        </w:tabs>
        <w:ind w:left="575"/>
        <w:jc w:val="both"/>
        <w:rPr>
          <w:rFonts w:asciiTheme="minorHAnsi" w:hAnsiTheme="minorHAnsi" w:cs="Arial"/>
        </w:rPr>
      </w:pPr>
      <w:r w:rsidRPr="006C723C">
        <w:rPr>
          <w:rFonts w:asciiTheme="minorHAnsi" w:hAnsiTheme="minorHAnsi" w:cs="Arial"/>
        </w:rPr>
        <w:t>Demonstrate skills and experience in evaluation, researching and reporting.</w:t>
      </w:r>
    </w:p>
    <w:p w:rsidR="006C723C" w:rsidRPr="00181065" w:rsidRDefault="006C723C" w:rsidP="00F46B1B">
      <w:pPr>
        <w:numPr>
          <w:ilvl w:val="0"/>
          <w:numId w:val="7"/>
        </w:numPr>
        <w:tabs>
          <w:tab w:val="clear" w:pos="1070"/>
          <w:tab w:val="num" w:pos="575"/>
        </w:tabs>
        <w:ind w:left="575"/>
        <w:jc w:val="both"/>
        <w:rPr>
          <w:rFonts w:asciiTheme="minorHAnsi" w:hAnsiTheme="minorHAnsi" w:cs="Arial"/>
        </w:rPr>
      </w:pPr>
      <w:r>
        <w:rPr>
          <w:rFonts w:asciiTheme="minorHAnsi" w:hAnsiTheme="minorHAnsi" w:cs="Arial"/>
        </w:rPr>
        <w:t xml:space="preserve">Driver’s Licence </w:t>
      </w:r>
    </w:p>
    <w:p w:rsidR="009D2651" w:rsidRPr="00181065" w:rsidRDefault="009D2651" w:rsidP="00F46B1B">
      <w:pPr>
        <w:jc w:val="both"/>
        <w:rPr>
          <w:rFonts w:asciiTheme="minorHAnsi" w:hAnsiTheme="minorHAnsi"/>
          <w:b/>
          <w:color w:val="000080"/>
          <w:sz w:val="28"/>
          <w:szCs w:val="28"/>
        </w:rPr>
      </w:pPr>
    </w:p>
    <w:p w:rsidR="00A62492" w:rsidRPr="00181065" w:rsidRDefault="00A01A00" w:rsidP="00F46B1B">
      <w:pPr>
        <w:pStyle w:val="Heading1"/>
      </w:pPr>
      <w:r w:rsidRPr="00181065">
        <w:t>Criteri</w:t>
      </w:r>
      <w:r w:rsidR="00F46B1B">
        <w:t>a for Advanced Assessment Point</w:t>
      </w:r>
    </w:p>
    <w:p w:rsidR="0085697A" w:rsidRPr="00181065" w:rsidRDefault="0085697A" w:rsidP="00F46B1B">
      <w:pPr>
        <w:jc w:val="both"/>
        <w:rPr>
          <w:rFonts w:asciiTheme="minorHAnsi" w:hAnsiTheme="minorHAnsi" w:cs="Arial"/>
        </w:rPr>
      </w:pPr>
      <w:r w:rsidRPr="00181065">
        <w:rPr>
          <w:rFonts w:asciiTheme="minorHAnsi" w:hAnsiTheme="minorHAnsi" w:cs="Arial"/>
        </w:rPr>
        <w:t xml:space="preserve">Refer to </w:t>
      </w:r>
      <w:r w:rsidR="009F179F" w:rsidRPr="00181065">
        <w:rPr>
          <w:rFonts w:asciiTheme="minorHAnsi" w:hAnsiTheme="minorHAnsi" w:cs="Arial"/>
        </w:rPr>
        <w:t xml:space="preserve">the </w:t>
      </w:r>
      <w:hyperlink r:id="rId8" w:history="1">
        <w:r w:rsidRPr="00181065">
          <w:rPr>
            <w:rStyle w:val="Hyperlink"/>
            <w:rFonts w:asciiTheme="minorHAnsi" w:hAnsiTheme="minorHAnsi" w:cs="Arial"/>
          </w:rPr>
          <w:t>Salary Progression, Accelerated Progression and Advanced Assessment Guidelines 2015</w:t>
        </w:r>
      </w:hyperlink>
      <w:r w:rsidRPr="00181065">
        <w:rPr>
          <w:rFonts w:asciiTheme="minorHAnsi" w:hAnsiTheme="minorHAnsi" w:cs="Arial"/>
        </w:rPr>
        <w:t xml:space="preserve"> and relevant Office policies.</w:t>
      </w:r>
    </w:p>
    <w:p w:rsidR="0085697A" w:rsidRPr="00181065" w:rsidRDefault="0085697A" w:rsidP="00F46B1B">
      <w:pPr>
        <w:jc w:val="both"/>
        <w:rPr>
          <w:rFonts w:asciiTheme="minorHAnsi" w:hAnsiTheme="minorHAnsi" w:cs="Arial"/>
        </w:rPr>
      </w:pPr>
    </w:p>
    <w:p w:rsidR="00A62492" w:rsidRPr="00181065" w:rsidRDefault="0085697A" w:rsidP="00F46B1B">
      <w:pPr>
        <w:jc w:val="both"/>
        <w:rPr>
          <w:rFonts w:asciiTheme="minorHAnsi" w:hAnsiTheme="minorHAnsi" w:cs="Arial"/>
        </w:rPr>
      </w:pPr>
      <w:r w:rsidRPr="00181065">
        <w:rPr>
          <w:rFonts w:asciiTheme="minorHAnsi" w:hAnsiTheme="minorHAnsi" w:cs="Arial"/>
        </w:rPr>
        <w:t>On the attainment of the criteria for the advancement assessment point the employee will be assigned duties with greater responsibility that conform with the classification descriptors for the Band.</w:t>
      </w:r>
    </w:p>
    <w:p w:rsidR="00DD5A96" w:rsidRPr="00181065" w:rsidRDefault="00DD5A96" w:rsidP="00F46B1B">
      <w:pPr>
        <w:ind w:left="720"/>
        <w:jc w:val="both"/>
        <w:rPr>
          <w:rFonts w:asciiTheme="minorHAnsi" w:hAnsiTheme="minorHAnsi"/>
        </w:rPr>
      </w:pPr>
    </w:p>
    <w:p w:rsidR="00D521C4" w:rsidRPr="00181065" w:rsidRDefault="00A01A00" w:rsidP="00F46B1B">
      <w:pPr>
        <w:pStyle w:val="Heading1"/>
      </w:pPr>
      <w:r w:rsidRPr="00181065">
        <w:t>Special Requirements</w:t>
      </w:r>
    </w:p>
    <w:p w:rsidR="00F46B1B" w:rsidRDefault="00181065" w:rsidP="00F46B1B">
      <w:pPr>
        <w:numPr>
          <w:ilvl w:val="0"/>
          <w:numId w:val="7"/>
        </w:numPr>
        <w:tabs>
          <w:tab w:val="clear" w:pos="1070"/>
          <w:tab w:val="num" w:pos="575"/>
        </w:tabs>
        <w:ind w:left="575"/>
        <w:jc w:val="both"/>
        <w:rPr>
          <w:rFonts w:asciiTheme="minorHAnsi" w:hAnsiTheme="minorHAnsi" w:cs="Arial"/>
        </w:rPr>
      </w:pPr>
      <w:r w:rsidRPr="00181065">
        <w:rPr>
          <w:rFonts w:asciiTheme="minorHAnsi" w:hAnsiTheme="minorHAnsi" w:cs="Arial"/>
        </w:rPr>
        <w:t xml:space="preserve">Significant out of hours work may be required </w:t>
      </w:r>
      <w:r w:rsidR="006C723C">
        <w:rPr>
          <w:rFonts w:asciiTheme="minorHAnsi" w:hAnsiTheme="minorHAnsi" w:cs="Arial"/>
        </w:rPr>
        <w:t xml:space="preserve">at times. </w:t>
      </w:r>
    </w:p>
    <w:p w:rsidR="00F46B1B" w:rsidRDefault="00C803AA" w:rsidP="00F46B1B">
      <w:pPr>
        <w:numPr>
          <w:ilvl w:val="0"/>
          <w:numId w:val="7"/>
        </w:numPr>
        <w:tabs>
          <w:tab w:val="clear" w:pos="1070"/>
          <w:tab w:val="num" w:pos="575"/>
        </w:tabs>
        <w:ind w:left="575"/>
        <w:jc w:val="both"/>
        <w:rPr>
          <w:rFonts w:asciiTheme="minorHAnsi" w:hAnsiTheme="minorHAnsi" w:cs="Arial"/>
        </w:rPr>
      </w:pPr>
      <w:r w:rsidRPr="00F46B1B">
        <w:rPr>
          <w:rFonts w:asciiTheme="minorHAnsi" w:hAnsiTheme="minorHAnsi" w:cs="Arial"/>
        </w:rPr>
        <w:t>May be required to undertake intrastate/interstate travel.</w:t>
      </w:r>
    </w:p>
    <w:p w:rsidR="00C803AA" w:rsidRPr="00F46B1B" w:rsidRDefault="00C803AA" w:rsidP="00F46B1B">
      <w:pPr>
        <w:numPr>
          <w:ilvl w:val="0"/>
          <w:numId w:val="7"/>
        </w:numPr>
        <w:tabs>
          <w:tab w:val="clear" w:pos="1070"/>
          <w:tab w:val="num" w:pos="575"/>
        </w:tabs>
        <w:ind w:left="575"/>
        <w:jc w:val="both"/>
        <w:rPr>
          <w:rFonts w:asciiTheme="minorHAnsi" w:hAnsiTheme="minorHAnsi" w:cs="Arial"/>
        </w:rPr>
      </w:pPr>
      <w:r w:rsidRPr="00F46B1B">
        <w:rPr>
          <w:rFonts w:asciiTheme="minorHAnsi" w:hAnsiTheme="minorHAnsi" w:cs="Arial"/>
        </w:rPr>
        <w:t>May be assigned to other locations within the Office to perform work of a similar nature</w:t>
      </w:r>
      <w:r w:rsidR="0085697A" w:rsidRPr="00F46B1B">
        <w:rPr>
          <w:rFonts w:asciiTheme="minorHAnsi" w:hAnsiTheme="minorHAnsi" w:cs="Arial"/>
        </w:rPr>
        <w:t>.</w:t>
      </w:r>
    </w:p>
    <w:p w:rsidR="00B93270" w:rsidRPr="00181065" w:rsidRDefault="00B93270" w:rsidP="00F46B1B">
      <w:pPr>
        <w:jc w:val="both"/>
        <w:rPr>
          <w:rFonts w:asciiTheme="minorHAnsi" w:hAnsiTheme="minorHAnsi"/>
        </w:rPr>
      </w:pPr>
    </w:p>
    <w:p w:rsidR="00B93270" w:rsidRPr="00181065" w:rsidRDefault="00A01A00" w:rsidP="00F46B1B">
      <w:pPr>
        <w:pStyle w:val="Heading1"/>
      </w:pPr>
      <w:r w:rsidRPr="00181065">
        <w:t>Environment and Context</w:t>
      </w:r>
    </w:p>
    <w:p w:rsidR="006B4F4F" w:rsidRPr="00181065" w:rsidRDefault="009104DE" w:rsidP="00F46B1B">
      <w:pPr>
        <w:ind w:left="10"/>
        <w:jc w:val="both"/>
        <w:rPr>
          <w:rFonts w:asciiTheme="minorHAnsi" w:hAnsiTheme="minorHAnsi"/>
        </w:rPr>
      </w:pPr>
      <w:r w:rsidRPr="009104DE">
        <w:rPr>
          <w:rFonts w:asciiTheme="minorHAnsi" w:hAnsiTheme="minorHAnsi" w:cs="Arial"/>
        </w:rPr>
        <w:t xml:space="preserve">Employment in the State Service is governed by the </w:t>
      </w:r>
      <w:r w:rsidRPr="009104DE">
        <w:rPr>
          <w:rFonts w:asciiTheme="minorHAnsi" w:hAnsiTheme="minorHAnsi" w:cs="Arial"/>
          <w:i/>
        </w:rPr>
        <w:t>State Service Act 2000</w:t>
      </w:r>
      <w:r w:rsidRPr="009104DE">
        <w:rPr>
          <w:rFonts w:asciiTheme="minorHAnsi" w:hAnsiTheme="minorHAnsi" w:cs="Arial"/>
        </w:rPr>
        <w:t>.</w:t>
      </w:r>
      <w:r>
        <w:rPr>
          <w:rFonts w:asciiTheme="minorHAnsi" w:hAnsiTheme="minorHAnsi" w:cs="Arial"/>
        </w:rPr>
        <w:t xml:space="preserve"> </w:t>
      </w:r>
      <w:r w:rsidR="006B4F4F" w:rsidRPr="00181065">
        <w:rPr>
          <w:rFonts w:asciiTheme="minorHAnsi" w:hAnsiTheme="minorHAnsi" w:cs="Arial"/>
        </w:rPr>
        <w:t xml:space="preserve">Employees should familiarise themselves with the State Service Principles (view at the </w:t>
      </w:r>
      <w:hyperlink r:id="rId9" w:history="1">
        <w:r w:rsidR="006B4F4F" w:rsidRPr="00181065">
          <w:rPr>
            <w:rStyle w:val="Hyperlink"/>
            <w:rFonts w:asciiTheme="minorHAnsi" w:hAnsiTheme="minorHAnsi" w:cs="Arial"/>
          </w:rPr>
          <w:t>Tasmanian Legislation</w:t>
        </w:r>
      </w:hyperlink>
      <w:r w:rsidR="006B4F4F" w:rsidRPr="00181065">
        <w:rPr>
          <w:rFonts w:asciiTheme="minorHAnsi" w:hAnsiTheme="minorHAnsi" w:cs="Arial"/>
        </w:rPr>
        <w:t xml:space="preserve"> website) and must work to ensure the Principles are embedded into the culture of the Tasmanian Audit Office (TAO) and that the Principles are applied to decision making and activities.</w:t>
      </w:r>
      <w:r w:rsidR="006B4F4F" w:rsidRPr="00181065">
        <w:rPr>
          <w:rFonts w:asciiTheme="minorHAnsi" w:hAnsiTheme="minorHAnsi"/>
        </w:rPr>
        <w:t xml:space="preserve"> </w:t>
      </w:r>
    </w:p>
    <w:p w:rsidR="006B4F4F" w:rsidRPr="00181065" w:rsidRDefault="006B4F4F" w:rsidP="00F46B1B">
      <w:pPr>
        <w:ind w:left="10"/>
        <w:jc w:val="both"/>
        <w:rPr>
          <w:rFonts w:asciiTheme="minorHAnsi" w:hAnsiTheme="minorHAnsi"/>
        </w:rPr>
      </w:pPr>
    </w:p>
    <w:p w:rsidR="006F12CE" w:rsidRPr="00181065" w:rsidRDefault="006B4F4F" w:rsidP="00F46B1B">
      <w:pPr>
        <w:ind w:left="10"/>
        <w:jc w:val="both"/>
        <w:rPr>
          <w:rFonts w:asciiTheme="minorHAnsi" w:hAnsiTheme="minorHAnsi" w:cs="Arial"/>
        </w:rPr>
      </w:pPr>
      <w:r w:rsidRPr="00181065">
        <w:rPr>
          <w:rFonts w:asciiTheme="minorHAnsi" w:hAnsiTheme="minorHAnsi" w:cs="Arial"/>
        </w:rPr>
        <w:t xml:space="preserve">The State Service Code of Conduct (view at the </w:t>
      </w:r>
      <w:hyperlink r:id="rId10" w:history="1">
        <w:r w:rsidRPr="00181065">
          <w:rPr>
            <w:rStyle w:val="Hyperlink"/>
            <w:rFonts w:asciiTheme="minorHAnsi" w:hAnsiTheme="minorHAnsi" w:cs="Arial"/>
          </w:rPr>
          <w:t>Tasmanian Legislation</w:t>
        </w:r>
      </w:hyperlink>
      <w:r w:rsidRPr="00181065">
        <w:rPr>
          <w:rFonts w:asciiTheme="minorHAnsi" w:hAnsiTheme="minorHAnsi" w:cs="Arial"/>
        </w:rPr>
        <w:t xml:space="preserve"> website) complements the State Service Principles and requires employees and officers to act appropriately in the course of their duties and to maintain the confidence of the community in the activities of the State Service. </w:t>
      </w:r>
      <w:r w:rsidR="006F12CE" w:rsidRPr="00181065">
        <w:rPr>
          <w:rFonts w:asciiTheme="minorHAnsi" w:hAnsiTheme="minorHAnsi" w:cs="Arial"/>
        </w:rPr>
        <w:t xml:space="preserve">In addition, employees of the </w:t>
      </w:r>
      <w:r w:rsidRPr="00181065">
        <w:rPr>
          <w:rFonts w:asciiTheme="minorHAnsi" w:hAnsiTheme="minorHAnsi" w:cs="Arial"/>
        </w:rPr>
        <w:t>TAO</w:t>
      </w:r>
      <w:r w:rsidR="006F12CE" w:rsidRPr="00181065">
        <w:rPr>
          <w:rFonts w:asciiTheme="minorHAnsi" w:hAnsiTheme="minorHAnsi" w:cs="Arial"/>
        </w:rPr>
        <w:t xml:space="preserve"> are required to act in accordance with the</w:t>
      </w:r>
      <w:r w:rsidR="00EC0AD9" w:rsidRPr="00181065">
        <w:rPr>
          <w:rFonts w:asciiTheme="minorHAnsi" w:hAnsiTheme="minorHAnsi" w:cs="Arial"/>
        </w:rPr>
        <w:t xml:space="preserve"> Guide to Conduct and</w:t>
      </w:r>
      <w:r w:rsidR="006F12CE" w:rsidRPr="00181065">
        <w:rPr>
          <w:rFonts w:asciiTheme="minorHAnsi" w:hAnsiTheme="minorHAnsi" w:cs="Arial"/>
        </w:rPr>
        <w:t xml:space="preserve"> Statement of Values of the TAO</w:t>
      </w:r>
      <w:r w:rsidRPr="00181065">
        <w:rPr>
          <w:rFonts w:asciiTheme="minorHAnsi" w:hAnsiTheme="minorHAnsi" w:cs="Arial"/>
        </w:rPr>
        <w:t>,</w:t>
      </w:r>
      <w:r w:rsidR="006F12CE" w:rsidRPr="00181065">
        <w:rPr>
          <w:rFonts w:asciiTheme="minorHAnsi" w:hAnsiTheme="minorHAnsi" w:cs="Arial"/>
        </w:rPr>
        <w:t xml:space="preserve"> and sign an agreement indicating that they understand this requirement. </w:t>
      </w:r>
    </w:p>
    <w:p w:rsidR="006F12CE" w:rsidRPr="00181065" w:rsidRDefault="006F12CE" w:rsidP="00F46B1B">
      <w:pPr>
        <w:ind w:left="10"/>
        <w:jc w:val="both"/>
        <w:rPr>
          <w:rFonts w:asciiTheme="minorHAnsi" w:hAnsiTheme="minorHAnsi" w:cs="Arial"/>
        </w:rPr>
      </w:pPr>
    </w:p>
    <w:p w:rsidR="006F12CE" w:rsidRPr="00181065" w:rsidRDefault="006F12CE" w:rsidP="00F46B1B">
      <w:pPr>
        <w:ind w:left="10"/>
        <w:jc w:val="both"/>
        <w:rPr>
          <w:rFonts w:asciiTheme="minorHAnsi" w:hAnsiTheme="minorHAnsi" w:cs="Arial"/>
          <w:i/>
        </w:rPr>
      </w:pPr>
      <w:r w:rsidRPr="00181065">
        <w:rPr>
          <w:rFonts w:asciiTheme="minorHAnsi" w:hAnsiTheme="minorHAnsi" w:cs="Arial"/>
        </w:rPr>
        <w:t>TAO promotes equity in employment.</w:t>
      </w:r>
      <w:r w:rsidR="000670A9" w:rsidRPr="00181065">
        <w:rPr>
          <w:rFonts w:asciiTheme="minorHAnsi" w:hAnsiTheme="minorHAnsi" w:cs="Arial"/>
        </w:rPr>
        <w:t xml:space="preserve"> </w:t>
      </w:r>
      <w:r w:rsidRPr="00181065">
        <w:rPr>
          <w:rFonts w:asciiTheme="minorHAnsi" w:hAnsiTheme="minorHAnsi" w:cs="Arial"/>
        </w:rPr>
        <w:t>It provides workplaces that are free from discrimination and it recognises and utilises the diversity of the community it serves.</w:t>
      </w:r>
      <w:r w:rsidR="000670A9" w:rsidRPr="00181065">
        <w:rPr>
          <w:rFonts w:asciiTheme="minorHAnsi" w:hAnsiTheme="minorHAnsi" w:cs="Arial"/>
        </w:rPr>
        <w:t xml:space="preserve"> </w:t>
      </w:r>
      <w:r w:rsidRPr="00181065">
        <w:rPr>
          <w:rFonts w:asciiTheme="minorHAnsi" w:hAnsiTheme="minorHAnsi" w:cs="Arial"/>
        </w:rPr>
        <w:t>In doing this it acknowledges the individual differences that can contribute to the capacity of a person to perform the inherent requirements of the job.</w:t>
      </w:r>
    </w:p>
    <w:p w:rsidR="006F12CE" w:rsidRPr="00181065" w:rsidRDefault="006F12CE" w:rsidP="00F46B1B">
      <w:pPr>
        <w:ind w:left="10"/>
        <w:jc w:val="both"/>
        <w:rPr>
          <w:rFonts w:asciiTheme="minorHAnsi" w:hAnsiTheme="minorHAnsi" w:cs="Arial"/>
        </w:rPr>
      </w:pPr>
    </w:p>
    <w:p w:rsidR="006F12CE" w:rsidRPr="00181065" w:rsidRDefault="006F12CE" w:rsidP="00F46B1B">
      <w:pPr>
        <w:ind w:left="10"/>
        <w:jc w:val="both"/>
        <w:rPr>
          <w:rFonts w:asciiTheme="minorHAnsi" w:hAnsiTheme="minorHAnsi" w:cs="Arial"/>
        </w:rPr>
      </w:pPr>
      <w:r w:rsidRPr="00181065">
        <w:rPr>
          <w:rFonts w:asciiTheme="minorHAnsi" w:hAnsiTheme="minorHAnsi" w:cs="Arial"/>
        </w:rPr>
        <w:t xml:space="preserve">TAO is committed to high standards of </w:t>
      </w:r>
      <w:r w:rsidR="005D384E" w:rsidRPr="00181065">
        <w:rPr>
          <w:rFonts w:asciiTheme="minorHAnsi" w:hAnsiTheme="minorHAnsi" w:cs="Arial"/>
        </w:rPr>
        <w:t>Work</w:t>
      </w:r>
      <w:r w:rsidRPr="00181065">
        <w:rPr>
          <w:rFonts w:asciiTheme="minorHAnsi" w:hAnsiTheme="minorHAnsi" w:cs="Arial"/>
        </w:rPr>
        <w:t xml:space="preserve"> Health and Safety and all employees are expected to maintain safe working conditions and practices</w:t>
      </w:r>
      <w:r w:rsidR="005D384E" w:rsidRPr="00181065">
        <w:rPr>
          <w:rFonts w:asciiTheme="minorHAnsi" w:hAnsiTheme="minorHAnsi" w:cs="Arial"/>
        </w:rPr>
        <w:t xml:space="preserve"> in accordance with their responsibilities under the </w:t>
      </w:r>
      <w:r w:rsidR="005D384E" w:rsidRPr="00181065">
        <w:rPr>
          <w:rFonts w:asciiTheme="minorHAnsi" w:hAnsiTheme="minorHAnsi" w:cs="Arial"/>
          <w:i/>
        </w:rPr>
        <w:t>Work Health and Safety Act 2012</w:t>
      </w:r>
      <w:r w:rsidRPr="00181065">
        <w:rPr>
          <w:rFonts w:asciiTheme="minorHAnsi" w:hAnsiTheme="minorHAnsi" w:cs="Arial"/>
        </w:rPr>
        <w:t>.</w:t>
      </w:r>
      <w:r w:rsidR="000670A9" w:rsidRPr="00181065">
        <w:rPr>
          <w:rFonts w:asciiTheme="minorHAnsi" w:hAnsiTheme="minorHAnsi" w:cs="Arial"/>
        </w:rPr>
        <w:t xml:space="preserve"> </w:t>
      </w:r>
      <w:r w:rsidRPr="00181065">
        <w:rPr>
          <w:rFonts w:asciiTheme="minorHAnsi" w:hAnsiTheme="minorHAnsi" w:cs="Arial"/>
        </w:rPr>
        <w:t>Smoking is prohibited in State Government workplaces and vehicles.</w:t>
      </w:r>
    </w:p>
    <w:p w:rsidR="009104DE" w:rsidRDefault="009104DE" w:rsidP="00F46B1B">
      <w:pPr>
        <w:ind w:left="10"/>
        <w:jc w:val="both"/>
        <w:rPr>
          <w:rFonts w:asciiTheme="minorHAnsi" w:hAnsiTheme="minorHAnsi" w:cs="Arial"/>
        </w:rPr>
      </w:pPr>
    </w:p>
    <w:p w:rsidR="006F12CE" w:rsidRPr="00181065" w:rsidRDefault="009104DE" w:rsidP="00F46B1B">
      <w:pPr>
        <w:ind w:left="10"/>
        <w:jc w:val="both"/>
        <w:rPr>
          <w:rFonts w:asciiTheme="minorHAnsi" w:hAnsiTheme="minorHAnsi" w:cs="Arial"/>
        </w:rPr>
      </w:pPr>
      <w:r w:rsidRPr="00181065">
        <w:rPr>
          <w:rFonts w:asciiTheme="minorHAnsi" w:hAnsiTheme="minorHAnsi" w:cs="Arial"/>
        </w:rPr>
        <w:t xml:space="preserve">Employees can expect to work extensively with </w:t>
      </w:r>
      <w:r>
        <w:rPr>
          <w:rFonts w:asciiTheme="minorHAnsi" w:hAnsiTheme="minorHAnsi" w:cs="Arial"/>
        </w:rPr>
        <w:t xml:space="preserve">screen based equipment </w:t>
      </w:r>
      <w:r w:rsidRPr="00181065">
        <w:rPr>
          <w:rFonts w:asciiTheme="minorHAnsi" w:hAnsiTheme="minorHAnsi" w:cs="Arial"/>
        </w:rPr>
        <w:t>in accordance with the TAO Privacy and Information Management policies.</w:t>
      </w:r>
      <w:r>
        <w:rPr>
          <w:rFonts w:asciiTheme="minorHAnsi" w:hAnsiTheme="minorHAnsi" w:cs="Arial"/>
        </w:rPr>
        <w:t xml:space="preserve"> </w:t>
      </w:r>
      <w:r w:rsidRPr="009104DE">
        <w:rPr>
          <w:rFonts w:asciiTheme="minorHAnsi" w:hAnsiTheme="minorHAnsi" w:cs="Arial"/>
        </w:rPr>
        <w:t>All employees are responsible an</w:t>
      </w:r>
      <w:r>
        <w:rPr>
          <w:rFonts w:asciiTheme="minorHAnsi" w:hAnsiTheme="minorHAnsi" w:cs="Arial"/>
        </w:rPr>
        <w:t>d accountable to c</w:t>
      </w:r>
      <w:r w:rsidRPr="009104DE">
        <w:rPr>
          <w:rFonts w:asciiTheme="minorHAnsi" w:hAnsiTheme="minorHAnsi" w:cs="Arial"/>
        </w:rPr>
        <w:t>reate records according to the business needs and business processes of their business unit that adequately document the business activities in which they take part.</w:t>
      </w:r>
      <w:r>
        <w:rPr>
          <w:rFonts w:asciiTheme="minorHAnsi" w:hAnsiTheme="minorHAnsi" w:cs="Arial"/>
        </w:rPr>
        <w:t xml:space="preserve"> They must r</w:t>
      </w:r>
      <w:r w:rsidRPr="009104DE">
        <w:rPr>
          <w:rFonts w:asciiTheme="minorHAnsi" w:hAnsiTheme="minorHAnsi" w:cs="Arial"/>
        </w:rPr>
        <w:t>egister documents in an approved Business Information Management System.</w:t>
      </w:r>
      <w:r>
        <w:rPr>
          <w:rFonts w:asciiTheme="minorHAnsi" w:hAnsiTheme="minorHAnsi" w:cs="Arial"/>
        </w:rPr>
        <w:t xml:space="preserve"> Information should be a</w:t>
      </w:r>
      <w:r w:rsidRPr="009104DE">
        <w:rPr>
          <w:rFonts w:asciiTheme="minorHAnsi" w:hAnsiTheme="minorHAnsi" w:cs="Arial"/>
        </w:rPr>
        <w:t>ccess</w:t>
      </w:r>
      <w:r>
        <w:rPr>
          <w:rFonts w:asciiTheme="minorHAnsi" w:hAnsiTheme="minorHAnsi" w:cs="Arial"/>
        </w:rPr>
        <w:t>ed</w:t>
      </w:r>
      <w:r w:rsidRPr="009104DE">
        <w:rPr>
          <w:rFonts w:asciiTheme="minorHAnsi" w:hAnsiTheme="minorHAnsi" w:cs="Arial"/>
        </w:rPr>
        <w:t xml:space="preserve"> for legitimate work purposes only.</w:t>
      </w:r>
      <w:r>
        <w:rPr>
          <w:rFonts w:asciiTheme="minorHAnsi" w:hAnsiTheme="minorHAnsi" w:cs="Arial"/>
        </w:rPr>
        <w:t xml:space="preserve"> All employees must not d</w:t>
      </w:r>
      <w:r w:rsidRPr="009104DE">
        <w:rPr>
          <w:rFonts w:asciiTheme="minorHAnsi" w:hAnsiTheme="minorHAnsi" w:cs="Arial"/>
        </w:rPr>
        <w:t xml:space="preserve">estroy delete or </w:t>
      </w:r>
      <w:r w:rsidRPr="009104DE">
        <w:rPr>
          <w:rFonts w:asciiTheme="minorHAnsi" w:hAnsiTheme="minorHAnsi" w:cs="Arial"/>
        </w:rPr>
        <w:lastRenderedPageBreak/>
        <w:t>alter re</w:t>
      </w:r>
      <w:r>
        <w:rPr>
          <w:rFonts w:asciiTheme="minorHAnsi" w:hAnsiTheme="minorHAnsi" w:cs="Arial"/>
        </w:rPr>
        <w:t xml:space="preserve">cords without proper authority </w:t>
      </w:r>
      <w:r w:rsidRPr="009104DE">
        <w:rPr>
          <w:rFonts w:asciiTheme="minorHAnsi" w:hAnsiTheme="minorHAnsi" w:cs="Arial"/>
        </w:rPr>
        <w:t>or</w:t>
      </w:r>
      <w:r>
        <w:rPr>
          <w:rFonts w:asciiTheme="minorHAnsi" w:hAnsiTheme="minorHAnsi" w:cs="Arial"/>
        </w:rPr>
        <w:t xml:space="preserve"> r</w:t>
      </w:r>
      <w:r w:rsidRPr="009104DE">
        <w:rPr>
          <w:rFonts w:asciiTheme="minorHAnsi" w:hAnsiTheme="minorHAnsi" w:cs="Arial"/>
        </w:rPr>
        <w:t xml:space="preserve">emove information, documents or records from the </w:t>
      </w:r>
      <w:r>
        <w:rPr>
          <w:rFonts w:asciiTheme="minorHAnsi" w:hAnsiTheme="minorHAnsi" w:cs="Arial"/>
        </w:rPr>
        <w:t xml:space="preserve">Office </w:t>
      </w:r>
      <w:r w:rsidRPr="009104DE">
        <w:rPr>
          <w:rFonts w:asciiTheme="minorHAnsi" w:hAnsiTheme="minorHAnsi" w:cs="Arial"/>
        </w:rPr>
        <w:t>without permission.</w:t>
      </w:r>
    </w:p>
    <w:p w:rsidR="00FC41A0" w:rsidRPr="00181065" w:rsidRDefault="00FC41A0" w:rsidP="00F46B1B">
      <w:pPr>
        <w:ind w:left="10"/>
        <w:jc w:val="both"/>
        <w:rPr>
          <w:rFonts w:asciiTheme="minorHAnsi" w:hAnsiTheme="minorHAnsi"/>
          <w:b/>
          <w:color w:val="000080"/>
          <w:sz w:val="28"/>
          <w:szCs w:val="28"/>
        </w:rPr>
      </w:pPr>
    </w:p>
    <w:p w:rsidR="007A773D" w:rsidRPr="00181065" w:rsidRDefault="007A773D" w:rsidP="007A773D">
      <w:pPr>
        <w:pStyle w:val="Heading1"/>
      </w:pPr>
      <w:r w:rsidRPr="00181065">
        <w:t>Approval</w:t>
      </w:r>
    </w:p>
    <w:p w:rsidR="007A773D" w:rsidRPr="00181065" w:rsidRDefault="007A773D" w:rsidP="007A773D">
      <w:pPr>
        <w:jc w:val="both"/>
        <w:rPr>
          <w:rFonts w:asciiTheme="minorHAnsi" w:hAnsiTheme="minorHAnsi"/>
          <w:b/>
          <w:color w:val="000080"/>
          <w:sz w:val="20"/>
          <w:szCs w:val="20"/>
        </w:rPr>
      </w:pPr>
    </w:p>
    <w:tbl>
      <w:tblPr>
        <w:tblStyle w:val="TableGrid"/>
        <w:tblW w:w="0" w:type="auto"/>
        <w:tblLook w:val="01E0" w:firstRow="1" w:lastRow="1" w:firstColumn="1" w:lastColumn="1" w:noHBand="0" w:noVBand="0"/>
        <w:tblCaption w:val="Statement of Duties Approvals "/>
        <w:tblDescription w:val="Positions and dates relating to the preperation, classification and approval of the Statement of Duties "/>
      </w:tblPr>
      <w:tblGrid>
        <w:gridCol w:w="3267"/>
        <w:gridCol w:w="3309"/>
        <w:gridCol w:w="3279"/>
      </w:tblGrid>
      <w:tr w:rsidR="007A773D" w:rsidRPr="00181065" w:rsidTr="00914F42">
        <w:trPr>
          <w:tblHeader/>
        </w:trPr>
        <w:tc>
          <w:tcPr>
            <w:tcW w:w="3682" w:type="dxa"/>
          </w:tcPr>
          <w:p w:rsidR="007A773D" w:rsidRPr="00181065" w:rsidRDefault="007A773D" w:rsidP="00914F42">
            <w:pPr>
              <w:rPr>
                <w:rFonts w:asciiTheme="minorHAnsi" w:hAnsiTheme="minorHAnsi" w:cs="Arial"/>
                <w:sz w:val="20"/>
                <w:szCs w:val="20"/>
              </w:rPr>
            </w:pPr>
            <w:r w:rsidRPr="00181065">
              <w:rPr>
                <w:rFonts w:asciiTheme="minorHAnsi" w:hAnsiTheme="minorHAnsi" w:cs="Arial"/>
                <w:b/>
                <w:sz w:val="20"/>
                <w:szCs w:val="20"/>
              </w:rPr>
              <w:t xml:space="preserve">Prepared by: </w:t>
            </w:r>
            <w:r w:rsidRPr="00181065">
              <w:rPr>
                <w:rFonts w:asciiTheme="minorHAnsi" w:hAnsiTheme="minorHAnsi" w:cs="Arial"/>
                <w:sz w:val="20"/>
                <w:szCs w:val="20"/>
              </w:rPr>
              <w:br/>
            </w:r>
            <w:r>
              <w:rPr>
                <w:rFonts w:asciiTheme="minorHAnsi" w:hAnsiTheme="minorHAnsi" w:cs="Arial"/>
                <w:sz w:val="20"/>
                <w:szCs w:val="20"/>
              </w:rPr>
              <w:t>Patty Johnson</w:t>
            </w:r>
            <w:r w:rsidRPr="00181065">
              <w:rPr>
                <w:rFonts w:asciiTheme="minorHAnsi" w:hAnsiTheme="minorHAnsi" w:cs="Arial"/>
                <w:sz w:val="20"/>
                <w:szCs w:val="20"/>
              </w:rPr>
              <w:tab/>
            </w:r>
          </w:p>
        </w:tc>
        <w:tc>
          <w:tcPr>
            <w:tcW w:w="3682" w:type="dxa"/>
          </w:tcPr>
          <w:p w:rsidR="007A773D" w:rsidRPr="00181065" w:rsidRDefault="007A773D" w:rsidP="00914F42">
            <w:pPr>
              <w:rPr>
                <w:rFonts w:asciiTheme="minorHAnsi" w:hAnsiTheme="minorHAnsi" w:cs="Arial"/>
                <w:b/>
                <w:sz w:val="20"/>
                <w:szCs w:val="20"/>
              </w:rPr>
            </w:pPr>
            <w:r w:rsidRPr="00181065">
              <w:rPr>
                <w:rFonts w:asciiTheme="minorHAnsi" w:hAnsiTheme="minorHAnsi" w:cs="Arial"/>
                <w:b/>
                <w:sz w:val="20"/>
                <w:szCs w:val="20"/>
              </w:rPr>
              <w:t xml:space="preserve">Classification Approved by: </w:t>
            </w:r>
          </w:p>
          <w:p w:rsidR="007A773D" w:rsidRPr="00181065" w:rsidRDefault="007A773D" w:rsidP="00914F42">
            <w:pPr>
              <w:rPr>
                <w:rFonts w:asciiTheme="minorHAnsi" w:hAnsiTheme="minorHAnsi" w:cs="Arial"/>
                <w:sz w:val="20"/>
                <w:szCs w:val="20"/>
              </w:rPr>
            </w:pPr>
            <w:r>
              <w:rPr>
                <w:rFonts w:asciiTheme="minorHAnsi" w:hAnsiTheme="minorHAnsi" w:cs="Arial"/>
                <w:sz w:val="20"/>
                <w:szCs w:val="20"/>
              </w:rPr>
              <w:t xml:space="preserve">Ric De Santi </w:t>
            </w:r>
          </w:p>
        </w:tc>
        <w:tc>
          <w:tcPr>
            <w:tcW w:w="3682" w:type="dxa"/>
          </w:tcPr>
          <w:p w:rsidR="007A773D" w:rsidRPr="00181065" w:rsidRDefault="007A773D" w:rsidP="00914F42">
            <w:pPr>
              <w:rPr>
                <w:rFonts w:asciiTheme="minorHAnsi" w:hAnsiTheme="minorHAnsi" w:cs="Arial"/>
                <w:b/>
                <w:sz w:val="20"/>
                <w:szCs w:val="20"/>
              </w:rPr>
            </w:pPr>
            <w:r w:rsidRPr="00181065">
              <w:rPr>
                <w:rFonts w:asciiTheme="minorHAnsi" w:hAnsiTheme="minorHAnsi" w:cs="Arial"/>
                <w:b/>
                <w:sz w:val="20"/>
                <w:szCs w:val="20"/>
              </w:rPr>
              <w:t xml:space="preserve">Statement of Duties Approved by: </w:t>
            </w:r>
          </w:p>
          <w:p w:rsidR="007A773D" w:rsidRPr="00181065" w:rsidRDefault="007A773D" w:rsidP="00914F42">
            <w:pPr>
              <w:rPr>
                <w:rFonts w:asciiTheme="minorHAnsi" w:hAnsiTheme="minorHAnsi" w:cs="Arial"/>
                <w:sz w:val="20"/>
                <w:szCs w:val="20"/>
              </w:rPr>
            </w:pPr>
            <w:r>
              <w:rPr>
                <w:rFonts w:asciiTheme="minorHAnsi" w:hAnsiTheme="minorHAnsi" w:cs="Arial"/>
                <w:sz w:val="20"/>
                <w:szCs w:val="20"/>
              </w:rPr>
              <w:t xml:space="preserve">Rod Whitehead </w:t>
            </w:r>
            <w:r w:rsidRPr="00181065">
              <w:rPr>
                <w:rFonts w:asciiTheme="minorHAnsi" w:hAnsiTheme="minorHAnsi" w:cs="Arial"/>
                <w:sz w:val="20"/>
                <w:szCs w:val="20"/>
              </w:rPr>
              <w:tab/>
            </w:r>
          </w:p>
        </w:tc>
      </w:tr>
      <w:tr w:rsidR="007A773D" w:rsidRPr="00181065" w:rsidTr="00914F42">
        <w:tc>
          <w:tcPr>
            <w:tcW w:w="3682" w:type="dxa"/>
          </w:tcPr>
          <w:p w:rsidR="007A773D" w:rsidRPr="00181065" w:rsidRDefault="007A773D" w:rsidP="00914F42">
            <w:pPr>
              <w:jc w:val="both"/>
              <w:rPr>
                <w:rFonts w:asciiTheme="minorHAnsi" w:hAnsiTheme="minorHAnsi" w:cs="Arial"/>
                <w:b/>
                <w:sz w:val="20"/>
                <w:szCs w:val="20"/>
              </w:rPr>
            </w:pPr>
            <w:r w:rsidRPr="00181065">
              <w:rPr>
                <w:rFonts w:asciiTheme="minorHAnsi" w:hAnsiTheme="minorHAnsi" w:cs="Arial"/>
                <w:b/>
                <w:sz w:val="20"/>
                <w:szCs w:val="20"/>
              </w:rPr>
              <w:t>Title:</w:t>
            </w:r>
          </w:p>
          <w:p w:rsidR="007A773D" w:rsidRPr="00181065" w:rsidRDefault="007A773D" w:rsidP="00914F42">
            <w:pPr>
              <w:jc w:val="both"/>
              <w:rPr>
                <w:rFonts w:asciiTheme="minorHAnsi" w:hAnsiTheme="minorHAnsi" w:cs="Arial"/>
                <w:sz w:val="20"/>
                <w:szCs w:val="20"/>
              </w:rPr>
            </w:pPr>
            <w:r>
              <w:rPr>
                <w:rFonts w:asciiTheme="minorHAnsi" w:hAnsiTheme="minorHAnsi" w:cs="Arial"/>
                <w:sz w:val="20"/>
                <w:szCs w:val="20"/>
              </w:rPr>
              <w:t>Director Corporate Support Services</w:t>
            </w:r>
          </w:p>
        </w:tc>
        <w:tc>
          <w:tcPr>
            <w:tcW w:w="3682" w:type="dxa"/>
          </w:tcPr>
          <w:p w:rsidR="007A773D" w:rsidRPr="00181065" w:rsidRDefault="007A773D" w:rsidP="00914F42">
            <w:pPr>
              <w:jc w:val="both"/>
              <w:rPr>
                <w:rFonts w:asciiTheme="minorHAnsi" w:hAnsiTheme="minorHAnsi" w:cs="Arial"/>
                <w:b/>
                <w:sz w:val="20"/>
                <w:szCs w:val="20"/>
              </w:rPr>
            </w:pPr>
            <w:r w:rsidRPr="00181065">
              <w:rPr>
                <w:rFonts w:asciiTheme="minorHAnsi" w:hAnsiTheme="minorHAnsi" w:cs="Arial"/>
                <w:b/>
                <w:sz w:val="20"/>
                <w:szCs w:val="20"/>
              </w:rPr>
              <w:t xml:space="preserve">Title: </w:t>
            </w:r>
          </w:p>
          <w:p w:rsidR="007A773D" w:rsidRPr="00181065" w:rsidRDefault="007A773D" w:rsidP="00914F42">
            <w:pPr>
              <w:jc w:val="both"/>
              <w:rPr>
                <w:rFonts w:asciiTheme="minorHAnsi" w:hAnsiTheme="minorHAnsi" w:cs="Arial"/>
                <w:sz w:val="20"/>
                <w:szCs w:val="20"/>
              </w:rPr>
            </w:pPr>
            <w:r w:rsidRPr="00181065">
              <w:rPr>
                <w:rFonts w:asciiTheme="minorHAnsi" w:hAnsiTheme="minorHAnsi" w:cs="Arial"/>
                <w:sz w:val="20"/>
                <w:szCs w:val="20"/>
              </w:rPr>
              <w:t xml:space="preserve"> </w:t>
            </w:r>
            <w:r>
              <w:rPr>
                <w:rFonts w:asciiTheme="minorHAnsi" w:hAnsiTheme="minorHAnsi" w:cs="Arial"/>
                <w:sz w:val="20"/>
                <w:szCs w:val="20"/>
              </w:rPr>
              <w:t>Chief Operating Officer</w:t>
            </w:r>
          </w:p>
        </w:tc>
        <w:tc>
          <w:tcPr>
            <w:tcW w:w="3682" w:type="dxa"/>
          </w:tcPr>
          <w:p w:rsidR="007A773D" w:rsidRPr="00181065" w:rsidRDefault="007A773D" w:rsidP="00914F42">
            <w:pPr>
              <w:jc w:val="both"/>
              <w:rPr>
                <w:rFonts w:asciiTheme="minorHAnsi" w:hAnsiTheme="minorHAnsi" w:cs="Arial"/>
                <w:b/>
                <w:sz w:val="20"/>
                <w:szCs w:val="20"/>
              </w:rPr>
            </w:pPr>
            <w:r w:rsidRPr="00181065">
              <w:rPr>
                <w:rFonts w:asciiTheme="minorHAnsi" w:hAnsiTheme="minorHAnsi" w:cs="Arial"/>
                <w:b/>
                <w:sz w:val="20"/>
                <w:szCs w:val="20"/>
              </w:rPr>
              <w:t xml:space="preserve">Title: </w:t>
            </w:r>
          </w:p>
          <w:p w:rsidR="007A773D" w:rsidRPr="00181065" w:rsidRDefault="007A773D" w:rsidP="00914F42">
            <w:pPr>
              <w:jc w:val="both"/>
              <w:rPr>
                <w:rFonts w:asciiTheme="minorHAnsi" w:hAnsiTheme="minorHAnsi" w:cs="Arial"/>
                <w:sz w:val="20"/>
                <w:szCs w:val="20"/>
              </w:rPr>
            </w:pPr>
            <w:r>
              <w:rPr>
                <w:rFonts w:asciiTheme="minorHAnsi" w:hAnsiTheme="minorHAnsi" w:cs="Arial"/>
                <w:sz w:val="20"/>
                <w:szCs w:val="20"/>
              </w:rPr>
              <w:t>Auditor-General</w:t>
            </w:r>
            <w:r w:rsidRPr="00181065">
              <w:rPr>
                <w:rFonts w:asciiTheme="minorHAnsi" w:hAnsiTheme="minorHAnsi" w:cs="Arial"/>
                <w:sz w:val="20"/>
                <w:szCs w:val="20"/>
              </w:rPr>
              <w:tab/>
            </w:r>
          </w:p>
        </w:tc>
      </w:tr>
      <w:tr w:rsidR="007A773D" w:rsidRPr="00181065" w:rsidTr="00914F42">
        <w:tc>
          <w:tcPr>
            <w:tcW w:w="3682" w:type="dxa"/>
          </w:tcPr>
          <w:p w:rsidR="007A773D" w:rsidRPr="00181065" w:rsidRDefault="007A773D" w:rsidP="00914F42">
            <w:pPr>
              <w:jc w:val="both"/>
              <w:rPr>
                <w:rFonts w:asciiTheme="minorHAnsi" w:hAnsiTheme="minorHAnsi" w:cs="Arial"/>
                <w:b/>
                <w:sz w:val="20"/>
                <w:szCs w:val="20"/>
              </w:rPr>
            </w:pPr>
            <w:r w:rsidRPr="00181065">
              <w:rPr>
                <w:rFonts w:asciiTheme="minorHAnsi" w:hAnsiTheme="minorHAnsi" w:cs="Arial"/>
                <w:b/>
                <w:sz w:val="20"/>
                <w:szCs w:val="20"/>
              </w:rPr>
              <w:t xml:space="preserve">Date: </w:t>
            </w:r>
          </w:p>
          <w:p w:rsidR="007A773D" w:rsidRPr="00181065" w:rsidRDefault="007A773D" w:rsidP="00914F42">
            <w:pPr>
              <w:jc w:val="both"/>
              <w:rPr>
                <w:rFonts w:asciiTheme="minorHAnsi" w:hAnsiTheme="minorHAnsi" w:cs="Arial"/>
                <w:sz w:val="20"/>
                <w:szCs w:val="20"/>
              </w:rPr>
            </w:pPr>
            <w:r>
              <w:rPr>
                <w:rFonts w:asciiTheme="minorHAnsi" w:hAnsiTheme="minorHAnsi" w:cs="Arial"/>
                <w:sz w:val="20"/>
                <w:szCs w:val="20"/>
              </w:rPr>
              <w:t>19 January 2017</w:t>
            </w:r>
          </w:p>
        </w:tc>
        <w:tc>
          <w:tcPr>
            <w:tcW w:w="3682" w:type="dxa"/>
          </w:tcPr>
          <w:p w:rsidR="007A773D" w:rsidRPr="00181065" w:rsidRDefault="007A773D" w:rsidP="00914F42">
            <w:pPr>
              <w:jc w:val="both"/>
              <w:rPr>
                <w:rFonts w:asciiTheme="minorHAnsi" w:hAnsiTheme="minorHAnsi" w:cs="Arial"/>
                <w:b/>
                <w:sz w:val="20"/>
                <w:szCs w:val="20"/>
              </w:rPr>
            </w:pPr>
            <w:r w:rsidRPr="00181065">
              <w:rPr>
                <w:rFonts w:asciiTheme="minorHAnsi" w:hAnsiTheme="minorHAnsi" w:cs="Arial"/>
                <w:b/>
                <w:sz w:val="20"/>
                <w:szCs w:val="20"/>
              </w:rPr>
              <w:t>Date:</w:t>
            </w:r>
          </w:p>
          <w:p w:rsidR="007A773D" w:rsidRPr="00181065" w:rsidRDefault="007A773D" w:rsidP="00914F42">
            <w:pPr>
              <w:jc w:val="both"/>
              <w:rPr>
                <w:rFonts w:asciiTheme="minorHAnsi" w:hAnsiTheme="minorHAnsi" w:cs="Arial"/>
                <w:sz w:val="20"/>
                <w:szCs w:val="20"/>
              </w:rPr>
            </w:pPr>
            <w:r>
              <w:rPr>
                <w:rFonts w:asciiTheme="minorHAnsi" w:hAnsiTheme="minorHAnsi" w:cs="Arial"/>
                <w:sz w:val="20"/>
                <w:szCs w:val="20"/>
              </w:rPr>
              <w:t>19 January 2017</w:t>
            </w:r>
          </w:p>
        </w:tc>
        <w:tc>
          <w:tcPr>
            <w:tcW w:w="3682" w:type="dxa"/>
          </w:tcPr>
          <w:p w:rsidR="007A773D" w:rsidRPr="00181065" w:rsidRDefault="007A773D" w:rsidP="00914F42">
            <w:pPr>
              <w:jc w:val="both"/>
              <w:rPr>
                <w:rFonts w:asciiTheme="minorHAnsi" w:hAnsiTheme="minorHAnsi" w:cs="Arial"/>
                <w:b/>
                <w:sz w:val="20"/>
                <w:szCs w:val="20"/>
              </w:rPr>
            </w:pPr>
            <w:r w:rsidRPr="00181065">
              <w:rPr>
                <w:rFonts w:asciiTheme="minorHAnsi" w:hAnsiTheme="minorHAnsi" w:cs="Arial"/>
                <w:b/>
                <w:sz w:val="20"/>
                <w:szCs w:val="20"/>
              </w:rPr>
              <w:t>Date:</w:t>
            </w:r>
            <w:r w:rsidRPr="00181065">
              <w:rPr>
                <w:rFonts w:asciiTheme="minorHAnsi" w:hAnsiTheme="minorHAnsi" w:cs="Arial"/>
                <w:b/>
                <w:sz w:val="20"/>
                <w:szCs w:val="20"/>
              </w:rPr>
              <w:tab/>
            </w:r>
          </w:p>
          <w:p w:rsidR="007A773D" w:rsidRPr="00181065" w:rsidRDefault="007A773D" w:rsidP="00914F42">
            <w:pPr>
              <w:jc w:val="both"/>
              <w:rPr>
                <w:rFonts w:asciiTheme="minorHAnsi" w:hAnsiTheme="minorHAnsi" w:cs="Arial"/>
                <w:sz w:val="20"/>
                <w:szCs w:val="20"/>
              </w:rPr>
            </w:pPr>
            <w:r>
              <w:rPr>
                <w:rFonts w:asciiTheme="minorHAnsi" w:hAnsiTheme="minorHAnsi" w:cs="Arial"/>
                <w:sz w:val="20"/>
                <w:szCs w:val="20"/>
              </w:rPr>
              <w:t>19 January 2017</w:t>
            </w:r>
          </w:p>
        </w:tc>
      </w:tr>
    </w:tbl>
    <w:p w:rsidR="007A773D" w:rsidRDefault="007A773D" w:rsidP="00F46B1B">
      <w:pPr>
        <w:jc w:val="both"/>
        <w:rPr>
          <w:rFonts w:asciiTheme="minorHAnsi" w:hAnsiTheme="minorHAnsi"/>
          <w:sz w:val="20"/>
          <w:szCs w:val="20"/>
        </w:rPr>
      </w:pPr>
    </w:p>
    <w:p w:rsidR="007A773D" w:rsidRPr="007A773D" w:rsidRDefault="007A773D" w:rsidP="007A773D">
      <w:pPr>
        <w:rPr>
          <w:rFonts w:asciiTheme="minorHAnsi" w:hAnsiTheme="minorHAnsi"/>
          <w:sz w:val="20"/>
          <w:szCs w:val="20"/>
        </w:rPr>
      </w:pPr>
    </w:p>
    <w:p w:rsidR="007A773D" w:rsidRPr="007A773D" w:rsidRDefault="007A773D" w:rsidP="007A773D">
      <w:pPr>
        <w:rPr>
          <w:rFonts w:asciiTheme="minorHAnsi" w:hAnsiTheme="minorHAnsi"/>
          <w:sz w:val="20"/>
          <w:szCs w:val="20"/>
        </w:rPr>
      </w:pPr>
    </w:p>
    <w:p w:rsidR="007A773D" w:rsidRPr="007A773D" w:rsidRDefault="007A773D" w:rsidP="007A773D">
      <w:pPr>
        <w:rPr>
          <w:rFonts w:asciiTheme="minorHAnsi" w:hAnsiTheme="minorHAnsi"/>
          <w:sz w:val="20"/>
          <w:szCs w:val="20"/>
        </w:rPr>
      </w:pPr>
    </w:p>
    <w:p w:rsidR="007A773D" w:rsidRPr="007A773D" w:rsidRDefault="007A773D" w:rsidP="007A773D">
      <w:pPr>
        <w:rPr>
          <w:rFonts w:asciiTheme="minorHAnsi" w:hAnsiTheme="minorHAnsi"/>
          <w:sz w:val="20"/>
          <w:szCs w:val="20"/>
        </w:rPr>
      </w:pPr>
    </w:p>
    <w:p w:rsidR="007A773D" w:rsidRPr="007A773D" w:rsidRDefault="007A773D" w:rsidP="007A773D">
      <w:pPr>
        <w:rPr>
          <w:rFonts w:asciiTheme="minorHAnsi" w:hAnsiTheme="minorHAnsi"/>
          <w:sz w:val="20"/>
          <w:szCs w:val="20"/>
        </w:rPr>
      </w:pPr>
    </w:p>
    <w:p w:rsidR="007A773D" w:rsidRPr="007A773D" w:rsidRDefault="007A773D" w:rsidP="007A773D">
      <w:pPr>
        <w:rPr>
          <w:rFonts w:asciiTheme="minorHAnsi" w:hAnsiTheme="minorHAnsi"/>
          <w:sz w:val="20"/>
          <w:szCs w:val="20"/>
        </w:rPr>
      </w:pPr>
    </w:p>
    <w:p w:rsidR="007A773D" w:rsidRDefault="007A773D" w:rsidP="007A773D">
      <w:pPr>
        <w:rPr>
          <w:rFonts w:asciiTheme="minorHAnsi" w:hAnsiTheme="minorHAnsi"/>
          <w:sz w:val="20"/>
          <w:szCs w:val="20"/>
        </w:rPr>
      </w:pPr>
    </w:p>
    <w:p w:rsidR="00012749" w:rsidRPr="007A773D" w:rsidRDefault="007A773D" w:rsidP="007A773D">
      <w:pPr>
        <w:tabs>
          <w:tab w:val="left" w:pos="3030"/>
        </w:tabs>
        <w:rPr>
          <w:rFonts w:asciiTheme="minorHAnsi" w:hAnsiTheme="minorHAnsi"/>
          <w:sz w:val="20"/>
          <w:szCs w:val="20"/>
        </w:rPr>
      </w:pPr>
      <w:r>
        <w:rPr>
          <w:rFonts w:asciiTheme="minorHAnsi" w:hAnsiTheme="minorHAnsi"/>
          <w:sz w:val="20"/>
          <w:szCs w:val="20"/>
        </w:rPr>
        <w:tab/>
      </w:r>
    </w:p>
    <w:sectPr w:rsidR="00012749" w:rsidRPr="007A773D" w:rsidSect="00F46B1B">
      <w:headerReference w:type="even" r:id="rId11"/>
      <w:headerReference w:type="default" r:id="rId12"/>
      <w:footerReference w:type="default" r:id="rId13"/>
      <w:headerReference w:type="first" r:id="rId14"/>
      <w:pgSz w:w="11907" w:h="16840"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B1C" w:rsidRDefault="00985B1C">
      <w:r>
        <w:separator/>
      </w:r>
    </w:p>
    <w:p w:rsidR="00985B1C" w:rsidRDefault="00985B1C"/>
  </w:endnote>
  <w:endnote w:type="continuationSeparator" w:id="0">
    <w:p w:rsidR="00985B1C" w:rsidRDefault="00985B1C">
      <w:r>
        <w:continuationSeparator/>
      </w:r>
    </w:p>
    <w:p w:rsidR="00985B1C" w:rsidRDefault="00985B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AD9" w:rsidRDefault="007A773D" w:rsidP="00220246">
    <w:pPr>
      <w:pStyle w:val="Footer"/>
      <w:pBdr>
        <w:top w:val="single" w:sz="4" w:space="1" w:color="auto"/>
      </w:pBdr>
      <w:jc w:val="center"/>
      <w:rPr>
        <w:rStyle w:val="PageNumber"/>
        <w:rFonts w:ascii="Calibri" w:hAnsi="Calibri"/>
      </w:rPr>
    </w:pPr>
    <w:r>
      <w:rPr>
        <w:rStyle w:val="PageNumber"/>
        <w:rFonts w:ascii="Calibri" w:hAnsi="Calibri"/>
      </w:rPr>
      <w:t xml:space="preserve">Various </w:t>
    </w:r>
    <w:r w:rsidR="00EC0AD9">
      <w:rPr>
        <w:rStyle w:val="PageNumber"/>
        <w:rFonts w:ascii="Calibri" w:hAnsi="Calibri"/>
      </w:rPr>
      <w:t>P</w:t>
    </w:r>
    <w:r>
      <w:rPr>
        <w:rStyle w:val="PageNumber"/>
        <w:rFonts w:ascii="Calibri" w:hAnsi="Calibri"/>
      </w:rPr>
      <w:t>ositions</w:t>
    </w:r>
    <w:r w:rsidR="00EC0AD9">
      <w:rPr>
        <w:rFonts w:ascii="Calibri" w:hAnsi="Calibri"/>
      </w:rPr>
      <w:tab/>
    </w:r>
    <w:r w:rsidR="00EC0AD9" w:rsidRPr="004B1B1D">
      <w:rPr>
        <w:rStyle w:val="PageNumber"/>
        <w:rFonts w:ascii="Calibri" w:hAnsi="Calibri"/>
      </w:rPr>
      <w:fldChar w:fldCharType="begin"/>
    </w:r>
    <w:r w:rsidR="00EC0AD9" w:rsidRPr="004B1B1D">
      <w:rPr>
        <w:rStyle w:val="PageNumber"/>
        <w:rFonts w:ascii="Calibri" w:hAnsi="Calibri"/>
      </w:rPr>
      <w:instrText xml:space="preserve"> PAGE </w:instrText>
    </w:r>
    <w:r w:rsidR="00EC0AD9" w:rsidRPr="004B1B1D">
      <w:rPr>
        <w:rStyle w:val="PageNumber"/>
        <w:rFonts w:ascii="Calibri" w:hAnsi="Calibri"/>
      </w:rPr>
      <w:fldChar w:fldCharType="separate"/>
    </w:r>
    <w:r w:rsidR="00BA2C96">
      <w:rPr>
        <w:rStyle w:val="PageNumber"/>
        <w:rFonts w:ascii="Calibri" w:hAnsi="Calibri"/>
        <w:noProof/>
      </w:rPr>
      <w:t>2</w:t>
    </w:r>
    <w:r w:rsidR="00EC0AD9" w:rsidRPr="004B1B1D">
      <w:rPr>
        <w:rStyle w:val="PageNumber"/>
        <w:rFonts w:ascii="Calibri" w:hAnsi="Calibri"/>
      </w:rPr>
      <w:fldChar w:fldCharType="end"/>
    </w:r>
    <w:r w:rsidR="00F42BB6">
      <w:rPr>
        <w:rStyle w:val="PageNumber"/>
        <w:rFonts w:ascii="Calibri" w:hAnsi="Calibri"/>
      </w:rPr>
      <w:tab/>
    </w:r>
    <w:r w:rsidR="00EC0AD9">
      <w:rPr>
        <w:rFonts w:ascii="Calibri" w:hAnsi="Calibri"/>
      </w:rPr>
      <w:t>Tasmanian Audit Office</w:t>
    </w:r>
  </w:p>
  <w:p w:rsidR="00EC0AD9" w:rsidRDefault="00EC0AD9" w:rsidP="00220246">
    <w:pPr>
      <w:pStyle w:val="Footer"/>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B1C" w:rsidRDefault="00985B1C">
      <w:r>
        <w:separator/>
      </w:r>
    </w:p>
    <w:p w:rsidR="00985B1C" w:rsidRDefault="00985B1C"/>
  </w:footnote>
  <w:footnote w:type="continuationSeparator" w:id="0">
    <w:p w:rsidR="00985B1C" w:rsidRDefault="00985B1C">
      <w:r>
        <w:continuationSeparator/>
      </w:r>
    </w:p>
    <w:p w:rsidR="00985B1C" w:rsidRDefault="00985B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AD9" w:rsidRDefault="00EC0AD9">
    <w:pPr>
      <w:pStyle w:val="Header"/>
    </w:pPr>
  </w:p>
  <w:p w:rsidR="00EC0AD9" w:rsidRDefault="00EC0AD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AD9" w:rsidRDefault="00EC0AD9">
    <w:pPr>
      <w:pStyle w:val="Header"/>
    </w:pPr>
  </w:p>
  <w:p w:rsidR="00EC0AD9" w:rsidRDefault="00EC0AD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AD9" w:rsidRDefault="00EC0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65AA1"/>
    <w:multiLevelType w:val="hybridMultilevel"/>
    <w:tmpl w:val="21A07F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4D59E3"/>
    <w:multiLevelType w:val="multilevel"/>
    <w:tmpl w:val="0A780DF6"/>
    <w:lvl w:ilvl="0">
      <w:start w:val="1"/>
      <w:numFmt w:val="bullet"/>
      <w:lvlText w:val=""/>
      <w:lvlJc w:val="left"/>
      <w:pPr>
        <w:tabs>
          <w:tab w:val="num" w:pos="1295"/>
        </w:tabs>
        <w:ind w:left="1295" w:hanging="360"/>
      </w:pPr>
      <w:rPr>
        <w:rFonts w:ascii="Symbol" w:hAnsi="Symbol" w:hint="default"/>
      </w:rPr>
    </w:lvl>
    <w:lvl w:ilvl="1">
      <w:start w:val="1"/>
      <w:numFmt w:val="bullet"/>
      <w:lvlText w:val=""/>
      <w:lvlJc w:val="left"/>
      <w:pPr>
        <w:tabs>
          <w:tab w:val="num" w:pos="2015"/>
        </w:tabs>
        <w:ind w:left="2015" w:hanging="360"/>
      </w:pPr>
      <w:rPr>
        <w:rFonts w:ascii="Symbol" w:hAnsi="Symbol" w:hint="default"/>
      </w:rPr>
    </w:lvl>
    <w:lvl w:ilvl="2">
      <w:start w:val="1"/>
      <w:numFmt w:val="lowerRoman"/>
      <w:lvlText w:val="%3."/>
      <w:lvlJc w:val="right"/>
      <w:pPr>
        <w:tabs>
          <w:tab w:val="num" w:pos="2735"/>
        </w:tabs>
        <w:ind w:left="2735" w:hanging="180"/>
      </w:pPr>
    </w:lvl>
    <w:lvl w:ilvl="3">
      <w:start w:val="1"/>
      <w:numFmt w:val="decimal"/>
      <w:lvlText w:val="%4."/>
      <w:lvlJc w:val="left"/>
      <w:pPr>
        <w:tabs>
          <w:tab w:val="num" w:pos="3455"/>
        </w:tabs>
        <w:ind w:left="3455" w:hanging="360"/>
      </w:pPr>
    </w:lvl>
    <w:lvl w:ilvl="4">
      <w:start w:val="1"/>
      <w:numFmt w:val="lowerLetter"/>
      <w:lvlText w:val="%5."/>
      <w:lvlJc w:val="left"/>
      <w:pPr>
        <w:tabs>
          <w:tab w:val="num" w:pos="4175"/>
        </w:tabs>
        <w:ind w:left="4175" w:hanging="360"/>
      </w:pPr>
    </w:lvl>
    <w:lvl w:ilvl="5">
      <w:start w:val="1"/>
      <w:numFmt w:val="lowerRoman"/>
      <w:lvlText w:val="%6."/>
      <w:lvlJc w:val="right"/>
      <w:pPr>
        <w:tabs>
          <w:tab w:val="num" w:pos="4895"/>
        </w:tabs>
        <w:ind w:left="4895" w:hanging="180"/>
      </w:pPr>
    </w:lvl>
    <w:lvl w:ilvl="6">
      <w:start w:val="1"/>
      <w:numFmt w:val="decimal"/>
      <w:lvlText w:val="%7."/>
      <w:lvlJc w:val="left"/>
      <w:pPr>
        <w:tabs>
          <w:tab w:val="num" w:pos="5615"/>
        </w:tabs>
        <w:ind w:left="5615" w:hanging="360"/>
      </w:pPr>
    </w:lvl>
    <w:lvl w:ilvl="7">
      <w:start w:val="1"/>
      <w:numFmt w:val="lowerLetter"/>
      <w:lvlText w:val="%8."/>
      <w:lvlJc w:val="left"/>
      <w:pPr>
        <w:tabs>
          <w:tab w:val="num" w:pos="6335"/>
        </w:tabs>
        <w:ind w:left="6335" w:hanging="360"/>
      </w:pPr>
    </w:lvl>
    <w:lvl w:ilvl="8">
      <w:start w:val="1"/>
      <w:numFmt w:val="lowerRoman"/>
      <w:lvlText w:val="%9."/>
      <w:lvlJc w:val="right"/>
      <w:pPr>
        <w:tabs>
          <w:tab w:val="num" w:pos="7055"/>
        </w:tabs>
        <w:ind w:left="7055" w:hanging="180"/>
      </w:pPr>
    </w:lvl>
  </w:abstractNum>
  <w:abstractNum w:abstractNumId="2" w15:restartNumberingAfterBreak="0">
    <w:nsid w:val="1E776688"/>
    <w:multiLevelType w:val="multilevel"/>
    <w:tmpl w:val="0A780DF6"/>
    <w:lvl w:ilvl="0">
      <w:start w:val="1"/>
      <w:numFmt w:val="bullet"/>
      <w:lvlText w:val=""/>
      <w:lvlJc w:val="left"/>
      <w:pPr>
        <w:tabs>
          <w:tab w:val="num" w:pos="1295"/>
        </w:tabs>
        <w:ind w:left="1295" w:hanging="360"/>
      </w:pPr>
      <w:rPr>
        <w:rFonts w:ascii="Symbol" w:hAnsi="Symbol" w:hint="default"/>
      </w:rPr>
    </w:lvl>
    <w:lvl w:ilvl="1">
      <w:start w:val="1"/>
      <w:numFmt w:val="bullet"/>
      <w:lvlText w:val=""/>
      <w:lvlJc w:val="left"/>
      <w:pPr>
        <w:tabs>
          <w:tab w:val="num" w:pos="2015"/>
        </w:tabs>
        <w:ind w:left="2015" w:hanging="360"/>
      </w:pPr>
      <w:rPr>
        <w:rFonts w:ascii="Symbol" w:hAnsi="Symbol" w:hint="default"/>
      </w:rPr>
    </w:lvl>
    <w:lvl w:ilvl="2">
      <w:start w:val="1"/>
      <w:numFmt w:val="lowerRoman"/>
      <w:lvlText w:val="%3."/>
      <w:lvlJc w:val="right"/>
      <w:pPr>
        <w:tabs>
          <w:tab w:val="num" w:pos="2735"/>
        </w:tabs>
        <w:ind w:left="2735" w:hanging="180"/>
      </w:pPr>
    </w:lvl>
    <w:lvl w:ilvl="3">
      <w:start w:val="1"/>
      <w:numFmt w:val="decimal"/>
      <w:lvlText w:val="%4."/>
      <w:lvlJc w:val="left"/>
      <w:pPr>
        <w:tabs>
          <w:tab w:val="num" w:pos="3455"/>
        </w:tabs>
        <w:ind w:left="3455" w:hanging="360"/>
      </w:pPr>
    </w:lvl>
    <w:lvl w:ilvl="4">
      <w:start w:val="1"/>
      <w:numFmt w:val="lowerLetter"/>
      <w:lvlText w:val="%5."/>
      <w:lvlJc w:val="left"/>
      <w:pPr>
        <w:tabs>
          <w:tab w:val="num" w:pos="4175"/>
        </w:tabs>
        <w:ind w:left="4175" w:hanging="360"/>
      </w:pPr>
    </w:lvl>
    <w:lvl w:ilvl="5">
      <w:start w:val="1"/>
      <w:numFmt w:val="lowerRoman"/>
      <w:lvlText w:val="%6."/>
      <w:lvlJc w:val="right"/>
      <w:pPr>
        <w:tabs>
          <w:tab w:val="num" w:pos="4895"/>
        </w:tabs>
        <w:ind w:left="4895" w:hanging="180"/>
      </w:pPr>
    </w:lvl>
    <w:lvl w:ilvl="6">
      <w:start w:val="1"/>
      <w:numFmt w:val="decimal"/>
      <w:lvlText w:val="%7."/>
      <w:lvlJc w:val="left"/>
      <w:pPr>
        <w:tabs>
          <w:tab w:val="num" w:pos="5615"/>
        </w:tabs>
        <w:ind w:left="5615" w:hanging="360"/>
      </w:pPr>
    </w:lvl>
    <w:lvl w:ilvl="7">
      <w:start w:val="1"/>
      <w:numFmt w:val="lowerLetter"/>
      <w:lvlText w:val="%8."/>
      <w:lvlJc w:val="left"/>
      <w:pPr>
        <w:tabs>
          <w:tab w:val="num" w:pos="6335"/>
        </w:tabs>
        <w:ind w:left="6335" w:hanging="360"/>
      </w:pPr>
    </w:lvl>
    <w:lvl w:ilvl="8">
      <w:start w:val="1"/>
      <w:numFmt w:val="lowerRoman"/>
      <w:lvlText w:val="%9."/>
      <w:lvlJc w:val="right"/>
      <w:pPr>
        <w:tabs>
          <w:tab w:val="num" w:pos="7055"/>
        </w:tabs>
        <w:ind w:left="7055" w:hanging="180"/>
      </w:pPr>
    </w:lvl>
  </w:abstractNum>
  <w:abstractNum w:abstractNumId="3" w15:restartNumberingAfterBreak="0">
    <w:nsid w:val="1F147F53"/>
    <w:multiLevelType w:val="hybridMultilevel"/>
    <w:tmpl w:val="DA0C7936"/>
    <w:lvl w:ilvl="0" w:tplc="3AEE3A62">
      <w:start w:val="1"/>
      <w:numFmt w:val="bullet"/>
      <w:lvlText w:val=""/>
      <w:lvlJc w:val="left"/>
      <w:pPr>
        <w:tabs>
          <w:tab w:val="num" w:pos="1379"/>
        </w:tabs>
        <w:ind w:left="1379" w:hanging="257"/>
      </w:pPr>
      <w:rPr>
        <w:rFonts w:ascii="Symbol" w:hAnsi="Symbol" w:hint="default"/>
      </w:rPr>
    </w:lvl>
    <w:lvl w:ilvl="1" w:tplc="04090001">
      <w:start w:val="1"/>
      <w:numFmt w:val="bullet"/>
      <w:lvlText w:val=""/>
      <w:lvlJc w:val="left"/>
      <w:pPr>
        <w:tabs>
          <w:tab w:val="num" w:pos="2286"/>
        </w:tabs>
        <w:ind w:left="2286" w:hanging="360"/>
      </w:pPr>
      <w:rPr>
        <w:rFonts w:ascii="Symbol" w:hAnsi="Symbol" w:hint="default"/>
      </w:rPr>
    </w:lvl>
    <w:lvl w:ilvl="2" w:tplc="0409001B" w:tentative="1">
      <w:start w:val="1"/>
      <w:numFmt w:val="lowerRoman"/>
      <w:lvlText w:val="%3."/>
      <w:lvlJc w:val="right"/>
      <w:pPr>
        <w:tabs>
          <w:tab w:val="num" w:pos="3006"/>
        </w:tabs>
        <w:ind w:left="3006" w:hanging="180"/>
      </w:pPr>
    </w:lvl>
    <w:lvl w:ilvl="3" w:tplc="0409000F" w:tentative="1">
      <w:start w:val="1"/>
      <w:numFmt w:val="decimal"/>
      <w:lvlText w:val="%4."/>
      <w:lvlJc w:val="left"/>
      <w:pPr>
        <w:tabs>
          <w:tab w:val="num" w:pos="3726"/>
        </w:tabs>
        <w:ind w:left="3726" w:hanging="360"/>
      </w:pPr>
    </w:lvl>
    <w:lvl w:ilvl="4" w:tplc="04090019" w:tentative="1">
      <w:start w:val="1"/>
      <w:numFmt w:val="lowerLetter"/>
      <w:lvlText w:val="%5."/>
      <w:lvlJc w:val="left"/>
      <w:pPr>
        <w:tabs>
          <w:tab w:val="num" w:pos="4446"/>
        </w:tabs>
        <w:ind w:left="4446" w:hanging="360"/>
      </w:pPr>
    </w:lvl>
    <w:lvl w:ilvl="5" w:tplc="0409001B" w:tentative="1">
      <w:start w:val="1"/>
      <w:numFmt w:val="lowerRoman"/>
      <w:lvlText w:val="%6."/>
      <w:lvlJc w:val="right"/>
      <w:pPr>
        <w:tabs>
          <w:tab w:val="num" w:pos="5166"/>
        </w:tabs>
        <w:ind w:left="5166" w:hanging="180"/>
      </w:pPr>
    </w:lvl>
    <w:lvl w:ilvl="6" w:tplc="0409000F" w:tentative="1">
      <w:start w:val="1"/>
      <w:numFmt w:val="decimal"/>
      <w:lvlText w:val="%7."/>
      <w:lvlJc w:val="left"/>
      <w:pPr>
        <w:tabs>
          <w:tab w:val="num" w:pos="5886"/>
        </w:tabs>
        <w:ind w:left="5886" w:hanging="360"/>
      </w:pPr>
    </w:lvl>
    <w:lvl w:ilvl="7" w:tplc="04090019" w:tentative="1">
      <w:start w:val="1"/>
      <w:numFmt w:val="lowerLetter"/>
      <w:lvlText w:val="%8."/>
      <w:lvlJc w:val="left"/>
      <w:pPr>
        <w:tabs>
          <w:tab w:val="num" w:pos="6606"/>
        </w:tabs>
        <w:ind w:left="6606" w:hanging="360"/>
      </w:pPr>
    </w:lvl>
    <w:lvl w:ilvl="8" w:tplc="0409001B" w:tentative="1">
      <w:start w:val="1"/>
      <w:numFmt w:val="lowerRoman"/>
      <w:lvlText w:val="%9."/>
      <w:lvlJc w:val="right"/>
      <w:pPr>
        <w:tabs>
          <w:tab w:val="num" w:pos="7326"/>
        </w:tabs>
        <w:ind w:left="7326" w:hanging="180"/>
      </w:pPr>
    </w:lvl>
  </w:abstractNum>
  <w:abstractNum w:abstractNumId="4" w15:restartNumberingAfterBreak="0">
    <w:nsid w:val="20DC3FFA"/>
    <w:multiLevelType w:val="hybridMultilevel"/>
    <w:tmpl w:val="1D2093D2"/>
    <w:lvl w:ilvl="0" w:tplc="0C09000F">
      <w:start w:val="1"/>
      <w:numFmt w:val="decimal"/>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5" w15:restartNumberingAfterBreak="0">
    <w:nsid w:val="21EB5D11"/>
    <w:multiLevelType w:val="hybridMultilevel"/>
    <w:tmpl w:val="48B4B6B2"/>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173ACA"/>
    <w:multiLevelType w:val="hybridMultilevel"/>
    <w:tmpl w:val="A4F82D84"/>
    <w:lvl w:ilvl="0" w:tplc="0C09000F">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7" w15:restartNumberingAfterBreak="0">
    <w:nsid w:val="2691358A"/>
    <w:multiLevelType w:val="hybridMultilevel"/>
    <w:tmpl w:val="68C81762"/>
    <w:lvl w:ilvl="0" w:tplc="84B800FA">
      <w:start w:val="1"/>
      <w:numFmt w:val="bullet"/>
      <w:lvlText w:val=""/>
      <w:lvlJc w:val="left"/>
      <w:pPr>
        <w:tabs>
          <w:tab w:val="num" w:pos="1004"/>
        </w:tabs>
        <w:ind w:left="1004" w:hanging="284"/>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9AD0A10"/>
    <w:multiLevelType w:val="hybridMultilevel"/>
    <w:tmpl w:val="61B025B8"/>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E85393"/>
    <w:multiLevelType w:val="hybridMultilevel"/>
    <w:tmpl w:val="02C69FC6"/>
    <w:lvl w:ilvl="0" w:tplc="DFC62B32">
      <w:start w:val="1"/>
      <w:numFmt w:val="decimal"/>
      <w:lvlText w:val="%1."/>
      <w:lvlJc w:val="left"/>
      <w:pPr>
        <w:tabs>
          <w:tab w:val="num" w:pos="1108"/>
        </w:tabs>
        <w:ind w:left="1108" w:hanging="360"/>
      </w:pPr>
      <w:rPr>
        <w:b/>
        <w:color w:val="000080"/>
      </w:rPr>
    </w:lvl>
    <w:lvl w:ilvl="1" w:tplc="FA32F526">
      <w:start w:val="1"/>
      <w:numFmt w:val="bullet"/>
      <w:lvlText w:val=""/>
      <w:lvlJc w:val="left"/>
      <w:pPr>
        <w:tabs>
          <w:tab w:val="num" w:pos="2159"/>
        </w:tabs>
        <w:ind w:left="2159" w:hanging="850"/>
      </w:pPr>
      <w:rPr>
        <w:rFonts w:ascii="Symbol" w:hAnsi="Symbol" w:hint="default"/>
      </w:r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0" w15:restartNumberingAfterBreak="0">
    <w:nsid w:val="32756FF1"/>
    <w:multiLevelType w:val="hybridMultilevel"/>
    <w:tmpl w:val="98405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CB1037"/>
    <w:multiLevelType w:val="multilevel"/>
    <w:tmpl w:val="885A77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D052C3"/>
    <w:multiLevelType w:val="multilevel"/>
    <w:tmpl w:val="F740D8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8D627D"/>
    <w:multiLevelType w:val="hybridMultilevel"/>
    <w:tmpl w:val="EA8A415A"/>
    <w:lvl w:ilvl="0" w:tplc="6C14D67E">
      <w:start w:val="1"/>
      <w:numFmt w:val="decimal"/>
      <w:lvlText w:val="%1."/>
      <w:lvlJc w:val="left"/>
      <w:pPr>
        <w:tabs>
          <w:tab w:val="num" w:pos="1108"/>
        </w:tabs>
        <w:ind w:left="1108" w:hanging="360"/>
      </w:pPr>
      <w:rPr>
        <w:color w:val="000080"/>
      </w:rPr>
    </w:lvl>
    <w:lvl w:ilvl="1" w:tplc="FA32F526">
      <w:start w:val="1"/>
      <w:numFmt w:val="bullet"/>
      <w:lvlText w:val=""/>
      <w:lvlJc w:val="left"/>
      <w:pPr>
        <w:tabs>
          <w:tab w:val="num" w:pos="2159"/>
        </w:tabs>
        <w:ind w:left="2159" w:hanging="850"/>
      </w:pPr>
      <w:rPr>
        <w:rFonts w:ascii="Symbol" w:hAnsi="Symbol" w:hint="default"/>
      </w:r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4" w15:restartNumberingAfterBreak="0">
    <w:nsid w:val="4C0B08C7"/>
    <w:multiLevelType w:val="hybridMultilevel"/>
    <w:tmpl w:val="DDB86434"/>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B631DA"/>
    <w:multiLevelType w:val="multilevel"/>
    <w:tmpl w:val="0A780DF6"/>
    <w:lvl w:ilvl="0">
      <w:start w:val="1"/>
      <w:numFmt w:val="bullet"/>
      <w:lvlText w:val=""/>
      <w:lvlJc w:val="left"/>
      <w:pPr>
        <w:tabs>
          <w:tab w:val="num" w:pos="1295"/>
        </w:tabs>
        <w:ind w:left="1295" w:hanging="360"/>
      </w:pPr>
      <w:rPr>
        <w:rFonts w:ascii="Symbol" w:hAnsi="Symbol" w:hint="default"/>
      </w:rPr>
    </w:lvl>
    <w:lvl w:ilvl="1">
      <w:start w:val="1"/>
      <w:numFmt w:val="bullet"/>
      <w:lvlText w:val=""/>
      <w:lvlJc w:val="left"/>
      <w:pPr>
        <w:tabs>
          <w:tab w:val="num" w:pos="2015"/>
        </w:tabs>
        <w:ind w:left="2015" w:hanging="360"/>
      </w:pPr>
      <w:rPr>
        <w:rFonts w:ascii="Symbol" w:hAnsi="Symbol" w:hint="default"/>
      </w:rPr>
    </w:lvl>
    <w:lvl w:ilvl="2">
      <w:start w:val="1"/>
      <w:numFmt w:val="lowerRoman"/>
      <w:lvlText w:val="%3."/>
      <w:lvlJc w:val="right"/>
      <w:pPr>
        <w:tabs>
          <w:tab w:val="num" w:pos="2735"/>
        </w:tabs>
        <w:ind w:left="2735" w:hanging="180"/>
      </w:pPr>
    </w:lvl>
    <w:lvl w:ilvl="3">
      <w:start w:val="1"/>
      <w:numFmt w:val="decimal"/>
      <w:lvlText w:val="%4."/>
      <w:lvlJc w:val="left"/>
      <w:pPr>
        <w:tabs>
          <w:tab w:val="num" w:pos="3455"/>
        </w:tabs>
        <w:ind w:left="3455" w:hanging="360"/>
      </w:pPr>
    </w:lvl>
    <w:lvl w:ilvl="4">
      <w:start w:val="1"/>
      <w:numFmt w:val="lowerLetter"/>
      <w:lvlText w:val="%5."/>
      <w:lvlJc w:val="left"/>
      <w:pPr>
        <w:tabs>
          <w:tab w:val="num" w:pos="4175"/>
        </w:tabs>
        <w:ind w:left="4175" w:hanging="360"/>
      </w:pPr>
    </w:lvl>
    <w:lvl w:ilvl="5">
      <w:start w:val="1"/>
      <w:numFmt w:val="lowerRoman"/>
      <w:lvlText w:val="%6."/>
      <w:lvlJc w:val="right"/>
      <w:pPr>
        <w:tabs>
          <w:tab w:val="num" w:pos="4895"/>
        </w:tabs>
        <w:ind w:left="4895" w:hanging="180"/>
      </w:pPr>
    </w:lvl>
    <w:lvl w:ilvl="6">
      <w:start w:val="1"/>
      <w:numFmt w:val="decimal"/>
      <w:lvlText w:val="%7."/>
      <w:lvlJc w:val="left"/>
      <w:pPr>
        <w:tabs>
          <w:tab w:val="num" w:pos="5615"/>
        </w:tabs>
        <w:ind w:left="5615" w:hanging="360"/>
      </w:pPr>
    </w:lvl>
    <w:lvl w:ilvl="7">
      <w:start w:val="1"/>
      <w:numFmt w:val="lowerLetter"/>
      <w:lvlText w:val="%8."/>
      <w:lvlJc w:val="left"/>
      <w:pPr>
        <w:tabs>
          <w:tab w:val="num" w:pos="6335"/>
        </w:tabs>
        <w:ind w:left="6335" w:hanging="360"/>
      </w:pPr>
    </w:lvl>
    <w:lvl w:ilvl="8">
      <w:start w:val="1"/>
      <w:numFmt w:val="lowerRoman"/>
      <w:lvlText w:val="%9."/>
      <w:lvlJc w:val="right"/>
      <w:pPr>
        <w:tabs>
          <w:tab w:val="num" w:pos="7055"/>
        </w:tabs>
        <w:ind w:left="7055" w:hanging="180"/>
      </w:pPr>
    </w:lvl>
  </w:abstractNum>
  <w:abstractNum w:abstractNumId="16" w15:restartNumberingAfterBreak="0">
    <w:nsid w:val="4F3D1BC3"/>
    <w:multiLevelType w:val="hybridMultilevel"/>
    <w:tmpl w:val="885A7716"/>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7" w15:restartNumberingAfterBreak="0">
    <w:nsid w:val="585632B2"/>
    <w:multiLevelType w:val="hybridMultilevel"/>
    <w:tmpl w:val="09DCA7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6B4A35"/>
    <w:multiLevelType w:val="hybridMultilevel"/>
    <w:tmpl w:val="42668ED0"/>
    <w:lvl w:ilvl="0" w:tplc="FA32F526">
      <w:start w:val="1"/>
      <w:numFmt w:val="bullet"/>
      <w:lvlText w:val=""/>
      <w:lvlJc w:val="left"/>
      <w:pPr>
        <w:tabs>
          <w:tab w:val="num" w:pos="1134"/>
        </w:tabs>
        <w:ind w:left="1134" w:hanging="85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416A1A"/>
    <w:multiLevelType w:val="hybridMultilevel"/>
    <w:tmpl w:val="503C6838"/>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4836D6"/>
    <w:multiLevelType w:val="hybridMultilevel"/>
    <w:tmpl w:val="EB465B22"/>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2A509F"/>
    <w:multiLevelType w:val="hybridMultilevel"/>
    <w:tmpl w:val="72968028"/>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171D59"/>
    <w:multiLevelType w:val="hybridMultilevel"/>
    <w:tmpl w:val="0A780DF6"/>
    <w:lvl w:ilvl="0" w:tplc="04090001">
      <w:start w:val="1"/>
      <w:numFmt w:val="bullet"/>
      <w:lvlText w:val=""/>
      <w:lvlJc w:val="left"/>
      <w:pPr>
        <w:tabs>
          <w:tab w:val="num" w:pos="1070"/>
        </w:tabs>
        <w:ind w:left="1070" w:hanging="360"/>
      </w:pPr>
      <w:rPr>
        <w:rFonts w:ascii="Symbol" w:hAnsi="Symbol" w:hint="default"/>
      </w:rPr>
    </w:lvl>
    <w:lvl w:ilvl="1" w:tplc="04090001">
      <w:start w:val="1"/>
      <w:numFmt w:val="bullet"/>
      <w:lvlText w:val=""/>
      <w:lvlJc w:val="left"/>
      <w:pPr>
        <w:tabs>
          <w:tab w:val="num" w:pos="1790"/>
        </w:tabs>
        <w:ind w:left="1790" w:hanging="360"/>
      </w:pPr>
      <w:rPr>
        <w:rFonts w:ascii="Symbol" w:hAnsi="Symbol" w:hint="default"/>
      </w:r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num w:numId="1">
    <w:abstractNumId w:val="10"/>
  </w:num>
  <w:num w:numId="2">
    <w:abstractNumId w:val="16"/>
  </w:num>
  <w:num w:numId="3">
    <w:abstractNumId w:val="9"/>
  </w:num>
  <w:num w:numId="4">
    <w:abstractNumId w:val="0"/>
  </w:num>
  <w:num w:numId="5">
    <w:abstractNumId w:val="12"/>
  </w:num>
  <w:num w:numId="6">
    <w:abstractNumId w:val="17"/>
  </w:num>
  <w:num w:numId="7">
    <w:abstractNumId w:val="22"/>
  </w:num>
  <w:num w:numId="8">
    <w:abstractNumId w:val="18"/>
  </w:num>
  <w:num w:numId="9">
    <w:abstractNumId w:val="11"/>
  </w:num>
  <w:num w:numId="10">
    <w:abstractNumId w:val="4"/>
  </w:num>
  <w:num w:numId="11">
    <w:abstractNumId w:val="6"/>
  </w:num>
  <w:num w:numId="12">
    <w:abstractNumId w:val="7"/>
  </w:num>
  <w:num w:numId="13">
    <w:abstractNumId w:val="21"/>
  </w:num>
  <w:num w:numId="14">
    <w:abstractNumId w:val="8"/>
  </w:num>
  <w:num w:numId="15">
    <w:abstractNumId w:val="5"/>
  </w:num>
  <w:num w:numId="16">
    <w:abstractNumId w:val="14"/>
  </w:num>
  <w:num w:numId="17">
    <w:abstractNumId w:val="20"/>
  </w:num>
  <w:num w:numId="18">
    <w:abstractNumId w:val="19"/>
  </w:num>
  <w:num w:numId="19">
    <w:abstractNumId w:val="2"/>
  </w:num>
  <w:num w:numId="20">
    <w:abstractNumId w:val="15"/>
  </w:num>
  <w:num w:numId="21">
    <w:abstractNumId w:val="1"/>
  </w:num>
  <w:num w:numId="22">
    <w:abstractNumId w:val="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DAB"/>
    <w:rsid w:val="00012749"/>
    <w:rsid w:val="00037FB0"/>
    <w:rsid w:val="000455CE"/>
    <w:rsid w:val="000626F0"/>
    <w:rsid w:val="000670A9"/>
    <w:rsid w:val="00074D0E"/>
    <w:rsid w:val="00076168"/>
    <w:rsid w:val="000B5320"/>
    <w:rsid w:val="000D1ABB"/>
    <w:rsid w:val="00111068"/>
    <w:rsid w:val="00123EA4"/>
    <w:rsid w:val="00181065"/>
    <w:rsid w:val="00220246"/>
    <w:rsid w:val="0026682D"/>
    <w:rsid w:val="002823BF"/>
    <w:rsid w:val="002955AA"/>
    <w:rsid w:val="002F06F8"/>
    <w:rsid w:val="00307C74"/>
    <w:rsid w:val="003111A6"/>
    <w:rsid w:val="003132A6"/>
    <w:rsid w:val="00323860"/>
    <w:rsid w:val="003451F5"/>
    <w:rsid w:val="00360B41"/>
    <w:rsid w:val="003D2D9B"/>
    <w:rsid w:val="00404482"/>
    <w:rsid w:val="004313FC"/>
    <w:rsid w:val="00457663"/>
    <w:rsid w:val="00476848"/>
    <w:rsid w:val="004846EF"/>
    <w:rsid w:val="00486A18"/>
    <w:rsid w:val="0049603B"/>
    <w:rsid w:val="004C7BBE"/>
    <w:rsid w:val="004E0308"/>
    <w:rsid w:val="004F5B4D"/>
    <w:rsid w:val="005058AE"/>
    <w:rsid w:val="005105AB"/>
    <w:rsid w:val="00564C46"/>
    <w:rsid w:val="00581D8F"/>
    <w:rsid w:val="00596400"/>
    <w:rsid w:val="005D384E"/>
    <w:rsid w:val="005D4DC6"/>
    <w:rsid w:val="005F228B"/>
    <w:rsid w:val="005F4521"/>
    <w:rsid w:val="00604C11"/>
    <w:rsid w:val="00625C2A"/>
    <w:rsid w:val="00644344"/>
    <w:rsid w:val="006525DB"/>
    <w:rsid w:val="006A7138"/>
    <w:rsid w:val="006B4F4F"/>
    <w:rsid w:val="006C6C19"/>
    <w:rsid w:val="006C723C"/>
    <w:rsid w:val="006D0A85"/>
    <w:rsid w:val="006F12CE"/>
    <w:rsid w:val="007219E5"/>
    <w:rsid w:val="007255FD"/>
    <w:rsid w:val="00754C37"/>
    <w:rsid w:val="00776EFC"/>
    <w:rsid w:val="007A330A"/>
    <w:rsid w:val="007A773D"/>
    <w:rsid w:val="007E47D1"/>
    <w:rsid w:val="007F5B26"/>
    <w:rsid w:val="0081623F"/>
    <w:rsid w:val="00841399"/>
    <w:rsid w:val="00845BA8"/>
    <w:rsid w:val="0085697A"/>
    <w:rsid w:val="00881CA8"/>
    <w:rsid w:val="0090144C"/>
    <w:rsid w:val="009104DE"/>
    <w:rsid w:val="00922605"/>
    <w:rsid w:val="00923052"/>
    <w:rsid w:val="00971442"/>
    <w:rsid w:val="00976AAF"/>
    <w:rsid w:val="00985B1C"/>
    <w:rsid w:val="009C3822"/>
    <w:rsid w:val="009D179A"/>
    <w:rsid w:val="009D2651"/>
    <w:rsid w:val="009F179F"/>
    <w:rsid w:val="009F36EF"/>
    <w:rsid w:val="00A01A00"/>
    <w:rsid w:val="00A10BCC"/>
    <w:rsid w:val="00A42308"/>
    <w:rsid w:val="00A62492"/>
    <w:rsid w:val="00AA51AA"/>
    <w:rsid w:val="00AF30FB"/>
    <w:rsid w:val="00B22D19"/>
    <w:rsid w:val="00B30612"/>
    <w:rsid w:val="00B52DA8"/>
    <w:rsid w:val="00B93270"/>
    <w:rsid w:val="00BA2C96"/>
    <w:rsid w:val="00BF1871"/>
    <w:rsid w:val="00BF2708"/>
    <w:rsid w:val="00BF3463"/>
    <w:rsid w:val="00BF6929"/>
    <w:rsid w:val="00C317B8"/>
    <w:rsid w:val="00C50D7D"/>
    <w:rsid w:val="00C61DAB"/>
    <w:rsid w:val="00C803AA"/>
    <w:rsid w:val="00C807D6"/>
    <w:rsid w:val="00CB62F7"/>
    <w:rsid w:val="00CC0F32"/>
    <w:rsid w:val="00CC4367"/>
    <w:rsid w:val="00CF6547"/>
    <w:rsid w:val="00D07BDA"/>
    <w:rsid w:val="00D279B8"/>
    <w:rsid w:val="00D521C4"/>
    <w:rsid w:val="00D76A66"/>
    <w:rsid w:val="00D9345C"/>
    <w:rsid w:val="00DA4AAE"/>
    <w:rsid w:val="00DA760F"/>
    <w:rsid w:val="00DD5A96"/>
    <w:rsid w:val="00DE2EFB"/>
    <w:rsid w:val="00DE5A26"/>
    <w:rsid w:val="00DF5DF7"/>
    <w:rsid w:val="00E351D7"/>
    <w:rsid w:val="00E3525E"/>
    <w:rsid w:val="00E4132B"/>
    <w:rsid w:val="00E45CDD"/>
    <w:rsid w:val="00E476A0"/>
    <w:rsid w:val="00E61D02"/>
    <w:rsid w:val="00EB1846"/>
    <w:rsid w:val="00EB2EFE"/>
    <w:rsid w:val="00EC0AD9"/>
    <w:rsid w:val="00EC69AD"/>
    <w:rsid w:val="00F13BD9"/>
    <w:rsid w:val="00F16C11"/>
    <w:rsid w:val="00F42BB6"/>
    <w:rsid w:val="00F46B1B"/>
    <w:rsid w:val="00F5333A"/>
    <w:rsid w:val="00F66098"/>
    <w:rsid w:val="00F763FC"/>
    <w:rsid w:val="00F77958"/>
    <w:rsid w:val="00F96899"/>
    <w:rsid w:val="00FC2455"/>
    <w:rsid w:val="00FC2F20"/>
    <w:rsid w:val="00FC41A0"/>
    <w:rsid w:val="00FE31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5B35F66-5F41-484A-9B0E-2C230F2B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rsid w:val="00F46B1B"/>
    <w:pPr>
      <w:spacing w:after="120"/>
      <w:jc w:val="both"/>
      <w:outlineLvl w:val="0"/>
    </w:pPr>
    <w:rPr>
      <w:rFonts w:asciiTheme="minorHAnsi" w:hAnsiTheme="minorHAnsi"/>
      <w:b/>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0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C6C19"/>
    <w:pPr>
      <w:tabs>
        <w:tab w:val="center" w:pos="4153"/>
        <w:tab w:val="right" w:pos="8306"/>
      </w:tabs>
    </w:pPr>
  </w:style>
  <w:style w:type="paragraph" w:styleId="Footer">
    <w:name w:val="footer"/>
    <w:basedOn w:val="Normal"/>
    <w:rsid w:val="006C6C19"/>
    <w:pPr>
      <w:tabs>
        <w:tab w:val="center" w:pos="4153"/>
        <w:tab w:val="right" w:pos="8306"/>
      </w:tabs>
    </w:pPr>
  </w:style>
  <w:style w:type="character" w:styleId="PageNumber">
    <w:name w:val="page number"/>
    <w:basedOn w:val="DefaultParagraphFont"/>
    <w:rsid w:val="00CC0F32"/>
  </w:style>
  <w:style w:type="paragraph" w:styleId="BalloonText">
    <w:name w:val="Balloon Text"/>
    <w:basedOn w:val="Normal"/>
    <w:semiHidden/>
    <w:rsid w:val="003132A6"/>
    <w:rPr>
      <w:rFonts w:ascii="Tahoma" w:hAnsi="Tahoma" w:cs="Tahoma"/>
      <w:sz w:val="16"/>
      <w:szCs w:val="16"/>
    </w:rPr>
  </w:style>
  <w:style w:type="paragraph" w:styleId="Caption">
    <w:name w:val="caption"/>
    <w:basedOn w:val="Normal"/>
    <w:next w:val="Normal"/>
    <w:unhideWhenUsed/>
    <w:qFormat/>
    <w:rsid w:val="00F42BB6"/>
    <w:pPr>
      <w:spacing w:after="200"/>
    </w:pPr>
    <w:rPr>
      <w:b/>
      <w:bCs/>
      <w:color w:val="4F81BD" w:themeColor="accent1"/>
      <w:sz w:val="18"/>
      <w:szCs w:val="18"/>
    </w:rPr>
  </w:style>
  <w:style w:type="character" w:customStyle="1" w:styleId="Heading1Char">
    <w:name w:val="Heading 1 Char"/>
    <w:basedOn w:val="DefaultParagraphFont"/>
    <w:link w:val="Heading1"/>
    <w:rsid w:val="00F46B1B"/>
    <w:rPr>
      <w:rFonts w:asciiTheme="minorHAnsi" w:hAnsiTheme="minorHAnsi"/>
      <w:b/>
      <w:color w:val="000080"/>
      <w:sz w:val="28"/>
      <w:szCs w:val="28"/>
      <w:lang w:val="en-GB" w:eastAsia="en-US"/>
    </w:rPr>
  </w:style>
  <w:style w:type="paragraph" w:styleId="Title">
    <w:name w:val="Title"/>
    <w:basedOn w:val="Normal"/>
    <w:next w:val="Normal"/>
    <w:link w:val="TitleChar"/>
    <w:qFormat/>
    <w:rsid w:val="005058AE"/>
    <w:pPr>
      <w:jc w:val="center"/>
    </w:pPr>
    <w:rPr>
      <w:rFonts w:ascii="Calibri" w:hAnsi="Calibri"/>
      <w:b/>
      <w:color w:val="000080"/>
      <w:sz w:val="36"/>
      <w:szCs w:val="36"/>
    </w:rPr>
  </w:style>
  <w:style w:type="character" w:customStyle="1" w:styleId="TitleChar">
    <w:name w:val="Title Char"/>
    <w:basedOn w:val="DefaultParagraphFont"/>
    <w:link w:val="Title"/>
    <w:rsid w:val="005058AE"/>
    <w:rPr>
      <w:rFonts w:ascii="Calibri" w:hAnsi="Calibri"/>
      <w:b/>
      <w:color w:val="000080"/>
      <w:sz w:val="36"/>
      <w:szCs w:val="36"/>
      <w:lang w:val="en-GB" w:eastAsia="en-US"/>
    </w:rPr>
  </w:style>
  <w:style w:type="paragraph" w:styleId="ListParagraph">
    <w:name w:val="List Paragraph"/>
    <w:basedOn w:val="Normal"/>
    <w:uiPriority w:val="34"/>
    <w:qFormat/>
    <w:rsid w:val="005D384E"/>
    <w:pPr>
      <w:ind w:left="720"/>
      <w:contextualSpacing/>
    </w:pPr>
  </w:style>
  <w:style w:type="character" w:styleId="Hyperlink">
    <w:name w:val="Hyperlink"/>
    <w:basedOn w:val="DefaultParagraphFont"/>
    <w:rsid w:val="006B4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__data/assets/pdf_file/0003/242427/FINAL_TSSAHaHSA_-_Salary_progression_guidelines_-_updated_17_November_2014.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helaw.tas.gov.au/" TargetMode="External"/><Relationship Id="rId4" Type="http://schemas.openxmlformats.org/officeDocument/2006/relationships/webSettings" Target="webSettings.xml"/><Relationship Id="rId9" Type="http://schemas.openxmlformats.org/officeDocument/2006/relationships/hyperlink" Target="http://www.thelaw.tas.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8C3A2CAF.dotm</Template>
  <TotalTime>0</TotalTime>
  <Pages>5</Pages>
  <Words>1692</Words>
  <Characters>8954</Characters>
  <Application>Microsoft Office Word</Application>
  <DocSecurity>4</DocSecurity>
  <Lines>559</Lines>
  <Paragraphs>462</Paragraphs>
  <ScaleCrop>false</ScaleCrop>
  <HeadingPairs>
    <vt:vector size="2" baseType="variant">
      <vt:variant>
        <vt:lpstr>Title</vt:lpstr>
      </vt:variant>
      <vt:variant>
        <vt:i4>1</vt:i4>
      </vt:variant>
    </vt:vector>
  </HeadingPairs>
  <TitlesOfParts>
    <vt:vector size="1" baseType="lpstr">
      <vt:lpstr>STATEMENT OF DUTIES</vt:lpstr>
    </vt:vector>
  </TitlesOfParts>
  <Company>Mardle</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DUTIES</dc:title>
  <dc:creator>Dave</dc:creator>
  <cp:lastModifiedBy>Johnson, Susan</cp:lastModifiedBy>
  <cp:revision>2</cp:revision>
  <cp:lastPrinted>2011-12-19T22:39:00Z</cp:lastPrinted>
  <dcterms:created xsi:type="dcterms:W3CDTF">2017-05-08T02:41:00Z</dcterms:created>
  <dcterms:modified xsi:type="dcterms:W3CDTF">2017-05-08T02:41:00Z</dcterms:modified>
</cp:coreProperties>
</file>