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02" w:rsidRPr="002358BB" w:rsidRDefault="00254F02">
      <w:pPr>
        <w:rPr>
          <w:rFonts w:asciiTheme="minorHAnsi" w:hAnsiTheme="minorHAnsi"/>
        </w:rPr>
      </w:pPr>
      <w:bookmarkStart w:id="0" w:name="_GoBack"/>
      <w:bookmarkEnd w:id="0"/>
    </w:p>
    <w:p w:rsidR="002358BB" w:rsidRPr="002358BB" w:rsidRDefault="002358BB" w:rsidP="002358BB">
      <w:pPr>
        <w:rPr>
          <w:rFonts w:asciiTheme="minorHAnsi" w:hAnsiTheme="minorHAnsi"/>
        </w:rPr>
      </w:pPr>
      <w:r w:rsidRPr="002358BB">
        <w:rPr>
          <w:rFonts w:asciiTheme="minorHAnsi" w:hAnsiTheme="minorHAnsi"/>
        </w:rPr>
        <w:t>This information package provides an overview of the Tasmanian Audit</w:t>
      </w:r>
    </w:p>
    <w:p w:rsidR="00D95A86" w:rsidRPr="002358BB" w:rsidRDefault="002358BB" w:rsidP="002358BB">
      <w:pPr>
        <w:rPr>
          <w:rFonts w:asciiTheme="minorHAnsi" w:hAnsiTheme="minorHAnsi"/>
        </w:rPr>
      </w:pPr>
      <w:r w:rsidRPr="002358BB">
        <w:rPr>
          <w:rFonts w:asciiTheme="minorHAnsi" w:hAnsiTheme="minorHAnsi"/>
        </w:rPr>
        <w:t xml:space="preserve">Office’s </w:t>
      </w:r>
      <w:r w:rsidR="00D26DBD">
        <w:rPr>
          <w:rFonts w:asciiTheme="minorHAnsi" w:hAnsiTheme="minorHAnsi"/>
        </w:rPr>
        <w:t xml:space="preserve">(TAO) </w:t>
      </w:r>
      <w:r w:rsidRPr="002358BB">
        <w:rPr>
          <w:rFonts w:asciiTheme="minorHAnsi" w:hAnsiTheme="minorHAnsi"/>
        </w:rPr>
        <w:t xml:space="preserve">Fixed-Term Employment Register for </w:t>
      </w:r>
      <w:r w:rsidR="00D26DBD">
        <w:rPr>
          <w:rFonts w:asciiTheme="minorHAnsi" w:hAnsiTheme="minorHAnsi"/>
        </w:rPr>
        <w:t>a</w:t>
      </w:r>
      <w:r w:rsidRPr="002358BB">
        <w:rPr>
          <w:rFonts w:asciiTheme="minorHAnsi" w:hAnsiTheme="minorHAnsi"/>
        </w:rPr>
        <w:t>uditors and explains the application selection process</w:t>
      </w:r>
    </w:p>
    <w:p w:rsidR="00D95A86" w:rsidRPr="002358BB" w:rsidRDefault="00D95A86">
      <w:pPr>
        <w:rPr>
          <w:rFonts w:asciiTheme="minorHAnsi" w:hAnsiTheme="minorHAnsi"/>
        </w:rPr>
      </w:pPr>
    </w:p>
    <w:p w:rsidR="00D95A86" w:rsidRPr="002358BB" w:rsidRDefault="002358BB">
      <w:pPr>
        <w:rPr>
          <w:rFonts w:asciiTheme="minorHAnsi" w:hAnsiTheme="minorHAnsi"/>
          <w:b/>
          <w:color w:val="000080"/>
          <w:sz w:val="28"/>
          <w:szCs w:val="28"/>
        </w:rPr>
      </w:pPr>
      <w:r w:rsidRPr="002358BB">
        <w:rPr>
          <w:rFonts w:asciiTheme="minorHAnsi" w:hAnsiTheme="minorHAnsi"/>
          <w:b/>
          <w:color w:val="000080"/>
          <w:sz w:val="28"/>
          <w:szCs w:val="28"/>
        </w:rPr>
        <w:t>What is the Fixed Term Employment Register for Auditors</w:t>
      </w:r>
      <w:r w:rsidR="00F54E35">
        <w:rPr>
          <w:rFonts w:asciiTheme="minorHAnsi" w:hAnsiTheme="minorHAnsi"/>
          <w:b/>
          <w:color w:val="000080"/>
          <w:sz w:val="28"/>
          <w:szCs w:val="28"/>
        </w:rPr>
        <w:t xml:space="preserve"> and Analysts</w:t>
      </w:r>
      <w:r w:rsidRPr="002358BB">
        <w:rPr>
          <w:rFonts w:asciiTheme="minorHAnsi" w:hAnsiTheme="minorHAnsi"/>
          <w:b/>
          <w:color w:val="000080"/>
          <w:sz w:val="28"/>
          <w:szCs w:val="28"/>
        </w:rPr>
        <w:t>?</w:t>
      </w:r>
    </w:p>
    <w:p w:rsidR="002358BB" w:rsidRPr="002358BB" w:rsidRDefault="002358BB">
      <w:pPr>
        <w:rPr>
          <w:rFonts w:asciiTheme="minorHAnsi" w:hAnsiTheme="minorHAnsi"/>
        </w:rPr>
      </w:pPr>
    </w:p>
    <w:p w:rsidR="002358BB" w:rsidRPr="002358BB" w:rsidRDefault="002358BB" w:rsidP="002358BB">
      <w:pPr>
        <w:rPr>
          <w:rFonts w:asciiTheme="minorHAnsi" w:hAnsiTheme="minorHAnsi"/>
        </w:rPr>
      </w:pPr>
      <w:r w:rsidRPr="002358BB">
        <w:rPr>
          <w:rFonts w:asciiTheme="minorHAnsi" w:hAnsiTheme="minorHAnsi"/>
        </w:rPr>
        <w:t xml:space="preserve">The Register is established to provide </w:t>
      </w:r>
      <w:r w:rsidR="00D26DBD">
        <w:rPr>
          <w:rFonts w:asciiTheme="minorHAnsi" w:hAnsiTheme="minorHAnsi"/>
        </w:rPr>
        <w:t xml:space="preserve">TAO </w:t>
      </w:r>
      <w:r w:rsidRPr="002358BB">
        <w:rPr>
          <w:rFonts w:asciiTheme="minorHAnsi" w:hAnsiTheme="minorHAnsi"/>
        </w:rPr>
        <w:t xml:space="preserve">with a pool of experienced and skilled people who are available to undertake the duties of </w:t>
      </w:r>
      <w:r w:rsidR="00D26DBD">
        <w:rPr>
          <w:rFonts w:asciiTheme="minorHAnsi" w:hAnsiTheme="minorHAnsi"/>
        </w:rPr>
        <w:t xml:space="preserve">Assistant Auditor, </w:t>
      </w:r>
      <w:r w:rsidR="003A6640">
        <w:rPr>
          <w:rFonts w:asciiTheme="minorHAnsi" w:hAnsiTheme="minorHAnsi"/>
        </w:rPr>
        <w:t>Financial Auditor</w:t>
      </w:r>
      <w:r w:rsidR="00F54E35">
        <w:rPr>
          <w:rFonts w:asciiTheme="minorHAnsi" w:hAnsiTheme="minorHAnsi"/>
        </w:rPr>
        <w:t xml:space="preserve">, </w:t>
      </w:r>
      <w:r w:rsidR="00CB0329">
        <w:rPr>
          <w:rFonts w:asciiTheme="minorHAnsi" w:hAnsiTheme="minorHAnsi"/>
        </w:rPr>
        <w:t>Senior Financial</w:t>
      </w:r>
      <w:r w:rsidR="003A6640">
        <w:rPr>
          <w:rFonts w:asciiTheme="minorHAnsi" w:hAnsiTheme="minorHAnsi"/>
        </w:rPr>
        <w:t xml:space="preserve"> Auditor </w:t>
      </w:r>
      <w:r w:rsidR="00F54E35">
        <w:rPr>
          <w:rFonts w:asciiTheme="minorHAnsi" w:hAnsiTheme="minorHAnsi"/>
        </w:rPr>
        <w:t xml:space="preserve">or Performance Analyst </w:t>
      </w:r>
      <w:r w:rsidRPr="002358BB">
        <w:rPr>
          <w:rFonts w:asciiTheme="minorHAnsi" w:hAnsiTheme="minorHAnsi"/>
        </w:rPr>
        <w:t xml:space="preserve">for a fixed-term </w:t>
      </w:r>
      <w:r w:rsidR="00D26DBD">
        <w:rPr>
          <w:rFonts w:asciiTheme="minorHAnsi" w:hAnsiTheme="minorHAnsi"/>
        </w:rPr>
        <w:t xml:space="preserve">period </w:t>
      </w:r>
      <w:r w:rsidRPr="002358BB">
        <w:rPr>
          <w:rFonts w:asciiTheme="minorHAnsi" w:hAnsiTheme="minorHAnsi"/>
        </w:rPr>
        <w:t>to assist the Auditor-General</w:t>
      </w:r>
      <w:r w:rsidR="00927EC6">
        <w:rPr>
          <w:rFonts w:asciiTheme="minorHAnsi" w:hAnsiTheme="minorHAnsi"/>
        </w:rPr>
        <w:t xml:space="preserve"> and the Office to</w:t>
      </w:r>
      <w:r w:rsidRPr="002358BB">
        <w:rPr>
          <w:rFonts w:asciiTheme="minorHAnsi" w:hAnsiTheme="minorHAnsi"/>
        </w:rPr>
        <w:t xml:space="preserve"> complete </w:t>
      </w:r>
      <w:r w:rsidR="00D26DBD">
        <w:rPr>
          <w:rFonts w:asciiTheme="minorHAnsi" w:hAnsiTheme="minorHAnsi"/>
        </w:rPr>
        <w:t>our</w:t>
      </w:r>
      <w:r w:rsidRPr="002358BB">
        <w:rPr>
          <w:rFonts w:asciiTheme="minorHAnsi" w:hAnsiTheme="minorHAnsi"/>
        </w:rPr>
        <w:t xml:space="preserve"> statutory duties. The use of auditors on the employment register will occur when the office’s establishment fa</w:t>
      </w:r>
      <w:r w:rsidR="00927EC6">
        <w:rPr>
          <w:rFonts w:asciiTheme="minorHAnsi" w:hAnsiTheme="minorHAnsi"/>
        </w:rPr>
        <w:t>lls below a level that means this</w:t>
      </w:r>
      <w:r w:rsidRPr="002358BB">
        <w:rPr>
          <w:rFonts w:asciiTheme="minorHAnsi" w:hAnsiTheme="minorHAnsi"/>
        </w:rPr>
        <w:t xml:space="preserve"> statutory obligation cannot be achieved. </w:t>
      </w:r>
    </w:p>
    <w:p w:rsidR="002358BB" w:rsidRPr="002358BB" w:rsidRDefault="002358BB" w:rsidP="002358BB">
      <w:pPr>
        <w:rPr>
          <w:rFonts w:asciiTheme="minorHAnsi" w:hAnsiTheme="minorHAnsi"/>
        </w:rPr>
      </w:pPr>
    </w:p>
    <w:p w:rsidR="0085012D" w:rsidRPr="002358BB" w:rsidRDefault="002358BB" w:rsidP="002358BB">
      <w:pPr>
        <w:rPr>
          <w:rFonts w:asciiTheme="minorHAnsi" w:hAnsiTheme="minorHAnsi"/>
        </w:rPr>
      </w:pPr>
      <w:r w:rsidRPr="002358BB">
        <w:rPr>
          <w:rFonts w:asciiTheme="minorHAnsi" w:hAnsiTheme="minorHAnsi"/>
        </w:rPr>
        <w:t>The Tasmanian Audit Office is an equal opportunity employer and positions are filled on merit. Merit is about selecting the most competent person for the position. The concept of merit refers to a relationship between an individual’s qualities and those required in a particular position. The merit principle encompasses an applicant’s knowledge, competencies, skills, qualifications and experience.</w:t>
      </w:r>
    </w:p>
    <w:p w:rsidR="002358BB" w:rsidRPr="002358BB" w:rsidRDefault="002358BB" w:rsidP="002358BB">
      <w:pPr>
        <w:rPr>
          <w:rStyle w:val="A5"/>
          <w:rFonts w:asciiTheme="minorHAnsi" w:hAnsiTheme="minorHAnsi"/>
          <w:sz w:val="24"/>
          <w:szCs w:val="24"/>
        </w:rPr>
      </w:pPr>
    </w:p>
    <w:p w:rsidR="002358BB" w:rsidRPr="002358BB" w:rsidRDefault="002358BB" w:rsidP="002358BB">
      <w:pPr>
        <w:rPr>
          <w:rFonts w:asciiTheme="minorHAnsi" w:hAnsiTheme="minorHAnsi"/>
          <w:b/>
          <w:color w:val="000080"/>
          <w:sz w:val="28"/>
          <w:szCs w:val="28"/>
        </w:rPr>
      </w:pPr>
      <w:r>
        <w:rPr>
          <w:rFonts w:asciiTheme="minorHAnsi" w:hAnsiTheme="minorHAnsi"/>
          <w:b/>
          <w:color w:val="000080"/>
          <w:sz w:val="28"/>
          <w:szCs w:val="28"/>
        </w:rPr>
        <w:t>Application F</w:t>
      </w:r>
      <w:r w:rsidRPr="002358BB">
        <w:rPr>
          <w:rFonts w:asciiTheme="minorHAnsi" w:hAnsiTheme="minorHAnsi"/>
          <w:b/>
          <w:color w:val="000080"/>
          <w:sz w:val="28"/>
          <w:szCs w:val="28"/>
        </w:rPr>
        <w:t>orm</w:t>
      </w:r>
    </w:p>
    <w:p w:rsidR="002358BB" w:rsidRPr="002358BB" w:rsidRDefault="002358BB" w:rsidP="002358BB">
      <w:pPr>
        <w:rPr>
          <w:rStyle w:val="A5"/>
          <w:rFonts w:asciiTheme="minorHAnsi" w:hAnsiTheme="minorHAnsi"/>
          <w:sz w:val="24"/>
          <w:szCs w:val="24"/>
        </w:rPr>
      </w:pPr>
    </w:p>
    <w:p w:rsidR="002358BB" w:rsidRDefault="002358BB" w:rsidP="002358BB">
      <w:pPr>
        <w:rPr>
          <w:rStyle w:val="A5"/>
          <w:rFonts w:ascii="Calibri" w:hAnsi="Calibri"/>
          <w:sz w:val="24"/>
          <w:szCs w:val="24"/>
        </w:rPr>
      </w:pPr>
      <w:r w:rsidRPr="002358BB">
        <w:rPr>
          <w:rStyle w:val="A5"/>
          <w:rFonts w:ascii="Calibri" w:hAnsi="Calibri"/>
          <w:sz w:val="24"/>
          <w:szCs w:val="24"/>
        </w:rPr>
        <w:t>If you wish to be considered, you are invited to complete an application form. It is important to complete all sections of the form to ensure correct information is recorded.</w:t>
      </w:r>
    </w:p>
    <w:p w:rsidR="002358BB" w:rsidRDefault="002358BB" w:rsidP="002358BB">
      <w:pPr>
        <w:rPr>
          <w:rStyle w:val="A5"/>
          <w:rFonts w:ascii="Calibri" w:hAnsi="Calibri"/>
          <w:sz w:val="24"/>
          <w:szCs w:val="24"/>
        </w:rPr>
      </w:pPr>
    </w:p>
    <w:p w:rsidR="002358BB" w:rsidRPr="002358BB" w:rsidRDefault="002358BB" w:rsidP="002358BB">
      <w:pPr>
        <w:rPr>
          <w:rFonts w:asciiTheme="minorHAnsi" w:hAnsiTheme="minorHAnsi"/>
          <w:b/>
          <w:color w:val="000080"/>
          <w:sz w:val="28"/>
          <w:szCs w:val="28"/>
        </w:rPr>
      </w:pPr>
      <w:r w:rsidRPr="002358BB">
        <w:rPr>
          <w:rFonts w:asciiTheme="minorHAnsi" w:hAnsiTheme="minorHAnsi"/>
          <w:b/>
          <w:color w:val="000080"/>
          <w:sz w:val="28"/>
          <w:szCs w:val="28"/>
        </w:rPr>
        <w:t xml:space="preserve">Selection </w:t>
      </w:r>
      <w:r>
        <w:rPr>
          <w:rFonts w:asciiTheme="minorHAnsi" w:hAnsiTheme="minorHAnsi"/>
          <w:b/>
          <w:color w:val="000080"/>
          <w:sz w:val="28"/>
          <w:szCs w:val="28"/>
        </w:rPr>
        <w:t>C</w:t>
      </w:r>
      <w:r w:rsidRPr="002358BB">
        <w:rPr>
          <w:rFonts w:asciiTheme="minorHAnsi" w:hAnsiTheme="minorHAnsi"/>
          <w:b/>
          <w:color w:val="000080"/>
          <w:sz w:val="28"/>
          <w:szCs w:val="28"/>
        </w:rPr>
        <w:t>riteria</w:t>
      </w:r>
    </w:p>
    <w:p w:rsid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This is one of the most important components of a job application. To be considered for interview, applicants must specifically address the selection criteria for the position.</w:t>
      </w:r>
    </w:p>
    <w:p w:rsidR="002358BB" w:rsidRP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Addressing the selection criteria enables applicants to demonstrate to the selection panel their qualifications and competencies relevant to the criteria of the position. Applicants are encouraged to </w:t>
      </w:r>
      <w:r w:rsidR="009710B3">
        <w:rPr>
          <w:rStyle w:val="A5"/>
          <w:rFonts w:ascii="Calibri" w:hAnsi="Calibri"/>
          <w:sz w:val="24"/>
          <w:szCs w:val="24"/>
        </w:rPr>
        <w:t xml:space="preserve">download </w:t>
      </w:r>
      <w:r w:rsidRPr="002358BB">
        <w:rPr>
          <w:rStyle w:val="A5"/>
          <w:rFonts w:ascii="Calibri" w:hAnsi="Calibri"/>
          <w:sz w:val="24"/>
          <w:szCs w:val="24"/>
        </w:rPr>
        <w:t>read the document “</w:t>
      </w:r>
      <w:r w:rsidR="00D26DBD">
        <w:rPr>
          <w:rStyle w:val="A5"/>
          <w:rFonts w:ascii="Calibri" w:hAnsi="Calibri"/>
          <w:sz w:val="24"/>
          <w:szCs w:val="24"/>
        </w:rPr>
        <w:t>Applicant Information Kit</w:t>
      </w:r>
      <w:r w:rsidRPr="002358BB">
        <w:rPr>
          <w:rStyle w:val="A5"/>
          <w:rFonts w:ascii="Calibri" w:hAnsi="Calibri"/>
          <w:sz w:val="24"/>
          <w:szCs w:val="24"/>
        </w:rPr>
        <w:t>”.</w:t>
      </w:r>
    </w:p>
    <w:p w:rsidR="00927EC6" w:rsidRDefault="00927EC6" w:rsidP="002358BB">
      <w:pPr>
        <w:rPr>
          <w:rFonts w:asciiTheme="minorHAnsi" w:hAnsiTheme="minorHAnsi"/>
          <w:b/>
          <w:color w:val="000080"/>
          <w:sz w:val="28"/>
          <w:szCs w:val="28"/>
        </w:rPr>
      </w:pPr>
    </w:p>
    <w:p w:rsidR="002358BB" w:rsidRPr="002358BB" w:rsidRDefault="002358BB" w:rsidP="002358BB">
      <w:pPr>
        <w:rPr>
          <w:rFonts w:asciiTheme="minorHAnsi" w:hAnsiTheme="minorHAnsi"/>
          <w:b/>
          <w:color w:val="000080"/>
          <w:sz w:val="28"/>
          <w:szCs w:val="28"/>
        </w:rPr>
      </w:pPr>
      <w:r w:rsidRPr="002358BB">
        <w:rPr>
          <w:rFonts w:asciiTheme="minorHAnsi" w:hAnsiTheme="minorHAnsi"/>
          <w:b/>
          <w:color w:val="000080"/>
          <w:sz w:val="28"/>
          <w:szCs w:val="28"/>
        </w:rPr>
        <w:t>Salary Range</w:t>
      </w:r>
    </w:p>
    <w:p w:rsidR="002358BB" w:rsidRDefault="002358BB" w:rsidP="002358BB">
      <w:pPr>
        <w:rPr>
          <w:rStyle w:val="A5"/>
          <w:rFonts w:ascii="Calibri" w:hAnsi="Calibri"/>
          <w:sz w:val="24"/>
          <w:szCs w:val="24"/>
        </w:rPr>
      </w:pPr>
    </w:p>
    <w:p w:rsidR="002358BB" w:rsidRPr="009710B3" w:rsidRDefault="002358BB" w:rsidP="002358BB">
      <w:pPr>
        <w:rPr>
          <w:rStyle w:val="A5"/>
          <w:rFonts w:ascii="Calibri" w:hAnsi="Calibri"/>
          <w:i/>
          <w:sz w:val="24"/>
          <w:szCs w:val="24"/>
        </w:rPr>
      </w:pPr>
      <w:r w:rsidRPr="002358BB">
        <w:rPr>
          <w:rStyle w:val="A5"/>
          <w:rFonts w:ascii="Calibri" w:hAnsi="Calibri"/>
          <w:sz w:val="24"/>
          <w:szCs w:val="24"/>
        </w:rPr>
        <w:t xml:space="preserve">Successful applicants will be paid in accordance with the </w:t>
      </w:r>
      <w:r w:rsidRPr="009710B3">
        <w:rPr>
          <w:rStyle w:val="A5"/>
          <w:rFonts w:ascii="Calibri" w:hAnsi="Calibri"/>
          <w:i/>
          <w:sz w:val="24"/>
          <w:szCs w:val="24"/>
        </w:rPr>
        <w:t>Tasmanian State</w:t>
      </w:r>
    </w:p>
    <w:p w:rsidR="002358BB" w:rsidRPr="002358BB" w:rsidRDefault="002358BB" w:rsidP="002358BB">
      <w:pPr>
        <w:rPr>
          <w:rStyle w:val="A5"/>
          <w:rFonts w:ascii="Calibri" w:hAnsi="Calibri"/>
          <w:sz w:val="24"/>
          <w:szCs w:val="24"/>
        </w:rPr>
      </w:pPr>
      <w:r w:rsidRPr="009710B3">
        <w:rPr>
          <w:rStyle w:val="A5"/>
          <w:rFonts w:ascii="Calibri" w:hAnsi="Calibri"/>
          <w:i/>
          <w:sz w:val="24"/>
          <w:szCs w:val="24"/>
        </w:rPr>
        <w:lastRenderedPageBreak/>
        <w:t>Service Award</w:t>
      </w:r>
      <w:r w:rsidRPr="002358BB">
        <w:rPr>
          <w:rStyle w:val="A5"/>
          <w:rFonts w:ascii="Calibri" w:hAnsi="Calibri"/>
          <w:sz w:val="24"/>
          <w:szCs w:val="24"/>
        </w:rPr>
        <w:t xml:space="preserve"> and will be entitled to conditions of employment as prescribed under the </w:t>
      </w:r>
      <w:r w:rsidRPr="009710B3">
        <w:rPr>
          <w:rStyle w:val="A5"/>
          <w:rFonts w:ascii="Calibri" w:hAnsi="Calibri"/>
          <w:i/>
          <w:sz w:val="24"/>
          <w:szCs w:val="24"/>
        </w:rPr>
        <w:t>Tasmanian State Service Award</w:t>
      </w:r>
      <w:r w:rsidRPr="002358BB">
        <w:rPr>
          <w:rStyle w:val="A5"/>
          <w:rFonts w:ascii="Calibri" w:hAnsi="Calibri"/>
          <w:sz w:val="24"/>
          <w:szCs w:val="24"/>
        </w:rPr>
        <w:t xml:space="preserve"> and </w:t>
      </w:r>
      <w:r w:rsidR="00CB0329">
        <w:rPr>
          <w:rStyle w:val="A5"/>
          <w:rFonts w:ascii="Calibri" w:hAnsi="Calibri"/>
          <w:sz w:val="24"/>
          <w:szCs w:val="24"/>
        </w:rPr>
        <w:t xml:space="preserve">appropriate </w:t>
      </w:r>
      <w:r w:rsidRPr="009710B3">
        <w:rPr>
          <w:rStyle w:val="A5"/>
          <w:rFonts w:ascii="Calibri" w:hAnsi="Calibri"/>
          <w:i/>
          <w:sz w:val="24"/>
          <w:szCs w:val="24"/>
        </w:rPr>
        <w:t>Ministerial</w:t>
      </w:r>
      <w:r w:rsidR="00CB0329">
        <w:rPr>
          <w:rStyle w:val="A5"/>
          <w:rFonts w:ascii="Calibri" w:hAnsi="Calibri"/>
          <w:i/>
          <w:sz w:val="24"/>
          <w:szCs w:val="24"/>
        </w:rPr>
        <w:t xml:space="preserve"> and Employment</w:t>
      </w:r>
      <w:r w:rsidRPr="009710B3">
        <w:rPr>
          <w:rStyle w:val="A5"/>
          <w:rFonts w:ascii="Calibri" w:hAnsi="Calibri"/>
          <w:i/>
          <w:sz w:val="24"/>
          <w:szCs w:val="24"/>
        </w:rPr>
        <w:t xml:space="preserve"> Directions</w:t>
      </w:r>
      <w:r w:rsidRPr="002358BB">
        <w:rPr>
          <w:rStyle w:val="A5"/>
          <w:rFonts w:ascii="Calibri" w:hAnsi="Calibri"/>
          <w:sz w:val="24"/>
          <w:szCs w:val="24"/>
        </w:rPr>
        <w:t>.</w:t>
      </w:r>
    </w:p>
    <w:p w:rsidR="002358BB" w:rsidRPr="002358BB" w:rsidRDefault="002358BB" w:rsidP="002358BB">
      <w:pPr>
        <w:rPr>
          <w:rStyle w:val="A5"/>
          <w:rFonts w:ascii="Calibri" w:hAnsi="Calibri"/>
          <w:sz w:val="24"/>
          <w:szCs w:val="24"/>
        </w:rPr>
      </w:pPr>
    </w:p>
    <w:p w:rsidR="002358BB" w:rsidRDefault="002358BB" w:rsidP="002358BB">
      <w:pPr>
        <w:rPr>
          <w:rStyle w:val="A5"/>
          <w:rFonts w:ascii="Calibri" w:hAnsi="Calibri"/>
          <w:sz w:val="24"/>
          <w:szCs w:val="24"/>
        </w:rPr>
      </w:pPr>
      <w:r w:rsidRPr="002358BB">
        <w:rPr>
          <w:rStyle w:val="A5"/>
          <w:rFonts w:ascii="Calibri" w:hAnsi="Calibri"/>
          <w:sz w:val="24"/>
          <w:szCs w:val="24"/>
        </w:rPr>
        <w:t>Remuneration will be subject to variations applicable from time to time in accordance with variations to the above award.</w:t>
      </w:r>
    </w:p>
    <w:p w:rsidR="002358BB" w:rsidRDefault="002358BB" w:rsidP="002358BB">
      <w:pPr>
        <w:rPr>
          <w:rStyle w:val="A5"/>
          <w:rFonts w:ascii="Calibri" w:hAnsi="Calibri"/>
          <w:sz w:val="24"/>
          <w:szCs w:val="24"/>
        </w:rPr>
      </w:pPr>
    </w:p>
    <w:p w:rsidR="002358BB" w:rsidRDefault="002358BB" w:rsidP="002358BB">
      <w:pPr>
        <w:rPr>
          <w:rStyle w:val="A5"/>
          <w:rFonts w:ascii="Calibri" w:hAnsi="Calibri"/>
          <w:sz w:val="24"/>
          <w:szCs w:val="24"/>
        </w:rPr>
      </w:pPr>
      <w:r w:rsidRPr="002358BB">
        <w:rPr>
          <w:rFonts w:asciiTheme="minorHAnsi" w:hAnsiTheme="minorHAnsi"/>
          <w:b/>
          <w:color w:val="000080"/>
          <w:sz w:val="28"/>
          <w:szCs w:val="28"/>
        </w:rPr>
        <w:t xml:space="preserve">Submission of </w:t>
      </w:r>
      <w:r>
        <w:rPr>
          <w:rFonts w:asciiTheme="minorHAnsi" w:hAnsiTheme="minorHAnsi"/>
          <w:b/>
          <w:color w:val="000080"/>
          <w:sz w:val="28"/>
          <w:szCs w:val="28"/>
        </w:rPr>
        <w:t>A</w:t>
      </w:r>
      <w:r w:rsidRPr="002358BB">
        <w:rPr>
          <w:rFonts w:asciiTheme="minorHAnsi" w:hAnsiTheme="minorHAnsi"/>
          <w:b/>
          <w:color w:val="000080"/>
          <w:sz w:val="28"/>
          <w:szCs w:val="28"/>
        </w:rPr>
        <w:t>pplication</w:t>
      </w:r>
    </w:p>
    <w:p w:rsid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To be considered for the Register, please ensure we receive the following information:</w:t>
      </w:r>
    </w:p>
    <w:p w:rsidR="002358BB" w:rsidRPr="002358BB" w:rsidRDefault="009710B3" w:rsidP="009710B3">
      <w:pPr>
        <w:numPr>
          <w:ilvl w:val="0"/>
          <w:numId w:val="3"/>
        </w:numPr>
        <w:rPr>
          <w:rStyle w:val="A5"/>
          <w:rFonts w:ascii="Calibri" w:hAnsi="Calibri"/>
          <w:sz w:val="24"/>
          <w:szCs w:val="24"/>
        </w:rPr>
      </w:pPr>
      <w:r>
        <w:rPr>
          <w:rStyle w:val="A5"/>
          <w:rFonts w:ascii="Calibri" w:hAnsi="Calibri"/>
          <w:sz w:val="24"/>
          <w:szCs w:val="24"/>
        </w:rPr>
        <w:t>Application for fixed-</w:t>
      </w:r>
      <w:r w:rsidR="002358BB" w:rsidRPr="002358BB">
        <w:rPr>
          <w:rStyle w:val="A5"/>
          <w:rFonts w:ascii="Calibri" w:hAnsi="Calibri"/>
          <w:sz w:val="24"/>
          <w:szCs w:val="24"/>
        </w:rPr>
        <w:t>term employment;</w:t>
      </w:r>
    </w:p>
    <w:p w:rsidR="002358BB" w:rsidRPr="002358BB" w:rsidRDefault="002358BB" w:rsidP="009710B3">
      <w:pPr>
        <w:numPr>
          <w:ilvl w:val="0"/>
          <w:numId w:val="3"/>
        </w:numPr>
        <w:rPr>
          <w:rStyle w:val="A5"/>
          <w:rFonts w:ascii="Calibri" w:hAnsi="Calibri"/>
          <w:sz w:val="24"/>
          <w:szCs w:val="24"/>
        </w:rPr>
      </w:pPr>
      <w:r w:rsidRPr="002358BB">
        <w:rPr>
          <w:rStyle w:val="A5"/>
          <w:rFonts w:ascii="Calibri" w:hAnsi="Calibri"/>
          <w:sz w:val="24"/>
          <w:szCs w:val="24"/>
        </w:rPr>
        <w:t>Statement addressing the selection criteria; and</w:t>
      </w:r>
    </w:p>
    <w:p w:rsidR="002358BB" w:rsidRPr="002358BB" w:rsidRDefault="002358BB" w:rsidP="009710B3">
      <w:pPr>
        <w:numPr>
          <w:ilvl w:val="0"/>
          <w:numId w:val="3"/>
        </w:numPr>
        <w:rPr>
          <w:rStyle w:val="A5"/>
          <w:rFonts w:ascii="Calibri" w:hAnsi="Calibri"/>
          <w:sz w:val="24"/>
          <w:szCs w:val="24"/>
        </w:rPr>
      </w:pPr>
      <w:r w:rsidRPr="002358BB">
        <w:rPr>
          <w:rStyle w:val="A5"/>
          <w:rFonts w:ascii="Calibri" w:hAnsi="Calibri"/>
          <w:sz w:val="24"/>
          <w:szCs w:val="24"/>
        </w:rPr>
        <w:t>Current copy of your resume.</w:t>
      </w:r>
    </w:p>
    <w:p w:rsidR="002358BB" w:rsidRP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Your application should </w:t>
      </w:r>
      <w:r w:rsidR="00927EC6">
        <w:rPr>
          <w:rStyle w:val="A5"/>
          <w:rFonts w:ascii="Calibri" w:hAnsi="Calibri"/>
          <w:sz w:val="24"/>
          <w:szCs w:val="24"/>
        </w:rPr>
        <w:t xml:space="preserve">submitted online through the ‘Apply Now’ button on the Tasmanian Government Jobs website, or </w:t>
      </w:r>
      <w:r w:rsidRPr="002358BB">
        <w:rPr>
          <w:rStyle w:val="A5"/>
          <w:rFonts w:ascii="Calibri" w:hAnsi="Calibri"/>
          <w:sz w:val="24"/>
          <w:szCs w:val="24"/>
        </w:rPr>
        <w:t>be directed in confidence to:</w:t>
      </w:r>
    </w:p>
    <w:p w:rsidR="002358BB" w:rsidRPr="002358BB" w:rsidRDefault="002358BB" w:rsidP="009710B3">
      <w:pPr>
        <w:ind w:firstLine="720"/>
        <w:rPr>
          <w:rStyle w:val="A5"/>
          <w:rFonts w:ascii="Calibri" w:hAnsi="Calibri"/>
          <w:sz w:val="24"/>
          <w:szCs w:val="24"/>
        </w:rPr>
      </w:pPr>
      <w:r w:rsidRPr="002358BB">
        <w:rPr>
          <w:rStyle w:val="A5"/>
          <w:rFonts w:ascii="Calibri" w:hAnsi="Calibri"/>
          <w:sz w:val="24"/>
          <w:szCs w:val="24"/>
        </w:rPr>
        <w:t>Human Resources</w:t>
      </w:r>
    </w:p>
    <w:p w:rsidR="002358BB" w:rsidRPr="002358BB" w:rsidRDefault="00CB0329" w:rsidP="009710B3">
      <w:pPr>
        <w:ind w:firstLine="720"/>
        <w:rPr>
          <w:rStyle w:val="A5"/>
          <w:rFonts w:ascii="Calibri" w:hAnsi="Calibri"/>
          <w:sz w:val="24"/>
          <w:szCs w:val="24"/>
        </w:rPr>
      </w:pPr>
      <w:r>
        <w:rPr>
          <w:rStyle w:val="A5"/>
          <w:rFonts w:ascii="Calibri" w:hAnsi="Calibri"/>
          <w:sz w:val="24"/>
          <w:szCs w:val="24"/>
        </w:rPr>
        <w:t>Department of Justice</w:t>
      </w:r>
    </w:p>
    <w:p w:rsidR="002358BB" w:rsidRPr="002358BB" w:rsidRDefault="002358BB" w:rsidP="009710B3">
      <w:pPr>
        <w:ind w:firstLine="720"/>
        <w:rPr>
          <w:rStyle w:val="A5"/>
          <w:rFonts w:ascii="Calibri" w:hAnsi="Calibri"/>
          <w:sz w:val="24"/>
          <w:szCs w:val="24"/>
        </w:rPr>
      </w:pPr>
      <w:r w:rsidRPr="002358BB">
        <w:rPr>
          <w:rStyle w:val="A5"/>
          <w:rFonts w:ascii="Calibri" w:hAnsi="Calibri"/>
          <w:sz w:val="24"/>
          <w:szCs w:val="24"/>
        </w:rPr>
        <w:t xml:space="preserve">GPO Box </w:t>
      </w:r>
      <w:r w:rsidR="00CB0329">
        <w:rPr>
          <w:rStyle w:val="A5"/>
          <w:rFonts w:ascii="Calibri" w:hAnsi="Calibri"/>
          <w:sz w:val="24"/>
          <w:szCs w:val="24"/>
        </w:rPr>
        <w:t>825</w:t>
      </w:r>
    </w:p>
    <w:p w:rsidR="002358BB" w:rsidRDefault="002358BB" w:rsidP="009710B3">
      <w:pPr>
        <w:ind w:firstLine="720"/>
        <w:rPr>
          <w:rStyle w:val="A5"/>
          <w:rFonts w:ascii="Calibri" w:hAnsi="Calibri"/>
          <w:sz w:val="24"/>
          <w:szCs w:val="24"/>
        </w:rPr>
      </w:pPr>
      <w:r w:rsidRPr="002358BB">
        <w:rPr>
          <w:rStyle w:val="A5"/>
          <w:rFonts w:ascii="Calibri" w:hAnsi="Calibri"/>
          <w:sz w:val="24"/>
          <w:szCs w:val="24"/>
        </w:rPr>
        <w:t>HOBART 7001</w:t>
      </w:r>
    </w:p>
    <w:p w:rsidR="002358BB" w:rsidRDefault="00FE16D8" w:rsidP="009710B3">
      <w:pPr>
        <w:ind w:firstLine="720"/>
        <w:rPr>
          <w:rStyle w:val="A5"/>
          <w:rFonts w:ascii="Calibri" w:hAnsi="Calibri"/>
          <w:sz w:val="24"/>
          <w:szCs w:val="24"/>
        </w:rPr>
      </w:pPr>
      <w:hyperlink r:id="rId7" w:history="1">
        <w:r w:rsidR="00CB0329" w:rsidRPr="00BE2BD0">
          <w:rPr>
            <w:rStyle w:val="Hyperlink"/>
            <w:rFonts w:ascii="Calibri" w:hAnsi="Calibri" w:cs="Gill Sans MT"/>
          </w:rPr>
          <w:t>Applications@justice.tas.gov.au</w:t>
        </w:r>
      </w:hyperlink>
    </w:p>
    <w:p w:rsidR="009710B3" w:rsidRPr="002358BB" w:rsidRDefault="009710B3" w:rsidP="009710B3">
      <w:pPr>
        <w:ind w:firstLine="720"/>
        <w:rPr>
          <w:rStyle w:val="A5"/>
          <w:rFonts w:ascii="Calibri" w:hAnsi="Calibri"/>
          <w:sz w:val="24"/>
          <w:szCs w:val="24"/>
        </w:rPr>
      </w:pPr>
    </w:p>
    <w:p w:rsidR="002358BB" w:rsidRDefault="009710B3" w:rsidP="002358BB">
      <w:pPr>
        <w:rPr>
          <w:rStyle w:val="A5"/>
          <w:rFonts w:ascii="Calibri" w:hAnsi="Calibri"/>
          <w:sz w:val="24"/>
          <w:szCs w:val="24"/>
        </w:rPr>
      </w:pPr>
      <w:r>
        <w:rPr>
          <w:rStyle w:val="A5"/>
          <w:rFonts w:ascii="Calibri" w:hAnsi="Calibri"/>
          <w:sz w:val="24"/>
          <w:szCs w:val="24"/>
        </w:rPr>
        <w:t xml:space="preserve">Please note that </w:t>
      </w:r>
      <w:r w:rsidR="00927EC6">
        <w:rPr>
          <w:rStyle w:val="A5"/>
          <w:rFonts w:ascii="Calibri" w:hAnsi="Calibri"/>
          <w:sz w:val="24"/>
          <w:szCs w:val="24"/>
        </w:rPr>
        <w:t>online or email</w:t>
      </w:r>
      <w:r>
        <w:rPr>
          <w:rStyle w:val="A5"/>
          <w:rFonts w:ascii="Calibri" w:hAnsi="Calibri"/>
          <w:sz w:val="24"/>
          <w:szCs w:val="24"/>
        </w:rPr>
        <w:t xml:space="preserve"> submissions are preferred. </w:t>
      </w:r>
    </w:p>
    <w:p w:rsidR="009710B3" w:rsidRDefault="009710B3" w:rsidP="002358BB">
      <w:pPr>
        <w:rPr>
          <w:rStyle w:val="A5"/>
          <w:rFonts w:ascii="Calibri" w:hAnsi="Calibri"/>
          <w:sz w:val="24"/>
          <w:szCs w:val="24"/>
        </w:rPr>
      </w:pPr>
    </w:p>
    <w:p w:rsidR="002358BB" w:rsidRPr="002358BB" w:rsidRDefault="002358BB" w:rsidP="002358BB">
      <w:pPr>
        <w:rPr>
          <w:rFonts w:asciiTheme="minorHAnsi" w:hAnsiTheme="minorHAnsi"/>
          <w:b/>
          <w:color w:val="000080"/>
          <w:sz w:val="28"/>
          <w:szCs w:val="28"/>
        </w:rPr>
      </w:pPr>
      <w:r w:rsidRPr="002358BB">
        <w:rPr>
          <w:rFonts w:asciiTheme="minorHAnsi" w:hAnsiTheme="minorHAnsi"/>
          <w:b/>
          <w:color w:val="000080"/>
          <w:sz w:val="28"/>
          <w:szCs w:val="28"/>
        </w:rPr>
        <w:t xml:space="preserve">Selection </w:t>
      </w:r>
      <w:r>
        <w:rPr>
          <w:rFonts w:asciiTheme="minorHAnsi" w:hAnsiTheme="minorHAnsi"/>
          <w:b/>
          <w:color w:val="000080"/>
          <w:sz w:val="28"/>
          <w:szCs w:val="28"/>
        </w:rPr>
        <w:t>P</w:t>
      </w:r>
      <w:r w:rsidRPr="002358BB">
        <w:rPr>
          <w:rFonts w:asciiTheme="minorHAnsi" w:hAnsiTheme="minorHAnsi"/>
          <w:b/>
          <w:color w:val="000080"/>
          <w:sz w:val="28"/>
          <w:szCs w:val="28"/>
        </w:rPr>
        <w:t>rocess</w:t>
      </w:r>
    </w:p>
    <w:p w:rsid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Following receipt of your application, you will receive a letter or email advising that your application has been received.</w:t>
      </w:r>
    </w:p>
    <w:p w:rsidR="002358BB" w:rsidRP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Applications will be assessed on the basis of merit prior to being placed on the Register. </w:t>
      </w:r>
      <w:r w:rsidR="009710B3" w:rsidRPr="002358BB">
        <w:rPr>
          <w:rStyle w:val="A5"/>
          <w:rFonts w:ascii="Calibri" w:hAnsi="Calibri"/>
          <w:sz w:val="24"/>
          <w:szCs w:val="24"/>
        </w:rPr>
        <w:t>Applicants</w:t>
      </w:r>
      <w:r w:rsidRPr="002358BB">
        <w:rPr>
          <w:rStyle w:val="A5"/>
          <w:rFonts w:ascii="Calibri" w:hAnsi="Calibri"/>
          <w:sz w:val="24"/>
          <w:szCs w:val="24"/>
        </w:rPr>
        <w:t xml:space="preserve"> who have been merit-assessed and considered not suitable for the duties to be performed will be notified that they will not be included on the employment register.</w:t>
      </w:r>
    </w:p>
    <w:p w:rsidR="002358BB" w:rsidRP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Employees may be recruited from employment registers for a maximum period of </w:t>
      </w:r>
      <w:r w:rsidR="00CB0329">
        <w:rPr>
          <w:rStyle w:val="A5"/>
          <w:rFonts w:ascii="Calibri" w:hAnsi="Calibri"/>
          <w:sz w:val="24"/>
          <w:szCs w:val="24"/>
        </w:rPr>
        <w:t>24</w:t>
      </w:r>
      <w:r w:rsidRPr="002358BB">
        <w:rPr>
          <w:rStyle w:val="A5"/>
          <w:rFonts w:ascii="Calibri" w:hAnsi="Calibri"/>
          <w:sz w:val="24"/>
          <w:szCs w:val="24"/>
        </w:rPr>
        <w:t xml:space="preserve"> months in any one instance. </w:t>
      </w:r>
      <w:r w:rsidR="00CB0329">
        <w:rPr>
          <w:rStyle w:val="A5"/>
          <w:rFonts w:ascii="Calibri" w:hAnsi="Calibri"/>
          <w:sz w:val="24"/>
          <w:szCs w:val="24"/>
        </w:rPr>
        <w:t>Employees will be employed on a fixed term basis.</w:t>
      </w:r>
    </w:p>
    <w:p w:rsidR="002358BB" w:rsidRP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Positions will be filled progressively and early submission of applications is strongly recommended. Applicants deemed eligible for admission to the register will remain on the register until they advise the Tasmanian Audit Office in writing that they wish </w:t>
      </w:r>
      <w:r w:rsidRPr="002358BB">
        <w:rPr>
          <w:rStyle w:val="A5"/>
          <w:rFonts w:ascii="Calibri" w:hAnsi="Calibri"/>
          <w:sz w:val="24"/>
          <w:szCs w:val="24"/>
        </w:rPr>
        <w:lastRenderedPageBreak/>
        <w:t>to be removed from the register or the register expires</w:t>
      </w:r>
      <w:r w:rsidR="00CB0329">
        <w:rPr>
          <w:rStyle w:val="A5"/>
          <w:rFonts w:ascii="Calibri" w:hAnsi="Calibri"/>
          <w:sz w:val="24"/>
          <w:szCs w:val="24"/>
        </w:rPr>
        <w:t xml:space="preserve"> (April 201</w:t>
      </w:r>
      <w:r w:rsidR="00927EC6">
        <w:rPr>
          <w:rStyle w:val="A5"/>
          <w:rFonts w:ascii="Calibri" w:hAnsi="Calibri"/>
          <w:sz w:val="24"/>
          <w:szCs w:val="24"/>
        </w:rPr>
        <w:t>9</w:t>
      </w:r>
      <w:r w:rsidR="00CB0329">
        <w:rPr>
          <w:rStyle w:val="A5"/>
          <w:rFonts w:ascii="Calibri" w:hAnsi="Calibri"/>
          <w:sz w:val="24"/>
          <w:szCs w:val="24"/>
        </w:rPr>
        <w:t>)</w:t>
      </w:r>
      <w:r w:rsidRPr="002358BB">
        <w:rPr>
          <w:rStyle w:val="A5"/>
          <w:rFonts w:ascii="Calibri" w:hAnsi="Calibri"/>
          <w:sz w:val="24"/>
          <w:szCs w:val="24"/>
        </w:rPr>
        <w:t>. It is the applicant’s responsibility to ensure that all details remain current.</w:t>
      </w:r>
    </w:p>
    <w:p w:rsidR="002358BB" w:rsidRDefault="002358BB" w:rsidP="002358BB">
      <w:pPr>
        <w:rPr>
          <w:rStyle w:val="A5"/>
          <w:rFonts w:ascii="Calibri" w:hAnsi="Calibri"/>
          <w:sz w:val="24"/>
          <w:szCs w:val="24"/>
        </w:rPr>
      </w:pPr>
    </w:p>
    <w:p w:rsidR="002358BB" w:rsidRPr="002358BB" w:rsidRDefault="002358BB" w:rsidP="002358BB">
      <w:pPr>
        <w:rPr>
          <w:rFonts w:asciiTheme="minorHAnsi" w:hAnsiTheme="minorHAnsi"/>
          <w:b/>
          <w:color w:val="000080"/>
          <w:sz w:val="28"/>
          <w:szCs w:val="28"/>
        </w:rPr>
      </w:pPr>
      <w:r>
        <w:rPr>
          <w:rFonts w:asciiTheme="minorHAnsi" w:hAnsiTheme="minorHAnsi"/>
          <w:b/>
          <w:color w:val="000080"/>
          <w:sz w:val="28"/>
          <w:szCs w:val="28"/>
        </w:rPr>
        <w:t>Selection f</w:t>
      </w:r>
      <w:r w:rsidRPr="002358BB">
        <w:rPr>
          <w:rFonts w:asciiTheme="minorHAnsi" w:hAnsiTheme="minorHAnsi"/>
          <w:b/>
          <w:color w:val="000080"/>
          <w:sz w:val="28"/>
          <w:szCs w:val="28"/>
        </w:rPr>
        <w:t xml:space="preserve">rom a </w:t>
      </w:r>
      <w:r>
        <w:rPr>
          <w:rFonts w:asciiTheme="minorHAnsi" w:hAnsiTheme="minorHAnsi"/>
          <w:b/>
          <w:color w:val="000080"/>
          <w:sz w:val="28"/>
          <w:szCs w:val="28"/>
        </w:rPr>
        <w:t>R</w:t>
      </w:r>
      <w:r w:rsidRPr="002358BB">
        <w:rPr>
          <w:rFonts w:asciiTheme="minorHAnsi" w:hAnsiTheme="minorHAnsi"/>
          <w:b/>
          <w:color w:val="000080"/>
          <w:sz w:val="28"/>
          <w:szCs w:val="28"/>
        </w:rPr>
        <w:t>egister</w:t>
      </w:r>
    </w:p>
    <w:p w:rsidR="002358BB" w:rsidRDefault="002358BB"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Successful applicants will have their details recorded on the office’s register. When a vacancy becomes available, the register will be used to identify persons who are available. Where vacancies are identified and more than one applicant is identified as suitable to undertake the particular appointment, then the highest ranked applicant will be offered the vacancy first.</w:t>
      </w:r>
    </w:p>
    <w:p w:rsidR="002358BB" w:rsidRPr="002358BB" w:rsidRDefault="002358BB" w:rsidP="002358BB">
      <w:pPr>
        <w:rPr>
          <w:rStyle w:val="A5"/>
          <w:rFonts w:ascii="Calibri" w:hAnsi="Calibri"/>
          <w:sz w:val="24"/>
          <w:szCs w:val="24"/>
        </w:rPr>
      </w:pPr>
    </w:p>
    <w:p w:rsidR="002358BB" w:rsidRDefault="002358BB" w:rsidP="002358BB">
      <w:pPr>
        <w:rPr>
          <w:rStyle w:val="A5"/>
          <w:rFonts w:ascii="Calibri" w:hAnsi="Calibri"/>
          <w:sz w:val="24"/>
          <w:szCs w:val="24"/>
        </w:rPr>
      </w:pPr>
      <w:r w:rsidRPr="002358BB">
        <w:rPr>
          <w:rStyle w:val="A5"/>
          <w:rFonts w:ascii="Calibri" w:hAnsi="Calibri"/>
          <w:sz w:val="24"/>
          <w:szCs w:val="24"/>
        </w:rPr>
        <w:t xml:space="preserve">It should be noted that being successful in obtaining a place on the Office’s register does not imply or guarantee an offer of employment. Applicants who are particularly interested in long-term employment are encouraged to apply for vacancies advertised in the Tasmanian Government Gazette, visit the website at </w:t>
      </w:r>
      <w:hyperlink r:id="rId8" w:history="1">
        <w:r w:rsidR="009C60A5" w:rsidRPr="00BF3257">
          <w:rPr>
            <w:rStyle w:val="Hyperlink"/>
            <w:rFonts w:ascii="Calibri" w:hAnsi="Calibri" w:cs="Gill Sans MT"/>
          </w:rPr>
          <w:t>www.jobs.tas.gov.au</w:t>
        </w:r>
      </w:hyperlink>
      <w:r w:rsidR="009C60A5">
        <w:rPr>
          <w:rStyle w:val="A5"/>
          <w:rFonts w:ascii="Calibri" w:hAnsi="Calibri"/>
          <w:sz w:val="24"/>
          <w:szCs w:val="24"/>
        </w:rPr>
        <w:t xml:space="preserve"> </w:t>
      </w:r>
      <w:r w:rsidRPr="002358BB">
        <w:rPr>
          <w:rStyle w:val="A5"/>
          <w:rFonts w:ascii="Calibri" w:hAnsi="Calibri"/>
          <w:sz w:val="24"/>
          <w:szCs w:val="24"/>
        </w:rPr>
        <w:t>and local newspapers.</w:t>
      </w:r>
    </w:p>
    <w:p w:rsidR="002358BB" w:rsidRDefault="002358BB" w:rsidP="002358BB">
      <w:pPr>
        <w:rPr>
          <w:rStyle w:val="A5"/>
          <w:rFonts w:asciiTheme="minorHAnsi" w:hAnsiTheme="minorHAnsi"/>
          <w:sz w:val="24"/>
          <w:szCs w:val="24"/>
        </w:rPr>
      </w:pPr>
    </w:p>
    <w:p w:rsidR="002358BB" w:rsidRPr="002358BB" w:rsidRDefault="002358BB" w:rsidP="002358BB">
      <w:pPr>
        <w:rPr>
          <w:rFonts w:asciiTheme="minorHAnsi" w:hAnsiTheme="minorHAnsi"/>
          <w:b/>
          <w:color w:val="000080"/>
          <w:sz w:val="28"/>
          <w:szCs w:val="28"/>
        </w:rPr>
      </w:pPr>
      <w:r>
        <w:rPr>
          <w:rFonts w:asciiTheme="minorHAnsi" w:hAnsiTheme="minorHAnsi"/>
          <w:b/>
          <w:color w:val="000080"/>
          <w:sz w:val="28"/>
          <w:szCs w:val="28"/>
        </w:rPr>
        <w:t>Further I</w:t>
      </w:r>
      <w:r w:rsidRPr="002358BB">
        <w:rPr>
          <w:rFonts w:asciiTheme="minorHAnsi" w:hAnsiTheme="minorHAnsi"/>
          <w:b/>
          <w:color w:val="000080"/>
          <w:sz w:val="28"/>
          <w:szCs w:val="28"/>
        </w:rPr>
        <w:t>nformation</w:t>
      </w:r>
    </w:p>
    <w:p w:rsidR="009C60A5" w:rsidRDefault="009C60A5" w:rsidP="002358BB">
      <w:pPr>
        <w:rPr>
          <w:rStyle w:val="A5"/>
          <w:rFonts w:ascii="Calibri" w:hAnsi="Calibri"/>
          <w:sz w:val="24"/>
          <w:szCs w:val="24"/>
        </w:rPr>
      </w:pPr>
    </w:p>
    <w:p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If you would like further information about the Tasmanian Audit Office please visit our website at </w:t>
      </w:r>
      <w:hyperlink r:id="rId9" w:history="1">
        <w:r w:rsidR="009C60A5" w:rsidRPr="00BF3257">
          <w:rPr>
            <w:rStyle w:val="Hyperlink"/>
            <w:rFonts w:ascii="Calibri" w:hAnsi="Calibri" w:cs="Gill Sans MT"/>
          </w:rPr>
          <w:t>www.audit.tas.gov.au</w:t>
        </w:r>
      </w:hyperlink>
      <w:r w:rsidRPr="002358BB">
        <w:rPr>
          <w:rStyle w:val="A5"/>
          <w:rFonts w:ascii="Calibri" w:hAnsi="Calibri"/>
          <w:sz w:val="24"/>
          <w:szCs w:val="24"/>
        </w:rPr>
        <w:t xml:space="preserve">. </w:t>
      </w:r>
    </w:p>
    <w:p w:rsidR="002358BB" w:rsidRPr="002358BB" w:rsidRDefault="002358BB" w:rsidP="002358BB">
      <w:pPr>
        <w:rPr>
          <w:rStyle w:val="A5"/>
          <w:rFonts w:ascii="Calibri" w:hAnsi="Calibri"/>
          <w:sz w:val="24"/>
          <w:szCs w:val="24"/>
        </w:rPr>
      </w:pPr>
    </w:p>
    <w:p w:rsidR="002358BB" w:rsidRPr="002358BB" w:rsidRDefault="002358BB" w:rsidP="002358BB">
      <w:pPr>
        <w:rPr>
          <w:rStyle w:val="A5"/>
          <w:rFonts w:asciiTheme="minorHAnsi" w:hAnsiTheme="minorHAnsi"/>
          <w:sz w:val="24"/>
          <w:szCs w:val="24"/>
        </w:rPr>
      </w:pPr>
      <w:r w:rsidRPr="002358BB">
        <w:rPr>
          <w:rStyle w:val="A5"/>
          <w:rFonts w:ascii="Calibri" w:hAnsi="Calibri"/>
          <w:sz w:val="24"/>
          <w:szCs w:val="24"/>
        </w:rPr>
        <w:t>Thank you for your interest in the office and we look forward to receiving your application.</w:t>
      </w:r>
    </w:p>
    <w:sectPr w:rsidR="002358BB" w:rsidRPr="002358BB">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27" w:rsidRDefault="00DA7727">
      <w:r>
        <w:separator/>
      </w:r>
    </w:p>
  </w:endnote>
  <w:endnote w:type="continuationSeparator" w:id="0">
    <w:p w:rsidR="00DA7727" w:rsidRDefault="00DA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2D" w:rsidRDefault="00C0202D" w:rsidP="00B828DB">
    <w:pPr>
      <w:pStyle w:val="Footer"/>
      <w:pBdr>
        <w:top w:val="single" w:sz="4" w:space="1" w:color="auto"/>
      </w:pBdr>
      <w:rPr>
        <w:rStyle w:val="PageNumber"/>
        <w:rFonts w:ascii="Calibri" w:hAnsi="Calibri"/>
      </w:rPr>
    </w:pPr>
    <w:r>
      <w:rPr>
        <w:rFonts w:ascii="Calibri" w:hAnsi="Calibri"/>
      </w:rPr>
      <w:t xml:space="preserve">Last modified: </w:t>
    </w:r>
    <w:r w:rsidR="00F54E35">
      <w:rPr>
        <w:rFonts w:ascii="Calibri" w:hAnsi="Calibri"/>
      </w:rPr>
      <w:fldChar w:fldCharType="begin"/>
    </w:r>
    <w:r w:rsidR="00F54E35">
      <w:rPr>
        <w:rFonts w:ascii="Calibri" w:hAnsi="Calibri"/>
      </w:rPr>
      <w:instrText xml:space="preserve"> SAVEDATE  \@ "d MMMM yyyy" </w:instrText>
    </w:r>
    <w:r w:rsidR="00F54E35">
      <w:rPr>
        <w:rFonts w:ascii="Calibri" w:hAnsi="Calibri"/>
      </w:rPr>
      <w:fldChar w:fldCharType="separate"/>
    </w:r>
    <w:r w:rsidR="00FE16D8">
      <w:rPr>
        <w:rFonts w:ascii="Calibri" w:hAnsi="Calibri"/>
        <w:noProof/>
      </w:rPr>
      <w:t>14 April 2017</w:t>
    </w:r>
    <w:r w:rsidR="00F54E35">
      <w:rPr>
        <w:rFonts w:ascii="Calibri" w:hAnsi="Calibri"/>
      </w:rPr>
      <w:fldChar w:fldCharType="end"/>
    </w:r>
    <w:r w:rsidRPr="004B1B1D">
      <w:rPr>
        <w:rFonts w:ascii="Calibri" w:hAnsi="Calibri"/>
      </w:rPr>
      <w:tab/>
    </w:r>
    <w:r w:rsidRPr="004B1B1D">
      <w:rPr>
        <w:rFonts w:ascii="Calibri" w:hAnsi="Calibri"/>
      </w:rPr>
      <w:tab/>
    </w:r>
    <w:r w:rsidRPr="004B1B1D">
      <w:rPr>
        <w:rStyle w:val="PageNumber"/>
        <w:rFonts w:ascii="Calibri" w:hAnsi="Calibri"/>
      </w:rPr>
      <w:fldChar w:fldCharType="begin"/>
    </w:r>
    <w:r w:rsidRPr="004B1B1D">
      <w:rPr>
        <w:rStyle w:val="PageNumber"/>
        <w:rFonts w:ascii="Calibri" w:hAnsi="Calibri"/>
      </w:rPr>
      <w:instrText xml:space="preserve"> PAGE </w:instrText>
    </w:r>
    <w:r w:rsidRPr="004B1B1D">
      <w:rPr>
        <w:rStyle w:val="PageNumber"/>
        <w:rFonts w:ascii="Calibri" w:hAnsi="Calibri"/>
      </w:rPr>
      <w:fldChar w:fldCharType="separate"/>
    </w:r>
    <w:r w:rsidR="00FE16D8">
      <w:rPr>
        <w:rStyle w:val="PageNumber"/>
        <w:rFonts w:ascii="Calibri" w:hAnsi="Calibri"/>
        <w:noProof/>
      </w:rPr>
      <w:t>2</w:t>
    </w:r>
    <w:r w:rsidRPr="004B1B1D">
      <w:rPr>
        <w:rStyle w:val="PageNumber"/>
        <w:rFonts w:ascii="Calibri" w:hAnsi="Calibri"/>
      </w:rPr>
      <w:fldChar w:fldCharType="end"/>
    </w:r>
  </w:p>
  <w:p w:rsidR="00C0202D" w:rsidRPr="004B1B1D" w:rsidRDefault="00C0202D">
    <w:pPr>
      <w:pStyle w:val="Footer"/>
      <w:rPr>
        <w:rFonts w:ascii="Calibri" w:hAnsi="Calibri"/>
      </w:rPr>
    </w:pPr>
    <w:r>
      <w:rPr>
        <w:rStyle w:val="PageNumber"/>
        <w:rFonts w:ascii="Calibri" w:hAnsi="Calibri"/>
      </w:rPr>
      <w:t xml:space="preserve">By: </w:t>
    </w:r>
    <w:r w:rsidR="00F54E35">
      <w:rPr>
        <w:rStyle w:val="PageNumber"/>
        <w:rFonts w:ascii="Calibri" w:hAnsi="Calibri"/>
      </w:rPr>
      <w:fldChar w:fldCharType="begin"/>
    </w:r>
    <w:r w:rsidR="00F54E35">
      <w:rPr>
        <w:rStyle w:val="PageNumber"/>
        <w:rFonts w:ascii="Calibri" w:hAnsi="Calibri"/>
      </w:rPr>
      <w:instrText xml:space="preserve"> LASTSAVEDBY  \* FirstCap </w:instrText>
    </w:r>
    <w:r w:rsidR="00F54E35">
      <w:rPr>
        <w:rStyle w:val="PageNumber"/>
        <w:rFonts w:ascii="Calibri" w:hAnsi="Calibri"/>
      </w:rPr>
      <w:fldChar w:fldCharType="separate"/>
    </w:r>
    <w:r w:rsidR="006569DF">
      <w:rPr>
        <w:rStyle w:val="PageNumber"/>
        <w:rFonts w:ascii="Calibri" w:hAnsi="Calibri"/>
        <w:noProof/>
      </w:rPr>
      <w:t>Reardon, Jess</w:t>
    </w:r>
    <w:r w:rsidR="00F54E35">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27" w:rsidRDefault="00DA7727">
      <w:r>
        <w:separator/>
      </w:r>
    </w:p>
  </w:footnote>
  <w:footnote w:type="continuationSeparator" w:id="0">
    <w:p w:rsidR="00DA7727" w:rsidRDefault="00DA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2D" w:rsidRDefault="00F21F3D" w:rsidP="005E4ADD">
    <w:pPr>
      <w:rPr>
        <w:rFonts w:ascii="Calibri" w:hAnsi="Calibri"/>
        <w:b/>
        <w:color w:val="000080"/>
      </w:rPr>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-246380</wp:posOffset>
          </wp:positionV>
          <wp:extent cx="1943100" cy="1003300"/>
          <wp:effectExtent l="0" t="0" r="0" b="6350"/>
          <wp:wrapTight wrapText="bothSides">
            <wp:wrapPolygon edited="0">
              <wp:start x="0" y="0"/>
              <wp:lineTo x="0" y="21327"/>
              <wp:lineTo x="21388" y="21327"/>
              <wp:lineTo x="21388" y="0"/>
              <wp:lineTo x="0" y="0"/>
            </wp:wrapPolygon>
          </wp:wrapTight>
          <wp:docPr id="2" name="Picture 2" descr="Audit_CMYK_COL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_CMYK_COL_H"/>
                  <pic:cNvPicPr>
                    <a:picLocks noChangeAspect="1" noChangeArrowheads="1"/>
                  </pic:cNvPicPr>
                </pic:nvPicPr>
                <pic:blipFill>
                  <a:blip r:embed="rId1">
                    <a:extLst>
                      <a:ext uri="{28A0092B-C50C-407E-A947-70E740481C1C}">
                        <a14:useLocalDpi xmlns:a14="http://schemas.microsoft.com/office/drawing/2010/main" val="0"/>
                      </a:ext>
                    </a:extLst>
                  </a:blip>
                  <a:srcRect b="14687"/>
                  <a:stretch>
                    <a:fillRect/>
                  </a:stretch>
                </pic:blipFill>
                <pic:spPr bwMode="auto">
                  <a:xfrm>
                    <a:off x="0" y="0"/>
                    <a:ext cx="1943100" cy="1003300"/>
                  </a:xfrm>
                  <a:prstGeom prst="rect">
                    <a:avLst/>
                  </a:prstGeom>
                  <a:noFill/>
                </pic:spPr>
              </pic:pic>
            </a:graphicData>
          </a:graphic>
          <wp14:sizeRelH relativeFrom="page">
            <wp14:pctWidth>0</wp14:pctWidth>
          </wp14:sizeRelH>
          <wp14:sizeRelV relativeFrom="page">
            <wp14:pctHeight>0</wp14:pctHeight>
          </wp14:sizeRelV>
        </wp:anchor>
      </w:drawing>
    </w:r>
    <w:r w:rsidR="00C0202D">
      <w:rPr>
        <w:rFonts w:ascii="Calibri" w:hAnsi="Calibri"/>
      </w:rPr>
      <w:tab/>
    </w:r>
    <w:r w:rsidR="00C0202D">
      <w:rPr>
        <w:rFonts w:ascii="Calibri" w:hAnsi="Calibri"/>
        <w:b/>
        <w:color w:val="000080"/>
      </w:rPr>
      <w:softHyphen/>
    </w:r>
  </w:p>
  <w:p w:rsidR="00C0202D" w:rsidRDefault="002358BB" w:rsidP="005E4ADD">
    <w:pPr>
      <w:jc w:val="right"/>
      <w:rPr>
        <w:rFonts w:ascii="Calibri" w:hAnsi="Calibri"/>
        <w:b/>
        <w:color w:val="000080"/>
        <w:sz w:val="36"/>
        <w:szCs w:val="36"/>
      </w:rPr>
    </w:pPr>
    <w:r>
      <w:rPr>
        <w:rFonts w:ascii="Calibri" w:hAnsi="Calibri"/>
        <w:b/>
        <w:color w:val="000080"/>
        <w:sz w:val="36"/>
        <w:szCs w:val="36"/>
      </w:rPr>
      <w:t>Fixed-Term Employment Register</w:t>
    </w:r>
  </w:p>
  <w:p w:rsidR="00F54E35" w:rsidRPr="005A7362" w:rsidRDefault="002358BB" w:rsidP="005E4ADD">
    <w:pPr>
      <w:jc w:val="right"/>
      <w:rPr>
        <w:rFonts w:ascii="Calibri" w:hAnsi="Calibri"/>
        <w:b/>
        <w:color w:val="000080"/>
        <w:sz w:val="36"/>
        <w:szCs w:val="36"/>
      </w:rPr>
    </w:pPr>
    <w:r w:rsidRPr="005A7362">
      <w:rPr>
        <w:rFonts w:ascii="Calibri" w:hAnsi="Calibri"/>
        <w:b/>
        <w:color w:val="000080"/>
        <w:sz w:val="36"/>
        <w:szCs w:val="36"/>
      </w:rPr>
      <w:t>Assistant Auditor, Financial Auditor</w:t>
    </w:r>
    <w:r w:rsidR="00F54E35" w:rsidRPr="005A7362">
      <w:rPr>
        <w:rFonts w:ascii="Calibri" w:hAnsi="Calibri"/>
        <w:b/>
        <w:color w:val="000080"/>
        <w:sz w:val="36"/>
        <w:szCs w:val="36"/>
      </w:rPr>
      <w:t>,</w:t>
    </w:r>
    <w:r w:rsidR="00CB0329" w:rsidRPr="005A7362">
      <w:rPr>
        <w:rFonts w:ascii="Calibri" w:hAnsi="Calibri"/>
        <w:b/>
        <w:color w:val="000080"/>
        <w:sz w:val="36"/>
        <w:szCs w:val="36"/>
      </w:rPr>
      <w:t xml:space="preserve"> </w:t>
    </w:r>
  </w:p>
  <w:p w:rsidR="003A6640" w:rsidRPr="005A7362" w:rsidRDefault="002358BB" w:rsidP="00CB0329">
    <w:pPr>
      <w:jc w:val="right"/>
      <w:rPr>
        <w:rFonts w:ascii="Calibri" w:hAnsi="Calibri"/>
        <w:b/>
        <w:color w:val="000080"/>
        <w:sz w:val="36"/>
        <w:szCs w:val="36"/>
      </w:rPr>
    </w:pPr>
    <w:r w:rsidRPr="005A7362">
      <w:rPr>
        <w:rFonts w:ascii="Calibri" w:hAnsi="Calibri"/>
        <w:b/>
        <w:color w:val="000080"/>
        <w:sz w:val="36"/>
        <w:szCs w:val="36"/>
      </w:rPr>
      <w:t>Senior Financial Auditor</w:t>
    </w:r>
    <w:r w:rsidR="00F54E35" w:rsidRPr="005A7362">
      <w:rPr>
        <w:rFonts w:ascii="Calibri" w:hAnsi="Calibri"/>
        <w:b/>
        <w:color w:val="000080"/>
        <w:sz w:val="36"/>
        <w:szCs w:val="36"/>
      </w:rPr>
      <w:t xml:space="preserve"> and Performance Analyst</w:t>
    </w:r>
    <w:r w:rsidR="003A6640" w:rsidRPr="005A7362">
      <w:rPr>
        <w:rFonts w:ascii="Calibri" w:hAnsi="Calibri"/>
        <w:b/>
        <w:color w:val="000080"/>
        <w:sz w:val="36"/>
        <w:szCs w:val="36"/>
      </w:rPr>
      <w:t xml:space="preserve"> </w:t>
    </w:r>
  </w:p>
  <w:p w:rsidR="008B237E" w:rsidRDefault="008B237E" w:rsidP="005C099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72F8"/>
    <w:multiLevelType w:val="hybridMultilevel"/>
    <w:tmpl w:val="CC6CC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70D91"/>
    <w:multiLevelType w:val="hybridMultilevel"/>
    <w:tmpl w:val="08F60F06"/>
    <w:lvl w:ilvl="0" w:tplc="52DC5316">
      <w:numFmt w:val="bullet"/>
      <w:lvlText w:val="•"/>
      <w:lvlJc w:val="left"/>
      <w:pPr>
        <w:ind w:left="1080" w:hanging="720"/>
      </w:pPr>
      <w:rPr>
        <w:rFonts w:ascii="Calibri" w:eastAsia="Times New Roman" w:hAnsi="Calibri" w:cs="Gill Sans 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8C58A9"/>
    <w:multiLevelType w:val="hybridMultilevel"/>
    <w:tmpl w:val="1FF0AF6E"/>
    <w:lvl w:ilvl="0" w:tplc="0C090005">
      <w:start w:val="1"/>
      <w:numFmt w:val="bullet"/>
      <w:lvlText w:val=""/>
      <w:lvlJc w:val="left"/>
      <w:pPr>
        <w:tabs>
          <w:tab w:val="num" w:pos="770"/>
        </w:tabs>
        <w:ind w:left="770" w:hanging="360"/>
      </w:pPr>
      <w:rPr>
        <w:rFonts w:ascii="Wingdings" w:hAnsi="Wingdings"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02"/>
    <w:rsid w:val="00035247"/>
    <w:rsid w:val="00043AFF"/>
    <w:rsid w:val="000730EC"/>
    <w:rsid w:val="000779BC"/>
    <w:rsid w:val="000F2349"/>
    <w:rsid w:val="001107EC"/>
    <w:rsid w:val="00183FB9"/>
    <w:rsid w:val="001D5A3F"/>
    <w:rsid w:val="002358BB"/>
    <w:rsid w:val="00254F02"/>
    <w:rsid w:val="00292A1F"/>
    <w:rsid w:val="002B1512"/>
    <w:rsid w:val="002F7148"/>
    <w:rsid w:val="00325139"/>
    <w:rsid w:val="003849BF"/>
    <w:rsid w:val="003A21DB"/>
    <w:rsid w:val="003A6640"/>
    <w:rsid w:val="003A690D"/>
    <w:rsid w:val="003E0448"/>
    <w:rsid w:val="003E2C31"/>
    <w:rsid w:val="003F0FB2"/>
    <w:rsid w:val="00413BD5"/>
    <w:rsid w:val="00487E66"/>
    <w:rsid w:val="004B1B1D"/>
    <w:rsid w:val="004B35A9"/>
    <w:rsid w:val="004C14FC"/>
    <w:rsid w:val="004D2B8D"/>
    <w:rsid w:val="004E3601"/>
    <w:rsid w:val="004F246E"/>
    <w:rsid w:val="00511692"/>
    <w:rsid w:val="00527B4B"/>
    <w:rsid w:val="00581A84"/>
    <w:rsid w:val="005A7362"/>
    <w:rsid w:val="005B4214"/>
    <w:rsid w:val="005B7011"/>
    <w:rsid w:val="005C0991"/>
    <w:rsid w:val="005C0EDF"/>
    <w:rsid w:val="005C1035"/>
    <w:rsid w:val="005C6E2A"/>
    <w:rsid w:val="005D25DC"/>
    <w:rsid w:val="005E4ADD"/>
    <w:rsid w:val="00612219"/>
    <w:rsid w:val="0061540C"/>
    <w:rsid w:val="006569DF"/>
    <w:rsid w:val="0066259D"/>
    <w:rsid w:val="00673390"/>
    <w:rsid w:val="006C1CD4"/>
    <w:rsid w:val="006C2732"/>
    <w:rsid w:val="006F4385"/>
    <w:rsid w:val="00715723"/>
    <w:rsid w:val="0072100D"/>
    <w:rsid w:val="00771EDB"/>
    <w:rsid w:val="00780405"/>
    <w:rsid w:val="007B3015"/>
    <w:rsid w:val="007C0738"/>
    <w:rsid w:val="007C29E4"/>
    <w:rsid w:val="007F4EF3"/>
    <w:rsid w:val="00801F09"/>
    <w:rsid w:val="0082014D"/>
    <w:rsid w:val="0082733A"/>
    <w:rsid w:val="0085012D"/>
    <w:rsid w:val="00851307"/>
    <w:rsid w:val="008B237D"/>
    <w:rsid w:val="008B237E"/>
    <w:rsid w:val="008E02B8"/>
    <w:rsid w:val="00927EC6"/>
    <w:rsid w:val="0094323D"/>
    <w:rsid w:val="00962E0A"/>
    <w:rsid w:val="009710B3"/>
    <w:rsid w:val="0097487C"/>
    <w:rsid w:val="009C2A6B"/>
    <w:rsid w:val="009C60A5"/>
    <w:rsid w:val="00A21293"/>
    <w:rsid w:val="00A236C0"/>
    <w:rsid w:val="00A3189B"/>
    <w:rsid w:val="00A37602"/>
    <w:rsid w:val="00A45E84"/>
    <w:rsid w:val="00A63BC7"/>
    <w:rsid w:val="00A97260"/>
    <w:rsid w:val="00AA0ECD"/>
    <w:rsid w:val="00AD455D"/>
    <w:rsid w:val="00B10266"/>
    <w:rsid w:val="00B42F23"/>
    <w:rsid w:val="00B527D3"/>
    <w:rsid w:val="00B73B2A"/>
    <w:rsid w:val="00B7479D"/>
    <w:rsid w:val="00B828DB"/>
    <w:rsid w:val="00B836AE"/>
    <w:rsid w:val="00B92D1E"/>
    <w:rsid w:val="00B962EF"/>
    <w:rsid w:val="00C0202D"/>
    <w:rsid w:val="00C1014A"/>
    <w:rsid w:val="00C10C7A"/>
    <w:rsid w:val="00C17BDC"/>
    <w:rsid w:val="00C212EB"/>
    <w:rsid w:val="00C45842"/>
    <w:rsid w:val="00C53B5C"/>
    <w:rsid w:val="00C96366"/>
    <w:rsid w:val="00CA53A9"/>
    <w:rsid w:val="00CB0329"/>
    <w:rsid w:val="00CC3F34"/>
    <w:rsid w:val="00CE3F1A"/>
    <w:rsid w:val="00D13018"/>
    <w:rsid w:val="00D26DBD"/>
    <w:rsid w:val="00D62792"/>
    <w:rsid w:val="00D64108"/>
    <w:rsid w:val="00D7313F"/>
    <w:rsid w:val="00D85336"/>
    <w:rsid w:val="00D95A86"/>
    <w:rsid w:val="00DA5E77"/>
    <w:rsid w:val="00DA7727"/>
    <w:rsid w:val="00DB0E9E"/>
    <w:rsid w:val="00DC6199"/>
    <w:rsid w:val="00DD07D1"/>
    <w:rsid w:val="00E13D6E"/>
    <w:rsid w:val="00E153EC"/>
    <w:rsid w:val="00E20FD7"/>
    <w:rsid w:val="00E27BC5"/>
    <w:rsid w:val="00E34693"/>
    <w:rsid w:val="00E445CD"/>
    <w:rsid w:val="00E53C9C"/>
    <w:rsid w:val="00EE29CD"/>
    <w:rsid w:val="00EF75C8"/>
    <w:rsid w:val="00F1023C"/>
    <w:rsid w:val="00F15193"/>
    <w:rsid w:val="00F21F3D"/>
    <w:rsid w:val="00F54E35"/>
    <w:rsid w:val="00F8310E"/>
    <w:rsid w:val="00FE1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A0C8C9-08FD-4BAA-AC14-B99C95A5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7C"/>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7E66"/>
    <w:pPr>
      <w:tabs>
        <w:tab w:val="center" w:pos="4153"/>
        <w:tab w:val="right" w:pos="8306"/>
      </w:tabs>
    </w:pPr>
    <w:rPr>
      <w:sz w:val="20"/>
    </w:rPr>
  </w:style>
  <w:style w:type="paragraph" w:customStyle="1" w:styleId="Pa2">
    <w:name w:val="Pa2"/>
    <w:basedOn w:val="Normal"/>
    <w:next w:val="Normal"/>
    <w:rsid w:val="00D95A86"/>
    <w:pPr>
      <w:autoSpaceDE w:val="0"/>
      <w:autoSpaceDN w:val="0"/>
      <w:adjustRightInd w:val="0"/>
      <w:spacing w:line="191" w:lineRule="atLeast"/>
    </w:pPr>
    <w:rPr>
      <w:rFonts w:ascii="Gill Sans MT" w:hAnsi="Gill Sans MT"/>
    </w:rPr>
  </w:style>
  <w:style w:type="character" w:customStyle="1" w:styleId="A5">
    <w:name w:val="A5"/>
    <w:rsid w:val="00D95A86"/>
    <w:rPr>
      <w:rFonts w:cs="Gill Sans MT"/>
      <w:color w:val="221E1F"/>
      <w:sz w:val="28"/>
      <w:szCs w:val="28"/>
    </w:rPr>
  </w:style>
  <w:style w:type="paragraph" w:styleId="Header">
    <w:name w:val="header"/>
    <w:basedOn w:val="Normal"/>
    <w:rsid w:val="003F0FB2"/>
    <w:pPr>
      <w:tabs>
        <w:tab w:val="center" w:pos="4153"/>
        <w:tab w:val="right" w:pos="8306"/>
      </w:tabs>
    </w:pPr>
  </w:style>
  <w:style w:type="character" w:styleId="PageNumber">
    <w:name w:val="page number"/>
    <w:basedOn w:val="DefaultParagraphFont"/>
    <w:rsid w:val="004B1B1D"/>
  </w:style>
  <w:style w:type="paragraph" w:styleId="BalloonText">
    <w:name w:val="Balloon Text"/>
    <w:basedOn w:val="Normal"/>
    <w:link w:val="BalloonTextChar"/>
    <w:rsid w:val="00F1023C"/>
    <w:rPr>
      <w:rFonts w:ascii="Tahoma" w:hAnsi="Tahoma" w:cs="Tahoma"/>
      <w:sz w:val="16"/>
      <w:szCs w:val="16"/>
    </w:rPr>
  </w:style>
  <w:style w:type="character" w:customStyle="1" w:styleId="BalloonTextChar">
    <w:name w:val="Balloon Text Char"/>
    <w:link w:val="BalloonText"/>
    <w:rsid w:val="00F1023C"/>
    <w:rPr>
      <w:rFonts w:ascii="Tahoma" w:hAnsi="Tahoma" w:cs="Tahoma"/>
      <w:sz w:val="16"/>
      <w:szCs w:val="16"/>
    </w:rPr>
  </w:style>
  <w:style w:type="character" w:styleId="Hyperlink">
    <w:name w:val="Hyperlink"/>
    <w:basedOn w:val="DefaultParagraphFont"/>
    <w:rsid w:val="00971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s.ta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lications@justice.ta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dit.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8C3A2CAF.dotm</Template>
  <TotalTime>0</TotalTime>
  <Pages>3</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Tasmanian Audit Office</vt:lpstr>
    </vt:vector>
  </TitlesOfParts>
  <Company>Tasmanian Audit Office</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Audit Office</dc:title>
  <dc:creator>neh</dc:creator>
  <cp:lastModifiedBy>Johnson, Susan</cp:lastModifiedBy>
  <cp:revision>2</cp:revision>
  <cp:lastPrinted>2017-04-14T05:13:00Z</cp:lastPrinted>
  <dcterms:created xsi:type="dcterms:W3CDTF">2017-05-08T02:39:00Z</dcterms:created>
  <dcterms:modified xsi:type="dcterms:W3CDTF">2017-05-08T02:39:00Z</dcterms:modified>
</cp:coreProperties>
</file>