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589"/>
        <w:gridCol w:w="1758"/>
        <w:gridCol w:w="1927"/>
      </w:tblGrid>
      <w:tr w:rsidR="003B18A9" w:rsidRPr="003B18A9" w14:paraId="56514693" w14:textId="77777777" w:rsidTr="0046464B">
        <w:tc>
          <w:tcPr>
            <w:tcW w:w="1419" w:type="dxa"/>
            <w:gridSpan w:val="2"/>
            <w:tcBorders>
              <w:top w:val="double" w:sz="6" w:space="0" w:color="auto"/>
              <w:bottom w:val="single" w:sz="6" w:space="0" w:color="auto"/>
              <w:right w:val="nil"/>
            </w:tcBorders>
          </w:tcPr>
          <w:p w14:paraId="049ECC9D" w14:textId="77777777" w:rsidR="003B18A9" w:rsidRPr="009F0BC4" w:rsidRDefault="003B18A9" w:rsidP="00CB7FAA">
            <w:pPr>
              <w:spacing w:before="144" w:after="144"/>
              <w:rPr>
                <w:rFonts w:asciiTheme="minorHAnsi" w:hAnsiTheme="minorHAnsi" w:cstheme="minorHAnsi"/>
                <w:b/>
                <w:bCs/>
                <w:sz w:val="20"/>
              </w:rPr>
            </w:pPr>
            <w:r w:rsidRPr="009F0BC4">
              <w:rPr>
                <w:rFonts w:asciiTheme="minorHAnsi" w:hAnsiTheme="minorHAnsi" w:cstheme="minorHAnsi"/>
                <w:b/>
                <w:bCs/>
                <w:sz w:val="20"/>
              </w:rPr>
              <w:t>Division:</w:t>
            </w:r>
            <w:r w:rsidR="00CB7FAA">
              <w:rPr>
                <w:rFonts w:asciiTheme="minorHAnsi" w:hAnsiTheme="minorHAnsi" w:cstheme="minorHAnsi"/>
                <w:b/>
                <w:bCs/>
                <w:sz w:val="20"/>
              </w:rPr>
              <w:t xml:space="preserve"> </w:t>
            </w:r>
          </w:p>
        </w:tc>
        <w:tc>
          <w:tcPr>
            <w:tcW w:w="3372" w:type="dxa"/>
            <w:tcBorders>
              <w:top w:val="double" w:sz="6" w:space="0" w:color="auto"/>
              <w:left w:val="nil"/>
              <w:bottom w:val="single" w:sz="6" w:space="0" w:color="auto"/>
              <w:right w:val="single" w:sz="6" w:space="0" w:color="auto"/>
            </w:tcBorders>
          </w:tcPr>
          <w:p w14:paraId="5B1C517D" w14:textId="77777777" w:rsidR="003B18A9" w:rsidRPr="00CF6BF1" w:rsidRDefault="00AE5823" w:rsidP="00CF6BF1">
            <w:pPr>
              <w:pStyle w:val="Heading1"/>
              <w:rPr>
                <w:rFonts w:asciiTheme="minorHAnsi" w:hAnsiTheme="minorHAnsi"/>
                <w:bCs/>
                <w:i/>
                <w:iCs/>
                <w:sz w:val="24"/>
              </w:rPr>
            </w:pPr>
            <w:r>
              <w:rPr>
                <w:rFonts w:asciiTheme="minorHAnsi" w:hAnsiTheme="minorHAnsi"/>
                <w:bCs/>
                <w:i/>
                <w:iCs/>
                <w:sz w:val="24"/>
              </w:rPr>
              <w:t>Television</w:t>
            </w:r>
          </w:p>
        </w:tc>
        <w:tc>
          <w:tcPr>
            <w:tcW w:w="1589" w:type="dxa"/>
            <w:tcBorders>
              <w:top w:val="double" w:sz="6" w:space="0" w:color="auto"/>
              <w:left w:val="single" w:sz="6" w:space="0" w:color="auto"/>
              <w:bottom w:val="single" w:sz="6" w:space="0" w:color="auto"/>
              <w:right w:val="nil"/>
            </w:tcBorders>
          </w:tcPr>
          <w:p w14:paraId="686F19ED" w14:textId="77777777" w:rsidR="00BE4CE6" w:rsidRDefault="003B18A9" w:rsidP="00963278">
            <w:pPr>
              <w:pStyle w:val="Heading1"/>
              <w:spacing w:beforeLines="60" w:before="144" w:afterLines="60" w:after="144"/>
              <w:rPr>
                <w:rFonts w:asciiTheme="minorHAnsi" w:hAnsiTheme="minorHAnsi" w:cstheme="minorHAnsi"/>
                <w:szCs w:val="24"/>
              </w:rPr>
            </w:pPr>
            <w:r w:rsidRPr="003B18A9">
              <w:rPr>
                <w:rFonts w:asciiTheme="minorHAnsi" w:hAnsiTheme="minorHAnsi" w:cstheme="minorHAnsi"/>
              </w:rPr>
              <w:t>Position Title:</w:t>
            </w:r>
          </w:p>
        </w:tc>
        <w:tc>
          <w:tcPr>
            <w:tcW w:w="3685" w:type="dxa"/>
            <w:gridSpan w:val="2"/>
            <w:tcBorders>
              <w:top w:val="double" w:sz="6" w:space="0" w:color="auto"/>
              <w:left w:val="nil"/>
              <w:bottom w:val="single" w:sz="6" w:space="0" w:color="auto"/>
            </w:tcBorders>
          </w:tcPr>
          <w:p w14:paraId="09427A0F" w14:textId="77777777" w:rsidR="003B18A9" w:rsidRPr="00CF6BF1" w:rsidRDefault="009556F8" w:rsidP="00C7106F">
            <w:pPr>
              <w:pStyle w:val="Heading1"/>
              <w:rPr>
                <w:rFonts w:asciiTheme="minorHAnsi" w:hAnsiTheme="minorHAnsi"/>
                <w:bCs/>
                <w:i/>
                <w:iCs/>
                <w:sz w:val="24"/>
              </w:rPr>
            </w:pPr>
            <w:r>
              <w:rPr>
                <w:rFonts w:asciiTheme="minorHAnsi" w:hAnsiTheme="minorHAnsi"/>
                <w:bCs/>
                <w:i/>
                <w:iCs/>
                <w:sz w:val="24"/>
              </w:rPr>
              <w:t xml:space="preserve"> </w:t>
            </w:r>
            <w:r w:rsidR="00C7106F">
              <w:rPr>
                <w:rFonts w:asciiTheme="minorHAnsi" w:hAnsiTheme="minorHAnsi"/>
                <w:bCs/>
                <w:i/>
                <w:iCs/>
                <w:sz w:val="24"/>
              </w:rPr>
              <w:t>Financial</w:t>
            </w:r>
            <w:r>
              <w:rPr>
                <w:rFonts w:asciiTheme="minorHAnsi" w:hAnsiTheme="minorHAnsi"/>
                <w:bCs/>
                <w:i/>
                <w:iCs/>
                <w:sz w:val="24"/>
              </w:rPr>
              <w:t xml:space="preserve"> Analyst</w:t>
            </w:r>
          </w:p>
        </w:tc>
      </w:tr>
      <w:tr w:rsidR="003B18A9" w:rsidRPr="003B18A9" w14:paraId="3416905C" w14:textId="77777777" w:rsidTr="0046464B">
        <w:tc>
          <w:tcPr>
            <w:tcW w:w="1419" w:type="dxa"/>
            <w:gridSpan w:val="2"/>
            <w:tcBorders>
              <w:top w:val="single" w:sz="6" w:space="0" w:color="auto"/>
              <w:bottom w:val="single" w:sz="6" w:space="0" w:color="auto"/>
              <w:right w:val="nil"/>
            </w:tcBorders>
          </w:tcPr>
          <w:p w14:paraId="070D46EE" w14:textId="77777777" w:rsidR="00BE4CE6" w:rsidRDefault="003B18A9" w:rsidP="00963278">
            <w:pPr>
              <w:keepNext/>
              <w:spacing w:beforeLines="60" w:before="144" w:afterLines="60" w:after="144"/>
              <w:rPr>
                <w:rFonts w:asciiTheme="minorHAnsi" w:hAnsiTheme="minorHAnsi" w:cstheme="minorHAnsi"/>
                <w:b/>
                <w:sz w:val="20"/>
                <w:szCs w:val="24"/>
              </w:rPr>
            </w:pPr>
            <w:r w:rsidRPr="003B18A9">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14:paraId="2366BD8D" w14:textId="77777777" w:rsidR="00BE4CE6" w:rsidRDefault="00DC2E4B" w:rsidP="006D7C1A">
            <w:pPr>
              <w:spacing w:before="144" w:after="144"/>
              <w:rPr>
                <w:rFonts w:asciiTheme="minorHAnsi" w:hAnsiTheme="minorHAnsi" w:cstheme="minorHAnsi"/>
                <w:b/>
                <w:sz w:val="20"/>
                <w:szCs w:val="24"/>
              </w:rPr>
            </w:pPr>
            <w:r w:rsidRPr="006D7C1A">
              <w:rPr>
                <w:rFonts w:asciiTheme="minorHAnsi" w:hAnsiTheme="minorHAnsi" w:cstheme="minorHAnsi"/>
                <w:b/>
                <w:bCs/>
                <w:sz w:val="20"/>
              </w:rPr>
              <w:t>TV Business</w:t>
            </w:r>
          </w:p>
        </w:tc>
        <w:tc>
          <w:tcPr>
            <w:tcW w:w="1589" w:type="dxa"/>
            <w:tcBorders>
              <w:top w:val="single" w:sz="6" w:space="0" w:color="auto"/>
              <w:left w:val="single" w:sz="6" w:space="0" w:color="auto"/>
              <w:bottom w:val="single" w:sz="6" w:space="0" w:color="auto"/>
              <w:right w:val="nil"/>
            </w:tcBorders>
          </w:tcPr>
          <w:p w14:paraId="3782A0B1" w14:textId="77777777" w:rsidR="00BE4CE6" w:rsidRDefault="003B18A9" w:rsidP="00963278">
            <w:pPr>
              <w:keepNext/>
              <w:spacing w:beforeLines="60" w:before="144" w:afterLines="60" w:after="144"/>
              <w:rPr>
                <w:rFonts w:asciiTheme="minorHAnsi" w:hAnsiTheme="minorHAnsi" w:cstheme="minorHAnsi"/>
                <w:b/>
                <w:sz w:val="20"/>
                <w:szCs w:val="24"/>
              </w:rPr>
            </w:pPr>
            <w:r w:rsidRPr="003B18A9">
              <w:rPr>
                <w:rFonts w:asciiTheme="minorHAnsi" w:hAnsiTheme="minorHAnsi" w:cstheme="minorHAnsi"/>
                <w:b/>
                <w:sz w:val="20"/>
              </w:rPr>
              <w:t>Classification:</w:t>
            </w:r>
          </w:p>
        </w:tc>
        <w:tc>
          <w:tcPr>
            <w:tcW w:w="3685" w:type="dxa"/>
            <w:gridSpan w:val="2"/>
            <w:tcBorders>
              <w:top w:val="single" w:sz="6" w:space="0" w:color="auto"/>
              <w:left w:val="nil"/>
              <w:bottom w:val="single" w:sz="6" w:space="0" w:color="auto"/>
            </w:tcBorders>
          </w:tcPr>
          <w:p w14:paraId="295B714E" w14:textId="77777777" w:rsidR="00BE4CE6" w:rsidRDefault="00860296" w:rsidP="00963278">
            <w:pPr>
              <w:keepNext/>
              <w:spacing w:beforeLines="60" w:before="144" w:afterLines="60" w:after="144"/>
              <w:rPr>
                <w:rFonts w:asciiTheme="minorHAnsi" w:hAnsiTheme="minorHAnsi" w:cstheme="minorHAnsi"/>
                <w:b/>
                <w:sz w:val="20"/>
                <w:szCs w:val="24"/>
              </w:rPr>
            </w:pPr>
            <w:r>
              <w:rPr>
                <w:rFonts w:asciiTheme="minorHAnsi" w:hAnsiTheme="minorHAnsi" w:cstheme="minorHAnsi"/>
                <w:b/>
                <w:sz w:val="20"/>
              </w:rPr>
              <w:t xml:space="preserve">Band </w:t>
            </w:r>
            <w:r w:rsidR="00C7106F">
              <w:rPr>
                <w:rFonts w:asciiTheme="minorHAnsi" w:hAnsiTheme="minorHAnsi" w:cstheme="minorHAnsi"/>
                <w:b/>
                <w:sz w:val="20"/>
              </w:rPr>
              <w:t>6</w:t>
            </w:r>
          </w:p>
        </w:tc>
      </w:tr>
      <w:tr w:rsidR="003B18A9" w:rsidRPr="003B18A9" w14:paraId="1E872D2E" w14:textId="77777777" w:rsidTr="0046464B">
        <w:tc>
          <w:tcPr>
            <w:tcW w:w="1419" w:type="dxa"/>
            <w:gridSpan w:val="2"/>
            <w:tcBorders>
              <w:top w:val="single" w:sz="6" w:space="0" w:color="auto"/>
              <w:bottom w:val="single" w:sz="6" w:space="0" w:color="auto"/>
              <w:right w:val="nil"/>
            </w:tcBorders>
          </w:tcPr>
          <w:p w14:paraId="60ACD6C9" w14:textId="77777777"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14:paraId="61B8D427" w14:textId="77777777" w:rsidR="003B18A9" w:rsidRPr="00CF6BF1" w:rsidRDefault="00CB7FAA" w:rsidP="00CF6BF1">
            <w:pPr>
              <w:spacing w:before="144" w:after="144"/>
              <w:rPr>
                <w:rFonts w:asciiTheme="minorHAnsi" w:hAnsiTheme="minorHAnsi" w:cstheme="minorHAnsi"/>
                <w:b/>
                <w:bCs/>
                <w:sz w:val="20"/>
              </w:rPr>
            </w:pPr>
            <w:r>
              <w:rPr>
                <w:rFonts w:asciiTheme="minorHAnsi" w:hAnsiTheme="minorHAnsi" w:cstheme="minorHAnsi"/>
                <w:b/>
                <w:bCs/>
                <w:sz w:val="20"/>
              </w:rPr>
              <w:t>Ultimo, Sydney</w:t>
            </w:r>
          </w:p>
        </w:tc>
        <w:tc>
          <w:tcPr>
            <w:tcW w:w="1589" w:type="dxa"/>
            <w:tcBorders>
              <w:top w:val="single" w:sz="6" w:space="0" w:color="auto"/>
              <w:left w:val="single" w:sz="6" w:space="0" w:color="auto"/>
              <w:bottom w:val="single" w:sz="6" w:space="0" w:color="auto"/>
              <w:right w:val="nil"/>
            </w:tcBorders>
          </w:tcPr>
          <w:p w14:paraId="0AAFD508" w14:textId="77777777" w:rsidR="003B18A9" w:rsidRPr="009F0BC4" w:rsidRDefault="003B18A9" w:rsidP="00963278">
            <w:pPr>
              <w:spacing w:before="120"/>
              <w:rPr>
                <w:rFonts w:asciiTheme="minorHAnsi" w:hAnsiTheme="minorHAnsi" w:cstheme="minorHAnsi"/>
                <w:b/>
                <w:bCs/>
                <w:sz w:val="20"/>
              </w:rPr>
            </w:pPr>
            <w:r w:rsidRPr="009F0BC4">
              <w:rPr>
                <w:rFonts w:asciiTheme="minorHAnsi" w:hAnsiTheme="minorHAnsi" w:cstheme="minorHAnsi"/>
                <w:b/>
                <w:bCs/>
                <w:sz w:val="20"/>
              </w:rPr>
              <w:t>Position No:</w:t>
            </w:r>
            <w:r w:rsidR="00963278">
              <w:rPr>
                <w:rFonts w:asciiTheme="minorHAnsi" w:hAnsiTheme="minorHAnsi" w:cstheme="minorHAnsi"/>
                <w:b/>
                <w:bCs/>
                <w:sz w:val="20"/>
              </w:rPr>
              <w:t xml:space="preserve"> </w:t>
            </w:r>
          </w:p>
        </w:tc>
        <w:tc>
          <w:tcPr>
            <w:tcW w:w="3685" w:type="dxa"/>
            <w:gridSpan w:val="2"/>
            <w:tcBorders>
              <w:top w:val="single" w:sz="6" w:space="0" w:color="auto"/>
              <w:left w:val="nil"/>
              <w:bottom w:val="single" w:sz="6" w:space="0" w:color="auto"/>
            </w:tcBorders>
          </w:tcPr>
          <w:p w14:paraId="168C46DC" w14:textId="075881DE" w:rsidR="003B18A9" w:rsidRPr="00CF6BF1" w:rsidRDefault="003B18A9" w:rsidP="00C7106F">
            <w:pPr>
              <w:spacing w:before="144" w:after="144"/>
              <w:rPr>
                <w:rFonts w:asciiTheme="minorHAnsi" w:hAnsiTheme="minorHAnsi" w:cstheme="minorHAnsi"/>
                <w:b/>
                <w:bCs/>
                <w:sz w:val="20"/>
              </w:rPr>
            </w:pPr>
            <w:bookmarkStart w:id="0" w:name="_GoBack"/>
            <w:bookmarkEnd w:id="0"/>
          </w:p>
        </w:tc>
      </w:tr>
      <w:tr w:rsidR="003B18A9" w:rsidRPr="003B18A9" w14:paraId="530B8BFB" w14:textId="77777777" w:rsidTr="0046464B">
        <w:tc>
          <w:tcPr>
            <w:tcW w:w="1419" w:type="dxa"/>
            <w:gridSpan w:val="2"/>
            <w:tcBorders>
              <w:top w:val="single" w:sz="6" w:space="0" w:color="auto"/>
              <w:bottom w:val="double" w:sz="6" w:space="0" w:color="auto"/>
              <w:right w:val="nil"/>
            </w:tcBorders>
          </w:tcPr>
          <w:p w14:paraId="42DD0D96" w14:textId="77777777"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14:paraId="355EFF19" w14:textId="51956788" w:rsidR="003B18A9" w:rsidRPr="00CF6BF1" w:rsidRDefault="00E16DE6" w:rsidP="00CF6BF1">
            <w:pPr>
              <w:spacing w:before="144" w:after="144"/>
              <w:rPr>
                <w:rFonts w:asciiTheme="minorHAnsi" w:hAnsiTheme="minorHAnsi" w:cstheme="minorHAnsi"/>
                <w:b/>
                <w:bCs/>
                <w:sz w:val="20"/>
              </w:rPr>
            </w:pPr>
            <w:r>
              <w:rPr>
                <w:rFonts w:asciiTheme="minorHAnsi" w:hAnsiTheme="minorHAnsi" w:cstheme="minorHAnsi"/>
                <w:b/>
                <w:bCs/>
                <w:sz w:val="20"/>
              </w:rPr>
              <w:t>FPA&amp;I Manager P408166</w:t>
            </w:r>
          </w:p>
        </w:tc>
        <w:tc>
          <w:tcPr>
            <w:tcW w:w="1589" w:type="dxa"/>
            <w:tcBorders>
              <w:top w:val="single" w:sz="6" w:space="0" w:color="auto"/>
              <w:left w:val="single" w:sz="6" w:space="0" w:color="auto"/>
              <w:bottom w:val="double" w:sz="6" w:space="0" w:color="auto"/>
              <w:right w:val="nil"/>
            </w:tcBorders>
          </w:tcPr>
          <w:p w14:paraId="186D2020" w14:textId="77777777" w:rsidR="003B18A9" w:rsidRPr="009F0BC4" w:rsidRDefault="003B18A9" w:rsidP="009F0BC4">
            <w:pPr>
              <w:spacing w:before="120"/>
              <w:rPr>
                <w:rFonts w:asciiTheme="minorHAnsi" w:hAnsiTheme="minorHAnsi" w:cstheme="minorHAnsi"/>
                <w:b/>
                <w:bCs/>
                <w:iCs/>
                <w:sz w:val="20"/>
              </w:rPr>
            </w:pPr>
            <w:r w:rsidRPr="009F0BC4">
              <w:rPr>
                <w:rFonts w:asciiTheme="minorHAnsi" w:hAnsiTheme="minorHAnsi" w:cstheme="minorHAnsi"/>
                <w:b/>
                <w:bCs/>
                <w:sz w:val="20"/>
              </w:rPr>
              <w:t>Approval Date:</w:t>
            </w:r>
            <w:r w:rsidRPr="009F0BC4">
              <w:rPr>
                <w:rFonts w:asciiTheme="minorHAnsi" w:hAnsiTheme="minorHAnsi" w:cstheme="minorHAnsi"/>
                <w:b/>
                <w:bCs/>
                <w:color w:val="000000"/>
                <w:sz w:val="20"/>
              </w:rPr>
              <w:t xml:space="preserve"> </w:t>
            </w:r>
            <w:r w:rsidRPr="009F0BC4">
              <w:rPr>
                <w:rFonts w:asciiTheme="minorHAnsi" w:hAnsiTheme="minorHAnsi" w:cstheme="minorHAnsi"/>
                <w:b/>
                <w:bCs/>
                <w:color w:val="000000"/>
                <w:sz w:val="20"/>
              </w:rPr>
              <w:tab/>
            </w:r>
          </w:p>
        </w:tc>
        <w:tc>
          <w:tcPr>
            <w:tcW w:w="1758" w:type="dxa"/>
            <w:tcBorders>
              <w:top w:val="single" w:sz="6" w:space="0" w:color="auto"/>
              <w:left w:val="nil"/>
              <w:bottom w:val="double" w:sz="6" w:space="0" w:color="auto"/>
              <w:right w:val="nil"/>
            </w:tcBorders>
          </w:tcPr>
          <w:p w14:paraId="2D762E63" w14:textId="77777777" w:rsidR="003B18A9" w:rsidRPr="00CF6BF1" w:rsidRDefault="003B18A9" w:rsidP="00CF6BF1">
            <w:pPr>
              <w:spacing w:before="144" w:after="144"/>
              <w:rPr>
                <w:rFonts w:asciiTheme="minorHAnsi" w:hAnsiTheme="minorHAnsi" w:cstheme="minorHAnsi"/>
                <w:b/>
                <w:bCs/>
                <w:iCs/>
                <w:sz w:val="20"/>
              </w:rPr>
            </w:pPr>
          </w:p>
        </w:tc>
        <w:tc>
          <w:tcPr>
            <w:tcW w:w="1927" w:type="dxa"/>
            <w:tcBorders>
              <w:top w:val="single" w:sz="6" w:space="0" w:color="auto"/>
              <w:left w:val="nil"/>
              <w:bottom w:val="double" w:sz="6" w:space="0" w:color="auto"/>
              <w:right w:val="double" w:sz="6" w:space="0" w:color="auto"/>
            </w:tcBorders>
          </w:tcPr>
          <w:p w14:paraId="29DE5FBD" w14:textId="77777777" w:rsidR="003B18A9" w:rsidRPr="003B18A9" w:rsidRDefault="003B18A9" w:rsidP="00CB7FAA">
            <w:pPr>
              <w:pStyle w:val="Heading1"/>
              <w:rPr>
                <w:rFonts w:asciiTheme="minorHAnsi" w:hAnsiTheme="minorHAnsi" w:cstheme="minorHAnsi"/>
              </w:rPr>
            </w:pPr>
          </w:p>
        </w:tc>
      </w:tr>
      <w:tr w:rsidR="00802E0B" w:rsidRPr="003B18A9" w14:paraId="21B72911" w14:textId="77777777" w:rsidTr="0046464B">
        <w:tc>
          <w:tcPr>
            <w:tcW w:w="993" w:type="dxa"/>
            <w:tcBorders>
              <w:top w:val="double" w:sz="6" w:space="0" w:color="auto"/>
              <w:bottom w:val="double" w:sz="6" w:space="0" w:color="auto"/>
            </w:tcBorders>
          </w:tcPr>
          <w:p w14:paraId="7D061078" w14:textId="77777777" w:rsidR="00802E0B" w:rsidRPr="009F0BC4" w:rsidRDefault="00802E0B" w:rsidP="009F0BC4">
            <w:pPr>
              <w:spacing w:before="144" w:after="144"/>
              <w:rPr>
                <w:rFonts w:asciiTheme="minorHAnsi" w:hAnsiTheme="minorHAnsi" w:cstheme="minorHAnsi"/>
                <w:b/>
                <w:bCs/>
                <w:sz w:val="20"/>
              </w:rPr>
            </w:pPr>
            <w:r w:rsidRPr="009F0BC4">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14:paraId="6CB2C832" w14:textId="77777777" w:rsidR="00632C45" w:rsidRPr="003B18A9" w:rsidRDefault="00C7106F" w:rsidP="00967CCB">
            <w:pPr>
              <w:pStyle w:val="Header"/>
              <w:tabs>
                <w:tab w:val="clear" w:pos="4153"/>
                <w:tab w:val="clear" w:pos="8306"/>
                <w:tab w:val="left" w:pos="319"/>
              </w:tabs>
              <w:spacing w:before="120" w:after="120"/>
              <w:rPr>
                <w:rFonts w:asciiTheme="minorHAnsi" w:hAnsiTheme="minorHAnsi" w:cstheme="minorHAnsi"/>
              </w:rPr>
            </w:pPr>
            <w:r>
              <w:rPr>
                <w:rFonts w:ascii="Calibri" w:hAnsi="Calibri"/>
              </w:rPr>
              <w:t>P</w:t>
            </w:r>
            <w:r w:rsidR="00445D5C">
              <w:rPr>
                <w:rFonts w:ascii="Calibri" w:hAnsi="Calibri"/>
              </w:rPr>
              <w:t>rovide budgeting, cost centre financial management</w:t>
            </w:r>
            <w:r>
              <w:rPr>
                <w:rFonts w:ascii="Calibri" w:hAnsi="Calibri"/>
              </w:rPr>
              <w:t xml:space="preserve">, </w:t>
            </w:r>
            <w:r w:rsidR="00445D5C">
              <w:rPr>
                <w:rFonts w:ascii="Calibri" w:hAnsi="Calibri"/>
              </w:rPr>
              <w:t>forecasting</w:t>
            </w:r>
            <w:r>
              <w:rPr>
                <w:rFonts w:ascii="Calibri" w:hAnsi="Calibri"/>
              </w:rPr>
              <w:t xml:space="preserve"> and</w:t>
            </w:r>
            <w:r w:rsidRPr="00632C45">
              <w:rPr>
                <w:rFonts w:ascii="Calibri" w:hAnsi="Calibri"/>
              </w:rPr>
              <w:t xml:space="preserve"> ana</w:t>
            </w:r>
            <w:r>
              <w:rPr>
                <w:rFonts w:ascii="Calibri" w:hAnsi="Calibri"/>
              </w:rPr>
              <w:t>lysis</w:t>
            </w:r>
            <w:r w:rsidR="00967CCB">
              <w:rPr>
                <w:rFonts w:ascii="Calibri" w:hAnsi="Calibri"/>
              </w:rPr>
              <w:t xml:space="preserve"> for the TV division.</w:t>
            </w:r>
            <w:r>
              <w:rPr>
                <w:rFonts w:ascii="Calibri" w:hAnsi="Calibri"/>
              </w:rPr>
              <w:t xml:space="preserve"> </w:t>
            </w:r>
            <w:r w:rsidR="00967CCB">
              <w:rPr>
                <w:rFonts w:ascii="Calibri" w:hAnsi="Calibri"/>
              </w:rPr>
              <w:t>S</w:t>
            </w:r>
            <w:r w:rsidR="00F41515">
              <w:rPr>
                <w:rFonts w:ascii="Calibri" w:hAnsi="Calibri"/>
              </w:rPr>
              <w:t>upport</w:t>
            </w:r>
            <w:r w:rsidR="007512E3">
              <w:rPr>
                <w:rFonts w:ascii="Calibri" w:hAnsi="Calibri"/>
              </w:rPr>
              <w:t xml:space="preserve"> the </w:t>
            </w:r>
            <w:r w:rsidR="00FA2246">
              <w:rPr>
                <w:rFonts w:ascii="Calibri" w:hAnsi="Calibri"/>
              </w:rPr>
              <w:t>implementation of TV projects across the</w:t>
            </w:r>
            <w:r w:rsidR="00632C45" w:rsidRPr="00632C45">
              <w:rPr>
                <w:rFonts w:ascii="Calibri" w:hAnsi="Calibri"/>
              </w:rPr>
              <w:t xml:space="preserve"> division.</w:t>
            </w:r>
          </w:p>
        </w:tc>
      </w:tr>
      <w:tr w:rsidR="00D6597B" w:rsidRPr="009F0BC4" w14:paraId="70CB3777" w14:textId="77777777" w:rsidTr="0046464B">
        <w:tc>
          <w:tcPr>
            <w:tcW w:w="10065" w:type="dxa"/>
            <w:gridSpan w:val="6"/>
            <w:tcBorders>
              <w:top w:val="double" w:sz="6" w:space="0" w:color="auto"/>
              <w:bottom w:val="nil"/>
            </w:tcBorders>
          </w:tcPr>
          <w:p w14:paraId="24C231AC" w14:textId="77777777" w:rsidR="00D6597B" w:rsidRPr="008C55A3" w:rsidRDefault="00D6597B" w:rsidP="00D6597B">
            <w:pPr>
              <w:tabs>
                <w:tab w:val="left" w:pos="284"/>
              </w:tabs>
              <w:spacing w:before="120"/>
              <w:rPr>
                <w:rFonts w:asciiTheme="minorHAnsi" w:hAnsiTheme="minorHAnsi" w:cstheme="minorHAnsi"/>
                <w:b/>
                <w:sz w:val="20"/>
              </w:rPr>
            </w:pPr>
            <w:r w:rsidRPr="003B18A9">
              <w:rPr>
                <w:rFonts w:asciiTheme="minorHAnsi" w:hAnsiTheme="minorHAnsi" w:cstheme="minorHAnsi"/>
                <w:b/>
                <w:sz w:val="20"/>
              </w:rPr>
              <w:t>Key Accountabilities:</w:t>
            </w:r>
            <w:r w:rsidRPr="003B18A9">
              <w:rPr>
                <w:rFonts w:asciiTheme="minorHAnsi" w:hAnsiTheme="minorHAnsi" w:cstheme="minorHAnsi"/>
                <w:b/>
                <w:sz w:val="20"/>
              </w:rPr>
              <w:tab/>
            </w:r>
          </w:p>
          <w:p w14:paraId="48F84E01" w14:textId="77777777" w:rsidR="00D6597B" w:rsidRPr="00591789" w:rsidRDefault="00D6597B" w:rsidP="00D6597B">
            <w:pPr>
              <w:pStyle w:val="JDAccountability"/>
              <w:numPr>
                <w:ilvl w:val="0"/>
                <w:numId w:val="0"/>
              </w:numPr>
              <w:ind w:left="454"/>
              <w:rPr>
                <w:u w:val="single"/>
              </w:rPr>
            </w:pPr>
            <w:r w:rsidRPr="00591789">
              <w:rPr>
                <w:u w:val="single"/>
              </w:rPr>
              <w:t xml:space="preserve">Budget &amp; </w:t>
            </w:r>
            <w:r>
              <w:rPr>
                <w:u w:val="single"/>
              </w:rPr>
              <w:t>forecasting</w:t>
            </w:r>
          </w:p>
          <w:p w14:paraId="78D550E1" w14:textId="77777777" w:rsidR="00D6597B" w:rsidRDefault="00D6597B" w:rsidP="00D6597B">
            <w:pPr>
              <w:pStyle w:val="JDCompetencies"/>
              <w:numPr>
                <w:ilvl w:val="0"/>
                <w:numId w:val="7"/>
              </w:numPr>
              <w:tabs>
                <w:tab w:val="clear" w:pos="720"/>
              </w:tabs>
            </w:pPr>
            <w:r>
              <w:t xml:space="preserve">Under the guidance of the Manager, Financial Planning, </w:t>
            </w:r>
            <w:proofErr w:type="gramStart"/>
            <w:r>
              <w:t>Analysis</w:t>
            </w:r>
            <w:proofErr w:type="gramEnd"/>
            <w:r>
              <w:t xml:space="preserve"> and Insights develop, co-ordinate, maintain division information systems and spreadsheets relating to budgets, forecasts, and cost centre level management accounting reports.</w:t>
            </w:r>
          </w:p>
          <w:p w14:paraId="2A8CC3BF" w14:textId="77777777" w:rsidR="00D6597B" w:rsidRDefault="00D6597B" w:rsidP="00D6597B">
            <w:pPr>
              <w:pStyle w:val="JDCompetencies"/>
              <w:numPr>
                <w:ilvl w:val="1"/>
                <w:numId w:val="7"/>
              </w:numPr>
              <w:tabs>
                <w:tab w:val="clear" w:pos="720"/>
              </w:tabs>
            </w:pPr>
            <w:r>
              <w:t xml:space="preserve">Prepare annual budget templates for all non-content cost centres in the TV division to facilitate budget submissions from cost centre owners/ financial representatives. </w:t>
            </w:r>
          </w:p>
          <w:p w14:paraId="753E4189" w14:textId="77777777" w:rsidR="00D6597B" w:rsidRDefault="00D6597B" w:rsidP="00D6597B">
            <w:pPr>
              <w:pStyle w:val="JDCompetencies"/>
              <w:numPr>
                <w:ilvl w:val="1"/>
                <w:numId w:val="7"/>
              </w:numPr>
              <w:tabs>
                <w:tab w:val="clear" w:pos="720"/>
              </w:tabs>
            </w:pPr>
            <w:r>
              <w:t>Prepare monthly forecasting template and process to ensure overhead costs are forecast in an accurate and timely manner.</w:t>
            </w:r>
          </w:p>
          <w:p w14:paraId="70652C16" w14:textId="77777777" w:rsidR="00D6597B" w:rsidRDefault="00D6597B" w:rsidP="00D6597B">
            <w:pPr>
              <w:pStyle w:val="JDCompetencies"/>
              <w:numPr>
                <w:ilvl w:val="1"/>
                <w:numId w:val="7"/>
              </w:numPr>
              <w:tabs>
                <w:tab w:val="clear" w:pos="720"/>
              </w:tabs>
            </w:pPr>
            <w:r>
              <w:t>Facilitate consolidated reporting and analysis of the budget.</w:t>
            </w:r>
          </w:p>
          <w:p w14:paraId="745949FD" w14:textId="77777777" w:rsidR="00D6597B" w:rsidRDefault="00D6597B" w:rsidP="00D6597B">
            <w:pPr>
              <w:pStyle w:val="JDCompetencies"/>
              <w:numPr>
                <w:ilvl w:val="0"/>
                <w:numId w:val="7"/>
              </w:numPr>
              <w:tabs>
                <w:tab w:val="clear" w:pos="720"/>
              </w:tabs>
            </w:pPr>
            <w:r>
              <w:t xml:space="preserve">For a limited group of overhead cost </w:t>
            </w:r>
            <w:proofErr w:type="gramStart"/>
            <w:r>
              <w:t>centres :</w:t>
            </w:r>
            <w:proofErr w:type="gramEnd"/>
          </w:p>
          <w:p w14:paraId="207874CF" w14:textId="77777777" w:rsidR="00D6597B" w:rsidRDefault="00D6597B" w:rsidP="00D6597B">
            <w:pPr>
              <w:pStyle w:val="JDCompetencies"/>
              <w:numPr>
                <w:ilvl w:val="1"/>
                <w:numId w:val="7"/>
              </w:numPr>
              <w:tabs>
                <w:tab w:val="clear" w:pos="720"/>
              </w:tabs>
            </w:pPr>
            <w:r>
              <w:t xml:space="preserve">Administer overhead cost budgets, </w:t>
            </w:r>
            <w:proofErr w:type="gramStart"/>
            <w:r>
              <w:t>analyse</w:t>
            </w:r>
            <w:proofErr w:type="gramEnd"/>
            <w:r>
              <w:t xml:space="preserve"> and prepare budget/ financial reports and follow up issues.</w:t>
            </w:r>
          </w:p>
          <w:p w14:paraId="4825F374" w14:textId="77777777" w:rsidR="00D6597B" w:rsidRDefault="00D6597B" w:rsidP="00D6597B">
            <w:pPr>
              <w:pStyle w:val="JDCompetencies"/>
              <w:numPr>
                <w:ilvl w:val="1"/>
                <w:numId w:val="7"/>
              </w:numPr>
              <w:tabs>
                <w:tab w:val="clear" w:pos="720"/>
              </w:tabs>
            </w:pPr>
            <w:r>
              <w:t xml:space="preserve">Preparing forecast estimates and monitor, analyse and report on performance for overhead costs. </w:t>
            </w:r>
          </w:p>
          <w:p w14:paraId="72F98334" w14:textId="77777777" w:rsidR="00D6597B" w:rsidRDefault="00D6597B" w:rsidP="00D6597B">
            <w:pPr>
              <w:pStyle w:val="JDCompetencies"/>
              <w:numPr>
                <w:ilvl w:val="1"/>
                <w:numId w:val="7"/>
              </w:numPr>
              <w:tabs>
                <w:tab w:val="clear" w:pos="720"/>
              </w:tabs>
            </w:pPr>
            <w:r>
              <w:t>Provide financial management advice and service to cost centre owners to ensure all costs are managed within budget levels and identify savings opportunities.</w:t>
            </w:r>
          </w:p>
          <w:p w14:paraId="692B4877" w14:textId="77777777" w:rsidR="00D6597B" w:rsidRPr="00054D81" w:rsidRDefault="00D6597B" w:rsidP="00D6597B">
            <w:pPr>
              <w:pStyle w:val="JDCompetencies"/>
              <w:numPr>
                <w:ilvl w:val="0"/>
                <w:numId w:val="7"/>
              </w:numPr>
              <w:tabs>
                <w:tab w:val="clear" w:pos="720"/>
              </w:tabs>
            </w:pPr>
            <w:r>
              <w:t>Work with the TV Business team to help</w:t>
            </w:r>
            <w:r w:rsidRPr="00054D81">
              <w:t xml:space="preserve"> identify and develop systems to improve information and reporting</w:t>
            </w:r>
            <w:r>
              <w:t>.</w:t>
            </w:r>
          </w:p>
          <w:p w14:paraId="3C87F0B2" w14:textId="77777777" w:rsidR="00D6597B" w:rsidRPr="00054D81" w:rsidRDefault="00D6597B" w:rsidP="00D6597B">
            <w:pPr>
              <w:pStyle w:val="JDCompetencies"/>
              <w:numPr>
                <w:ilvl w:val="0"/>
                <w:numId w:val="7"/>
              </w:numPr>
              <w:tabs>
                <w:tab w:val="clear" w:pos="720"/>
              </w:tabs>
            </w:pPr>
            <w:r w:rsidRPr="00054D81">
              <w:rPr>
                <w:bCs/>
              </w:rPr>
              <w:t>Work with Finance to ensure TV division compliance with</w:t>
            </w:r>
            <w:r>
              <w:rPr>
                <w:bCs/>
              </w:rPr>
              <w:t xml:space="preserve"> the ABC’s financial</w:t>
            </w:r>
            <w:r w:rsidRPr="00054D81">
              <w:rPr>
                <w:bCs/>
              </w:rPr>
              <w:t xml:space="preserve"> policies and procedures.</w:t>
            </w:r>
          </w:p>
          <w:p w14:paraId="4629B2FB" w14:textId="77777777" w:rsidR="00D6597B" w:rsidRPr="00591789" w:rsidRDefault="00D6597B" w:rsidP="00D6597B">
            <w:pPr>
              <w:pStyle w:val="JDAccountability"/>
              <w:numPr>
                <w:ilvl w:val="0"/>
                <w:numId w:val="0"/>
              </w:numPr>
              <w:ind w:left="454"/>
              <w:rPr>
                <w:u w:val="single"/>
              </w:rPr>
            </w:pPr>
            <w:r w:rsidRPr="00054D81">
              <w:rPr>
                <w:u w:val="single"/>
              </w:rPr>
              <w:t>Analysis &amp; reporting</w:t>
            </w:r>
          </w:p>
          <w:p w14:paraId="48C42A9D" w14:textId="77777777" w:rsidR="00D6597B" w:rsidRPr="00513947" w:rsidRDefault="00D6597B" w:rsidP="00D6597B">
            <w:pPr>
              <w:pStyle w:val="JDCompetencies"/>
              <w:numPr>
                <w:ilvl w:val="0"/>
                <w:numId w:val="7"/>
              </w:numPr>
              <w:tabs>
                <w:tab w:val="clear" w:pos="720"/>
              </w:tabs>
            </w:pPr>
            <w:r>
              <w:t>Provide analytical support to TV projects and change initiatives.</w:t>
            </w:r>
          </w:p>
          <w:p w14:paraId="28A3A44D" w14:textId="77777777" w:rsidR="00D6597B" w:rsidRPr="00632C45" w:rsidRDefault="00D6597B" w:rsidP="00D6597B">
            <w:pPr>
              <w:pStyle w:val="JDCompetencies"/>
              <w:numPr>
                <w:ilvl w:val="0"/>
                <w:numId w:val="7"/>
              </w:numPr>
              <w:tabs>
                <w:tab w:val="clear" w:pos="720"/>
              </w:tabs>
            </w:pPr>
            <w:r w:rsidRPr="00632C45">
              <w:t xml:space="preserve">Undertake detailed financial and data analysis to </w:t>
            </w:r>
            <w:r>
              <w:t>provide variance analysis across Divisional TV cost centres.</w:t>
            </w:r>
          </w:p>
          <w:p w14:paraId="28E2DA97" w14:textId="77777777" w:rsidR="00D6597B" w:rsidRPr="007D3FEC" w:rsidRDefault="00D6597B" w:rsidP="00D6597B">
            <w:pPr>
              <w:pStyle w:val="JDCompetencies"/>
              <w:numPr>
                <w:ilvl w:val="0"/>
                <w:numId w:val="7"/>
              </w:numPr>
              <w:tabs>
                <w:tab w:val="clear" w:pos="720"/>
              </w:tabs>
            </w:pPr>
            <w:r w:rsidRPr="007D3FEC">
              <w:t>Provide ad hoc analysis on TV cost centres as requested</w:t>
            </w:r>
            <w:r>
              <w:t>.</w:t>
            </w:r>
          </w:p>
          <w:p w14:paraId="21E8AAAC" w14:textId="77777777" w:rsidR="00D6597B" w:rsidRPr="00632C45" w:rsidRDefault="00D6597B" w:rsidP="00D6597B">
            <w:pPr>
              <w:pStyle w:val="JDCompetencies"/>
              <w:numPr>
                <w:ilvl w:val="0"/>
                <w:numId w:val="7"/>
              </w:numPr>
              <w:tabs>
                <w:tab w:val="clear" w:pos="720"/>
              </w:tabs>
            </w:pPr>
            <w:r>
              <w:t>Provide</w:t>
            </w:r>
            <w:r w:rsidRPr="00632C45">
              <w:t xml:space="preserve"> repor</w:t>
            </w:r>
            <w:r>
              <w:t>ts to stakeholders at all levels of the TV Division.</w:t>
            </w:r>
          </w:p>
          <w:p w14:paraId="75E85DD3" w14:textId="77777777" w:rsidR="00D6597B" w:rsidRDefault="00D6597B" w:rsidP="00D6597B">
            <w:pPr>
              <w:pStyle w:val="JDAccountability"/>
              <w:numPr>
                <w:ilvl w:val="0"/>
                <w:numId w:val="0"/>
              </w:numPr>
              <w:ind w:left="454"/>
              <w:rPr>
                <w:u w:val="single"/>
              </w:rPr>
            </w:pPr>
            <w:r>
              <w:rPr>
                <w:u w:val="single"/>
              </w:rPr>
              <w:t>Financial administration</w:t>
            </w:r>
          </w:p>
          <w:p w14:paraId="6E646395" w14:textId="77777777" w:rsidR="00D6597B" w:rsidRDefault="00D6597B" w:rsidP="00D6597B">
            <w:pPr>
              <w:pStyle w:val="JDCompetencies"/>
              <w:numPr>
                <w:ilvl w:val="0"/>
                <w:numId w:val="7"/>
              </w:numPr>
              <w:tabs>
                <w:tab w:val="clear" w:pos="720"/>
              </w:tabs>
            </w:pPr>
            <w:r w:rsidRPr="00E11AD1">
              <w:t>Send employment contract renewal reminders to cost centre owners/ managers</w:t>
            </w:r>
            <w:r>
              <w:t>.</w:t>
            </w:r>
            <w:r w:rsidRPr="00E11AD1">
              <w:t xml:space="preserve"> </w:t>
            </w:r>
          </w:p>
          <w:p w14:paraId="1C4D35C1" w14:textId="77777777" w:rsidR="00D6597B" w:rsidRPr="00E11AD1" w:rsidRDefault="00D6597B" w:rsidP="00D6597B">
            <w:pPr>
              <w:pStyle w:val="JDCompetencies"/>
              <w:numPr>
                <w:ilvl w:val="0"/>
                <w:numId w:val="7"/>
              </w:numPr>
              <w:tabs>
                <w:tab w:val="clear" w:pos="720"/>
              </w:tabs>
            </w:pPr>
            <w:r>
              <w:t>Maintain the minor assets register for the Television division.</w:t>
            </w:r>
          </w:p>
          <w:p w14:paraId="5913F2DF" w14:textId="77777777" w:rsidR="00D6597B" w:rsidRPr="00591789" w:rsidRDefault="00D6597B" w:rsidP="00D6597B">
            <w:pPr>
              <w:pStyle w:val="JDAccountability"/>
              <w:numPr>
                <w:ilvl w:val="0"/>
                <w:numId w:val="0"/>
              </w:numPr>
              <w:ind w:left="454"/>
              <w:rPr>
                <w:u w:val="single"/>
              </w:rPr>
            </w:pPr>
            <w:r w:rsidRPr="00591789">
              <w:rPr>
                <w:u w:val="single"/>
              </w:rPr>
              <w:t>Stakeholder management</w:t>
            </w:r>
          </w:p>
          <w:p w14:paraId="6D5932F8" w14:textId="77777777" w:rsidR="00D6597B" w:rsidRDefault="00D6597B" w:rsidP="00D6597B">
            <w:pPr>
              <w:pStyle w:val="JDCompetencies"/>
              <w:numPr>
                <w:ilvl w:val="0"/>
                <w:numId w:val="7"/>
              </w:numPr>
              <w:tabs>
                <w:tab w:val="clear" w:pos="720"/>
              </w:tabs>
            </w:pPr>
            <w:r>
              <w:t>Maintain effective communication with colleagues to share information, keep abreast of relevant issues/developments across the corporation and ensure alignment within the department.</w:t>
            </w:r>
          </w:p>
          <w:p w14:paraId="12054BC2" w14:textId="77777777" w:rsidR="00D6597B" w:rsidRDefault="00D6597B" w:rsidP="00D6597B">
            <w:pPr>
              <w:pStyle w:val="JDCompetencies"/>
              <w:numPr>
                <w:ilvl w:val="0"/>
                <w:numId w:val="7"/>
              </w:numPr>
              <w:tabs>
                <w:tab w:val="clear" w:pos="720"/>
              </w:tabs>
            </w:pPr>
            <w:r>
              <w:t>Build and maintain strong working relationships with key managers and staff within TV, the wider corporation and external stakeholders as required.</w:t>
            </w:r>
          </w:p>
          <w:p w14:paraId="70380819" w14:textId="77777777" w:rsidR="00D6597B" w:rsidRDefault="00D6597B" w:rsidP="00D6597B">
            <w:pPr>
              <w:pStyle w:val="JDCompetencies"/>
              <w:numPr>
                <w:ilvl w:val="0"/>
                <w:numId w:val="7"/>
              </w:numPr>
              <w:tabs>
                <w:tab w:val="clear" w:pos="720"/>
              </w:tabs>
            </w:pPr>
            <w:r w:rsidRPr="0046464B">
              <w:t>Actively</w:t>
            </w:r>
            <w:r>
              <w:t xml:space="preserve"> </w:t>
            </w:r>
            <w:r w:rsidRPr="0046464B">
              <w:t xml:space="preserve">promote the ABC Values and apply all relevant </w:t>
            </w:r>
            <w:r>
              <w:t xml:space="preserve">workplace </w:t>
            </w:r>
            <w:r w:rsidRPr="0046464B">
              <w:t>policies</w:t>
            </w:r>
            <w:r w:rsidRPr="003B18A9">
              <w:t xml:space="preserve"> an</w:t>
            </w:r>
            <w:r>
              <w:t>d guidelines.</w:t>
            </w:r>
          </w:p>
          <w:p w14:paraId="4A7B21C4" w14:textId="27784276" w:rsidR="00D6597B" w:rsidRDefault="00D6597B" w:rsidP="00D6597B">
            <w:pPr>
              <w:pStyle w:val="JDCompetencies"/>
              <w:numPr>
                <w:ilvl w:val="0"/>
                <w:numId w:val="7"/>
              </w:numPr>
              <w:tabs>
                <w:tab w:val="clear" w:pos="720"/>
              </w:tabs>
            </w:pPr>
            <w:r w:rsidRPr="00632C45">
              <w:t xml:space="preserve">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w:t>
            </w:r>
            <w:proofErr w:type="gramStart"/>
            <w:r w:rsidRPr="00632C45">
              <w:t>Directors</w:t>
            </w:r>
            <w:proofErr w:type="gramEnd"/>
            <w:r w:rsidRPr="00632C45">
              <w:t xml:space="preserve"> and Other Officers.</w:t>
            </w:r>
          </w:p>
        </w:tc>
      </w:tr>
      <w:tr w:rsidR="00527EE9" w:rsidRPr="003B18A9" w14:paraId="124CBA18" w14:textId="77777777" w:rsidTr="0046464B">
        <w:tc>
          <w:tcPr>
            <w:tcW w:w="10065" w:type="dxa"/>
            <w:gridSpan w:val="6"/>
            <w:tcBorders>
              <w:top w:val="double" w:sz="6" w:space="0" w:color="auto"/>
              <w:bottom w:val="double" w:sz="6" w:space="0" w:color="auto"/>
            </w:tcBorders>
          </w:tcPr>
          <w:p w14:paraId="24B6F683" w14:textId="2E17E2C8" w:rsidR="00892003" w:rsidRPr="003B18A9" w:rsidRDefault="00527EE9">
            <w:pPr>
              <w:tabs>
                <w:tab w:val="left" w:pos="284"/>
              </w:tabs>
              <w:spacing w:before="120"/>
              <w:ind w:right="-391"/>
              <w:rPr>
                <w:rFonts w:asciiTheme="minorHAnsi" w:hAnsiTheme="minorHAnsi" w:cstheme="minorHAnsi"/>
                <w:b/>
                <w:sz w:val="20"/>
              </w:rPr>
            </w:pPr>
            <w:r w:rsidRPr="003B18A9">
              <w:rPr>
                <w:rFonts w:asciiTheme="minorHAnsi" w:hAnsiTheme="minorHAnsi" w:cstheme="minorHAnsi"/>
                <w:b/>
                <w:sz w:val="20"/>
              </w:rPr>
              <w:t>Key Capabilities/Qualifications/Experience:</w:t>
            </w:r>
          </w:p>
          <w:p w14:paraId="2BC62465" w14:textId="77777777" w:rsidR="00D6597B"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t xml:space="preserve">Relevant tertiary and part/newly qualified CA/CPA qualifications. </w:t>
            </w:r>
          </w:p>
          <w:p w14:paraId="6B6F134D" w14:textId="77777777" w:rsidR="00D6597B" w:rsidRPr="00F41515"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lastRenderedPageBreak/>
              <w:t>A</w:t>
            </w:r>
            <w:r w:rsidRPr="00F41515">
              <w:rPr>
                <w:rFonts w:ascii="Calibri" w:hAnsi="Calibri" w:cs="Times New Roman"/>
                <w:sz w:val="20"/>
              </w:rPr>
              <w:t>dvanced analytical, financial modelling and problem solving skill</w:t>
            </w:r>
            <w:r>
              <w:rPr>
                <w:rFonts w:ascii="Calibri" w:hAnsi="Calibri" w:cs="Times New Roman"/>
                <w:sz w:val="20"/>
              </w:rPr>
              <w:t>s with the proven ability to logically evaluate information, identify important issues and reach sound conclusions.</w:t>
            </w:r>
          </w:p>
          <w:p w14:paraId="1F445E4C" w14:textId="77777777" w:rsidR="00D6597B"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t>Demonstrated e</w:t>
            </w:r>
            <w:r w:rsidRPr="00F41515">
              <w:rPr>
                <w:rFonts w:ascii="Calibri" w:hAnsi="Calibri" w:cs="Times New Roman"/>
                <w:sz w:val="20"/>
              </w:rPr>
              <w:t xml:space="preserve">xperience in budgeting, </w:t>
            </w:r>
            <w:r>
              <w:rPr>
                <w:rFonts w:ascii="Calibri" w:hAnsi="Calibri" w:cs="Times New Roman"/>
                <w:sz w:val="20"/>
              </w:rPr>
              <w:t>forecasting as well as</w:t>
            </w:r>
            <w:r w:rsidRPr="00F41515">
              <w:rPr>
                <w:rFonts w:ascii="Calibri" w:hAnsi="Calibri" w:cs="Times New Roman"/>
                <w:sz w:val="20"/>
              </w:rPr>
              <w:t xml:space="preserve"> management reporting.</w:t>
            </w:r>
          </w:p>
          <w:p w14:paraId="1CE23DB0" w14:textId="77777777" w:rsidR="00D6597B"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t>Proven ability to demonstrate a high level of attention to detail and accuracy/ efficiency of work</w:t>
            </w:r>
          </w:p>
          <w:p w14:paraId="2E6545A1" w14:textId="77777777" w:rsidR="00D6597B" w:rsidRPr="00860296"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t>Demonstrated e</w:t>
            </w:r>
            <w:r w:rsidRPr="00860296">
              <w:rPr>
                <w:rFonts w:ascii="Calibri" w:hAnsi="Calibri" w:cs="Times New Roman"/>
                <w:sz w:val="20"/>
              </w:rPr>
              <w:t>xperience in delivering quality, business-focused solutions in a large and complex organisation.</w:t>
            </w:r>
          </w:p>
          <w:p w14:paraId="7E2D1045" w14:textId="77777777" w:rsidR="00D6597B" w:rsidRPr="00F41515" w:rsidRDefault="00D6597B" w:rsidP="00D6597B">
            <w:pPr>
              <w:pStyle w:val="PATextBody"/>
              <w:numPr>
                <w:ilvl w:val="0"/>
                <w:numId w:val="25"/>
              </w:numPr>
              <w:tabs>
                <w:tab w:val="left" w:pos="2940"/>
              </w:tabs>
              <w:rPr>
                <w:rFonts w:ascii="Calibri" w:hAnsi="Calibri" w:cs="Times New Roman"/>
                <w:sz w:val="20"/>
              </w:rPr>
            </w:pPr>
            <w:r w:rsidRPr="00F41515">
              <w:rPr>
                <w:rFonts w:ascii="Calibri" w:hAnsi="Calibri" w:cs="Times New Roman"/>
                <w:sz w:val="20"/>
              </w:rPr>
              <w:t xml:space="preserve">Demonstrated ability to identify opportunities, develop solutions and implement process improvement changes. </w:t>
            </w:r>
          </w:p>
          <w:p w14:paraId="21D61EA7" w14:textId="77777777" w:rsidR="00D6597B" w:rsidRPr="00817222" w:rsidRDefault="00D6597B" w:rsidP="00D6597B">
            <w:pPr>
              <w:pStyle w:val="PATextBody"/>
              <w:numPr>
                <w:ilvl w:val="0"/>
                <w:numId w:val="25"/>
              </w:numPr>
              <w:tabs>
                <w:tab w:val="left" w:pos="2940"/>
              </w:tabs>
              <w:rPr>
                <w:rFonts w:ascii="Calibri" w:hAnsi="Calibri" w:cs="Times New Roman"/>
                <w:sz w:val="20"/>
              </w:rPr>
            </w:pPr>
            <w:r w:rsidRPr="00817222">
              <w:rPr>
                <w:rFonts w:ascii="Calibri" w:hAnsi="Calibri" w:cs="Times New Roman"/>
                <w:sz w:val="20"/>
              </w:rPr>
              <w:t xml:space="preserve">Demonstrated highly developed organisational and planning skills, with an ability </w:t>
            </w:r>
            <w:r>
              <w:rPr>
                <w:rFonts w:ascii="Calibri" w:hAnsi="Calibri" w:cs="Times New Roman"/>
                <w:sz w:val="20"/>
              </w:rPr>
              <w:t>to operate in a changing environment.</w:t>
            </w:r>
          </w:p>
          <w:p w14:paraId="2E62C29D" w14:textId="77777777" w:rsidR="00D6597B" w:rsidRDefault="00D6597B" w:rsidP="00D6597B">
            <w:pPr>
              <w:pStyle w:val="PATextBody"/>
              <w:numPr>
                <w:ilvl w:val="0"/>
                <w:numId w:val="25"/>
              </w:numPr>
              <w:tabs>
                <w:tab w:val="left" w:pos="2940"/>
              </w:tabs>
              <w:rPr>
                <w:rFonts w:ascii="Calibri" w:hAnsi="Calibri" w:cs="Times New Roman"/>
                <w:sz w:val="20"/>
              </w:rPr>
            </w:pPr>
            <w:r w:rsidRPr="00F41515">
              <w:rPr>
                <w:rFonts w:ascii="Calibri" w:hAnsi="Calibri" w:cs="Times New Roman"/>
                <w:sz w:val="20"/>
              </w:rPr>
              <w:t xml:space="preserve">Demonstrated high level communication, interpersonal and conflict resolution skills with the ability to </w:t>
            </w:r>
            <w:r>
              <w:rPr>
                <w:rFonts w:ascii="Calibri" w:hAnsi="Calibri" w:cs="Times New Roman"/>
                <w:sz w:val="20"/>
              </w:rPr>
              <w:t xml:space="preserve">engage with and influence internal stakeholders at all levels. </w:t>
            </w:r>
          </w:p>
          <w:p w14:paraId="1DD0C1A0" w14:textId="77777777" w:rsidR="00D6597B" w:rsidRPr="00F41515"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t xml:space="preserve">Demonstrated ability to work collaboratively within a high pressure environment. </w:t>
            </w:r>
          </w:p>
          <w:p w14:paraId="6CA0E0A1" w14:textId="77777777" w:rsidR="00D6597B" w:rsidRPr="00EF4F9A" w:rsidRDefault="00D6597B" w:rsidP="00D6597B">
            <w:pPr>
              <w:pStyle w:val="PATextBody"/>
              <w:numPr>
                <w:ilvl w:val="0"/>
                <w:numId w:val="25"/>
              </w:numPr>
              <w:tabs>
                <w:tab w:val="left" w:pos="2940"/>
              </w:tabs>
              <w:rPr>
                <w:rFonts w:ascii="Calibri" w:hAnsi="Calibri" w:cs="Times New Roman"/>
                <w:sz w:val="20"/>
              </w:rPr>
            </w:pPr>
            <w:r>
              <w:rPr>
                <w:rFonts w:ascii="Calibri" w:hAnsi="Calibri" w:cs="Times New Roman"/>
                <w:sz w:val="20"/>
              </w:rPr>
              <w:t xml:space="preserve">Proven ability to demonstrate strong report </w:t>
            </w:r>
            <w:r w:rsidRPr="00EF4F9A">
              <w:rPr>
                <w:rFonts w:ascii="Calibri" w:hAnsi="Calibri" w:cs="Times New Roman"/>
                <w:sz w:val="20"/>
              </w:rPr>
              <w:t>writing and presentation</w:t>
            </w:r>
            <w:r>
              <w:rPr>
                <w:rFonts w:ascii="Calibri" w:hAnsi="Calibri" w:cs="Times New Roman"/>
                <w:sz w:val="20"/>
              </w:rPr>
              <w:t xml:space="preserve"> skills</w:t>
            </w:r>
            <w:r w:rsidRPr="00EF4F9A">
              <w:rPr>
                <w:rFonts w:ascii="Calibri" w:hAnsi="Calibri" w:cs="Times New Roman"/>
                <w:sz w:val="20"/>
              </w:rPr>
              <w:t>.</w:t>
            </w:r>
          </w:p>
          <w:p w14:paraId="5EC6F909" w14:textId="72D66198" w:rsidR="005C346E" w:rsidRPr="00817222" w:rsidRDefault="00D6597B" w:rsidP="00D6597B">
            <w:pPr>
              <w:pStyle w:val="PATextBody"/>
              <w:numPr>
                <w:ilvl w:val="0"/>
                <w:numId w:val="25"/>
              </w:numPr>
              <w:tabs>
                <w:tab w:val="left" w:pos="2940"/>
              </w:tabs>
              <w:rPr>
                <w:rFonts w:ascii="Calibri" w:hAnsi="Calibri" w:cs="Times New Roman"/>
                <w:sz w:val="20"/>
              </w:rPr>
            </w:pPr>
            <w:r w:rsidRPr="00817222">
              <w:rPr>
                <w:rFonts w:ascii="Calibri" w:hAnsi="Calibri" w:cs="Times New Roman"/>
                <w:sz w:val="20"/>
              </w:rPr>
              <w:t xml:space="preserve">An understanding of and commitment to the ABC’s </w:t>
            </w:r>
            <w:hyperlink r:id="rId8" w:history="1">
              <w:r w:rsidRPr="00817222">
                <w:rPr>
                  <w:rFonts w:ascii="Calibri" w:hAnsi="Calibri" w:cs="Times New Roman"/>
                  <w:sz w:val="20"/>
                </w:rPr>
                <w:t xml:space="preserve">aims, </w:t>
              </w:r>
              <w:proofErr w:type="gramStart"/>
              <w:r w:rsidRPr="00817222">
                <w:rPr>
                  <w:rFonts w:ascii="Calibri" w:hAnsi="Calibri" w:cs="Times New Roman"/>
                  <w:sz w:val="20"/>
                </w:rPr>
                <w:t>values</w:t>
              </w:r>
              <w:proofErr w:type="gramEnd"/>
              <w:r w:rsidRPr="00817222">
                <w:rPr>
                  <w:rFonts w:ascii="Calibri" w:hAnsi="Calibri" w:cs="Times New Roman"/>
                  <w:sz w:val="20"/>
                </w:rPr>
                <w:t xml:space="preserve"> and workplace policies.</w:t>
              </w:r>
            </w:hyperlink>
          </w:p>
        </w:tc>
      </w:tr>
    </w:tbl>
    <w:p w14:paraId="248BECCF" w14:textId="77777777" w:rsidR="00527EE9" w:rsidRDefault="00527EE9" w:rsidP="003C1FD4"/>
    <w:sectPr w:rsidR="00527EE9" w:rsidSect="006B514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5"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FFC5" w14:textId="77777777" w:rsidR="001F23FB" w:rsidRDefault="001F23FB">
      <w:r>
        <w:separator/>
      </w:r>
    </w:p>
  </w:endnote>
  <w:endnote w:type="continuationSeparator" w:id="0">
    <w:p w14:paraId="67CE227C" w14:textId="77777777" w:rsidR="001F23FB" w:rsidRDefault="001F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10A1" w14:textId="77777777" w:rsidR="00974CAA" w:rsidRDefault="0097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478B" w14:textId="77777777" w:rsidR="00974CAA" w:rsidRDefault="00974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A103" w14:textId="77777777" w:rsidR="00974CAA" w:rsidRDefault="0097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BA5B" w14:textId="77777777" w:rsidR="001F23FB" w:rsidRDefault="001F23FB">
      <w:r>
        <w:separator/>
      </w:r>
    </w:p>
  </w:footnote>
  <w:footnote w:type="continuationSeparator" w:id="0">
    <w:p w14:paraId="410517AB" w14:textId="77777777" w:rsidR="001F23FB" w:rsidRDefault="001F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0603" w14:textId="77777777" w:rsidR="00974CAA" w:rsidRDefault="0097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7808" w14:textId="0F00BE2A" w:rsidR="00974CAA" w:rsidRPr="003B18A9" w:rsidRDefault="00974CAA">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B136" w14:textId="77777777" w:rsidR="00974CAA" w:rsidRDefault="0097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2D5"/>
    <w:multiLevelType w:val="hybridMultilevel"/>
    <w:tmpl w:val="67E65E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143F82"/>
    <w:multiLevelType w:val="hybridMultilevel"/>
    <w:tmpl w:val="3180660C"/>
    <w:lvl w:ilvl="0" w:tplc="0C090005">
      <w:start w:val="1"/>
      <w:numFmt w:val="bullet"/>
      <w:lvlText w:val=""/>
      <w:lvlJc w:val="left"/>
      <w:pPr>
        <w:tabs>
          <w:tab w:val="num" w:pos="454"/>
        </w:tabs>
        <w:ind w:left="454" w:hanging="397"/>
      </w:pPr>
      <w:rPr>
        <w:rFonts w:ascii="Wingdings" w:hAnsi="Wingdings" w:hint="default"/>
      </w:rPr>
    </w:lvl>
    <w:lvl w:ilvl="1" w:tplc="D080656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51156"/>
    <w:multiLevelType w:val="hybridMultilevel"/>
    <w:tmpl w:val="9244DC9A"/>
    <w:lvl w:ilvl="0" w:tplc="82C071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243E96"/>
    <w:multiLevelType w:val="hybridMultilevel"/>
    <w:tmpl w:val="6780F1CC"/>
    <w:lvl w:ilvl="0" w:tplc="0C090005">
      <w:start w:val="1"/>
      <w:numFmt w:val="bullet"/>
      <w:lvlText w:val=""/>
      <w:lvlJc w:val="left"/>
      <w:pPr>
        <w:tabs>
          <w:tab w:val="num" w:pos="454"/>
        </w:tabs>
        <w:ind w:left="454" w:hanging="397"/>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8673649"/>
    <w:multiLevelType w:val="hybridMultilevel"/>
    <w:tmpl w:val="AF804504"/>
    <w:lvl w:ilvl="0" w:tplc="0C090005">
      <w:start w:val="1"/>
      <w:numFmt w:val="bullet"/>
      <w:lvlText w:val=""/>
      <w:lvlJc w:val="left"/>
      <w:pPr>
        <w:tabs>
          <w:tab w:val="num" w:pos="454"/>
        </w:tabs>
        <w:ind w:left="454" w:hanging="397"/>
      </w:pPr>
      <w:rPr>
        <w:rFonts w:ascii="Wingdings" w:hAnsi="Wingdings" w:hint="default"/>
      </w:rPr>
    </w:lvl>
    <w:lvl w:ilvl="1" w:tplc="D080656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507D23"/>
    <w:multiLevelType w:val="hybridMultilevel"/>
    <w:tmpl w:val="B9CA02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70214"/>
    <w:multiLevelType w:val="hybridMultilevel"/>
    <w:tmpl w:val="06867F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192981"/>
    <w:multiLevelType w:val="hybridMultilevel"/>
    <w:tmpl w:val="5F581A2E"/>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9" w15:restartNumberingAfterBreak="0">
    <w:nsid w:val="3A644ADA"/>
    <w:multiLevelType w:val="hybridMultilevel"/>
    <w:tmpl w:val="518CBDA0"/>
    <w:lvl w:ilvl="0" w:tplc="48369472">
      <w:start w:val="5"/>
      <w:numFmt w:val="bullet"/>
      <w:lvlText w:val=""/>
      <w:lvlJc w:val="left"/>
      <w:pPr>
        <w:ind w:left="814" w:hanging="360"/>
      </w:pPr>
      <w:rPr>
        <w:rFonts w:ascii="Symbol" w:eastAsia="Times New Roman" w:hAnsi="Symbol" w:cs="Times New Roman"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0" w15:restartNumberingAfterBreak="0">
    <w:nsid w:val="47E84E23"/>
    <w:multiLevelType w:val="hybridMultilevel"/>
    <w:tmpl w:val="BF5EFAB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DC4F2B"/>
    <w:multiLevelType w:val="hybridMultilevel"/>
    <w:tmpl w:val="EB6C1B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C4D83"/>
    <w:multiLevelType w:val="hybridMultilevel"/>
    <w:tmpl w:val="E46EDA3E"/>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85314D"/>
    <w:multiLevelType w:val="hybridMultilevel"/>
    <w:tmpl w:val="A59607A2"/>
    <w:lvl w:ilvl="0" w:tplc="19682D3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01905"/>
    <w:multiLevelType w:val="hybridMultilevel"/>
    <w:tmpl w:val="F3D4C820"/>
    <w:lvl w:ilvl="0" w:tplc="0AA0E078">
      <w:start w:val="1"/>
      <w:numFmt w:val="decimal"/>
      <w:pStyle w:val="JDCompetencies"/>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207DEF"/>
    <w:multiLevelType w:val="hybridMultilevel"/>
    <w:tmpl w:val="260017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AC7F0E"/>
    <w:multiLevelType w:val="hybridMultilevel"/>
    <w:tmpl w:val="FEDE3D98"/>
    <w:lvl w:ilvl="0" w:tplc="0C090005">
      <w:start w:val="1"/>
      <w:numFmt w:val="bullet"/>
      <w:lvlText w:val=""/>
      <w:lvlJc w:val="left"/>
      <w:pPr>
        <w:tabs>
          <w:tab w:val="num" w:pos="454"/>
        </w:tabs>
        <w:ind w:left="454" w:hanging="397"/>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FB015E"/>
    <w:multiLevelType w:val="hybridMultilevel"/>
    <w:tmpl w:val="681EDA7A"/>
    <w:lvl w:ilvl="0" w:tplc="0C090005">
      <w:start w:val="1"/>
      <w:numFmt w:val="bullet"/>
      <w:lvlText w:val=""/>
      <w:lvlJc w:val="left"/>
      <w:pPr>
        <w:tabs>
          <w:tab w:val="num" w:pos="454"/>
        </w:tabs>
        <w:ind w:left="454" w:hanging="397"/>
      </w:pPr>
      <w:rPr>
        <w:rFonts w:ascii="Wingdings" w:hAnsi="Wingdings" w:hint="default"/>
      </w:rPr>
    </w:lvl>
    <w:lvl w:ilvl="1" w:tplc="738E9D8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20567B"/>
    <w:multiLevelType w:val="hybridMultilevel"/>
    <w:tmpl w:val="CF16365A"/>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D4329E"/>
    <w:multiLevelType w:val="hybridMultilevel"/>
    <w:tmpl w:val="E81039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1"/>
  </w:num>
  <w:num w:numId="5">
    <w:abstractNumId w:val="20"/>
  </w:num>
  <w:num w:numId="6">
    <w:abstractNumId w:val="16"/>
  </w:num>
  <w:num w:numId="7">
    <w:abstractNumId w:val="3"/>
  </w:num>
  <w:num w:numId="8">
    <w:abstractNumId w:val="9"/>
  </w:num>
  <w:num w:numId="9">
    <w:abstractNumId w:val="4"/>
  </w:num>
  <w:num w:numId="10">
    <w:abstractNumId w:val="14"/>
  </w:num>
  <w:num w:numId="11">
    <w:abstractNumId w:val="4"/>
  </w:num>
  <w:num w:numId="12">
    <w:abstractNumId w:val="6"/>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4"/>
  </w:num>
  <w:num w:numId="20">
    <w:abstractNumId w:val="15"/>
  </w:num>
  <w:num w:numId="21">
    <w:abstractNumId w:val="15"/>
  </w:num>
  <w:num w:numId="22">
    <w:abstractNumId w:val="15"/>
  </w:num>
  <w:num w:numId="23">
    <w:abstractNumId w:val="15"/>
  </w:num>
  <w:num w:numId="24">
    <w:abstractNumId w:val="15"/>
  </w:num>
  <w:num w:numId="25">
    <w:abstractNumId w:val="2"/>
  </w:num>
  <w:num w:numId="26">
    <w:abstractNumId w:val="1"/>
  </w:num>
  <w:num w:numId="27">
    <w:abstractNumId w:val="5"/>
  </w:num>
  <w:num w:numId="28">
    <w:abstractNumId w:val="15"/>
  </w:num>
  <w:num w:numId="29">
    <w:abstractNumId w:val="10"/>
  </w:num>
  <w:num w:numId="30">
    <w:abstractNumId w:val="12"/>
  </w:num>
  <w:num w:numId="31">
    <w:abstractNumId w:val="15"/>
  </w:num>
  <w:num w:numId="32">
    <w:abstractNumId w:val="15"/>
  </w:num>
  <w:num w:numId="33">
    <w:abstractNumId w:val="8"/>
  </w:num>
  <w:num w:numId="34">
    <w:abstractNumId w:val="15"/>
  </w:num>
  <w:num w:numId="35">
    <w:abstractNumId w:val="15"/>
  </w:num>
  <w:num w:numId="36">
    <w:abstractNumId w:val="17"/>
  </w:num>
  <w:num w:numId="37">
    <w:abstractNumId w:val="15"/>
  </w:num>
  <w:num w:numId="38">
    <w:abstractNumId w:val="15"/>
  </w:num>
  <w:num w:numId="39">
    <w:abstractNumId w:val="7"/>
  </w:num>
  <w:num w:numId="40">
    <w:abstractNumId w:val="15"/>
  </w:num>
  <w:num w:numId="4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4237"/>
    <w:rsid w:val="00031476"/>
    <w:rsid w:val="00036113"/>
    <w:rsid w:val="00043129"/>
    <w:rsid w:val="00054D81"/>
    <w:rsid w:val="00060FB0"/>
    <w:rsid w:val="00062963"/>
    <w:rsid w:val="00072730"/>
    <w:rsid w:val="00073C89"/>
    <w:rsid w:val="00076B1C"/>
    <w:rsid w:val="00081DE3"/>
    <w:rsid w:val="00084076"/>
    <w:rsid w:val="00086F20"/>
    <w:rsid w:val="0009130F"/>
    <w:rsid w:val="000921A0"/>
    <w:rsid w:val="00097149"/>
    <w:rsid w:val="000A16D7"/>
    <w:rsid w:val="000A4CD4"/>
    <w:rsid w:val="000D54DD"/>
    <w:rsid w:val="000E46BD"/>
    <w:rsid w:val="000E4EF7"/>
    <w:rsid w:val="000F2ED8"/>
    <w:rsid w:val="000F6B42"/>
    <w:rsid w:val="000F77AA"/>
    <w:rsid w:val="00100359"/>
    <w:rsid w:val="00104350"/>
    <w:rsid w:val="00105947"/>
    <w:rsid w:val="001079F5"/>
    <w:rsid w:val="001108DB"/>
    <w:rsid w:val="00114A23"/>
    <w:rsid w:val="00115BBF"/>
    <w:rsid w:val="00116534"/>
    <w:rsid w:val="001312B4"/>
    <w:rsid w:val="00136714"/>
    <w:rsid w:val="00136B50"/>
    <w:rsid w:val="00141EB4"/>
    <w:rsid w:val="001448B6"/>
    <w:rsid w:val="0015620F"/>
    <w:rsid w:val="00162671"/>
    <w:rsid w:val="00163542"/>
    <w:rsid w:val="00163FBE"/>
    <w:rsid w:val="00164C9D"/>
    <w:rsid w:val="00175BF6"/>
    <w:rsid w:val="001848FE"/>
    <w:rsid w:val="001A4408"/>
    <w:rsid w:val="001A46B1"/>
    <w:rsid w:val="001B17A6"/>
    <w:rsid w:val="001C0DD0"/>
    <w:rsid w:val="001C509C"/>
    <w:rsid w:val="001C7445"/>
    <w:rsid w:val="001E3FBD"/>
    <w:rsid w:val="001E67DA"/>
    <w:rsid w:val="001F0E4F"/>
    <w:rsid w:val="001F193F"/>
    <w:rsid w:val="001F23FB"/>
    <w:rsid w:val="001F7130"/>
    <w:rsid w:val="0020077F"/>
    <w:rsid w:val="00227380"/>
    <w:rsid w:val="002418B9"/>
    <w:rsid w:val="00242842"/>
    <w:rsid w:val="00243488"/>
    <w:rsid w:val="00243959"/>
    <w:rsid w:val="00251290"/>
    <w:rsid w:val="0025595E"/>
    <w:rsid w:val="00256A40"/>
    <w:rsid w:val="002602DA"/>
    <w:rsid w:val="002657CA"/>
    <w:rsid w:val="0026751B"/>
    <w:rsid w:val="00273B23"/>
    <w:rsid w:val="00280756"/>
    <w:rsid w:val="00293CA5"/>
    <w:rsid w:val="0029547E"/>
    <w:rsid w:val="00297CC8"/>
    <w:rsid w:val="002A3264"/>
    <w:rsid w:val="002B119A"/>
    <w:rsid w:val="002B7DDE"/>
    <w:rsid w:val="002D1C3C"/>
    <w:rsid w:val="002E1657"/>
    <w:rsid w:val="002E2F09"/>
    <w:rsid w:val="002F7130"/>
    <w:rsid w:val="003022D5"/>
    <w:rsid w:val="003061FA"/>
    <w:rsid w:val="00325EF8"/>
    <w:rsid w:val="00327BA6"/>
    <w:rsid w:val="00330CE5"/>
    <w:rsid w:val="003371A8"/>
    <w:rsid w:val="00341D20"/>
    <w:rsid w:val="00345425"/>
    <w:rsid w:val="003512EC"/>
    <w:rsid w:val="00352583"/>
    <w:rsid w:val="003533BC"/>
    <w:rsid w:val="0035549E"/>
    <w:rsid w:val="00367CC2"/>
    <w:rsid w:val="00371B04"/>
    <w:rsid w:val="003811A8"/>
    <w:rsid w:val="00387CD8"/>
    <w:rsid w:val="00394ABD"/>
    <w:rsid w:val="003A7CC7"/>
    <w:rsid w:val="003B1654"/>
    <w:rsid w:val="003B18A9"/>
    <w:rsid w:val="003B2643"/>
    <w:rsid w:val="003C1FD4"/>
    <w:rsid w:val="003D70ED"/>
    <w:rsid w:val="003E1015"/>
    <w:rsid w:val="003E189E"/>
    <w:rsid w:val="003E2CC2"/>
    <w:rsid w:val="003E4D21"/>
    <w:rsid w:val="003F139C"/>
    <w:rsid w:val="00410173"/>
    <w:rsid w:val="00411E56"/>
    <w:rsid w:val="00413755"/>
    <w:rsid w:val="004137A7"/>
    <w:rsid w:val="00437185"/>
    <w:rsid w:val="00443841"/>
    <w:rsid w:val="00445605"/>
    <w:rsid w:val="00445D5C"/>
    <w:rsid w:val="00453D89"/>
    <w:rsid w:val="00462B39"/>
    <w:rsid w:val="0046464B"/>
    <w:rsid w:val="00467C50"/>
    <w:rsid w:val="00482925"/>
    <w:rsid w:val="00490D91"/>
    <w:rsid w:val="004A1F10"/>
    <w:rsid w:val="004A51BE"/>
    <w:rsid w:val="004B4C42"/>
    <w:rsid w:val="004B4CB5"/>
    <w:rsid w:val="004B64E2"/>
    <w:rsid w:val="004C69E0"/>
    <w:rsid w:val="004C69ED"/>
    <w:rsid w:val="004D1195"/>
    <w:rsid w:val="004D58F6"/>
    <w:rsid w:val="004D74D2"/>
    <w:rsid w:val="004F4723"/>
    <w:rsid w:val="004F486C"/>
    <w:rsid w:val="004F71FB"/>
    <w:rsid w:val="00513947"/>
    <w:rsid w:val="005203EF"/>
    <w:rsid w:val="00527EE9"/>
    <w:rsid w:val="00531459"/>
    <w:rsid w:val="00531DF4"/>
    <w:rsid w:val="00534DC7"/>
    <w:rsid w:val="00551F17"/>
    <w:rsid w:val="00552D3A"/>
    <w:rsid w:val="0056033E"/>
    <w:rsid w:val="005700FA"/>
    <w:rsid w:val="00571480"/>
    <w:rsid w:val="005863A1"/>
    <w:rsid w:val="00591597"/>
    <w:rsid w:val="00591789"/>
    <w:rsid w:val="005A1B22"/>
    <w:rsid w:val="005A288B"/>
    <w:rsid w:val="005A2C5F"/>
    <w:rsid w:val="005B29C7"/>
    <w:rsid w:val="005C25BC"/>
    <w:rsid w:val="005C346E"/>
    <w:rsid w:val="005D0F2B"/>
    <w:rsid w:val="005D1295"/>
    <w:rsid w:val="005D3678"/>
    <w:rsid w:val="005D444C"/>
    <w:rsid w:val="006019DD"/>
    <w:rsid w:val="006030B4"/>
    <w:rsid w:val="006034F0"/>
    <w:rsid w:val="00605C3B"/>
    <w:rsid w:val="00605DFF"/>
    <w:rsid w:val="00624A61"/>
    <w:rsid w:val="00624F7C"/>
    <w:rsid w:val="0062550B"/>
    <w:rsid w:val="00632C45"/>
    <w:rsid w:val="00637CE7"/>
    <w:rsid w:val="006565A4"/>
    <w:rsid w:val="00656FE6"/>
    <w:rsid w:val="0066087F"/>
    <w:rsid w:val="006616CE"/>
    <w:rsid w:val="00670F30"/>
    <w:rsid w:val="00673C49"/>
    <w:rsid w:val="0068167C"/>
    <w:rsid w:val="0068454D"/>
    <w:rsid w:val="00697356"/>
    <w:rsid w:val="006A4561"/>
    <w:rsid w:val="006A477E"/>
    <w:rsid w:val="006A4F41"/>
    <w:rsid w:val="006A7AF4"/>
    <w:rsid w:val="006B514F"/>
    <w:rsid w:val="006B5FE4"/>
    <w:rsid w:val="006B60F5"/>
    <w:rsid w:val="006B7813"/>
    <w:rsid w:val="006C4903"/>
    <w:rsid w:val="006D7C1A"/>
    <w:rsid w:val="006E0720"/>
    <w:rsid w:val="006E19A6"/>
    <w:rsid w:val="006E78E3"/>
    <w:rsid w:val="006F522A"/>
    <w:rsid w:val="007020D9"/>
    <w:rsid w:val="00711720"/>
    <w:rsid w:val="00713861"/>
    <w:rsid w:val="00716D2B"/>
    <w:rsid w:val="00721749"/>
    <w:rsid w:val="00750D9E"/>
    <w:rsid w:val="007512E3"/>
    <w:rsid w:val="00754516"/>
    <w:rsid w:val="007549EA"/>
    <w:rsid w:val="007579F6"/>
    <w:rsid w:val="0076412C"/>
    <w:rsid w:val="00775813"/>
    <w:rsid w:val="007806D3"/>
    <w:rsid w:val="00784629"/>
    <w:rsid w:val="00794D8A"/>
    <w:rsid w:val="007A4E6D"/>
    <w:rsid w:val="007A58DB"/>
    <w:rsid w:val="007B052E"/>
    <w:rsid w:val="007B3A99"/>
    <w:rsid w:val="007C016A"/>
    <w:rsid w:val="007C06C2"/>
    <w:rsid w:val="007C44C8"/>
    <w:rsid w:val="007D2031"/>
    <w:rsid w:val="007D2934"/>
    <w:rsid w:val="007D2B8E"/>
    <w:rsid w:val="007D3FEC"/>
    <w:rsid w:val="007D44B6"/>
    <w:rsid w:val="007D4FDA"/>
    <w:rsid w:val="007D6D68"/>
    <w:rsid w:val="007E51F1"/>
    <w:rsid w:val="007F0A47"/>
    <w:rsid w:val="007F3112"/>
    <w:rsid w:val="00802E0B"/>
    <w:rsid w:val="00803BC9"/>
    <w:rsid w:val="008055E0"/>
    <w:rsid w:val="008126E9"/>
    <w:rsid w:val="008165CE"/>
    <w:rsid w:val="008169EC"/>
    <w:rsid w:val="0081713F"/>
    <w:rsid w:val="00817222"/>
    <w:rsid w:val="00820D62"/>
    <w:rsid w:val="008271CF"/>
    <w:rsid w:val="008331C1"/>
    <w:rsid w:val="00834137"/>
    <w:rsid w:val="00847375"/>
    <w:rsid w:val="0085274C"/>
    <w:rsid w:val="008530C8"/>
    <w:rsid w:val="00860296"/>
    <w:rsid w:val="00874995"/>
    <w:rsid w:val="00880DF9"/>
    <w:rsid w:val="008822B4"/>
    <w:rsid w:val="008832F2"/>
    <w:rsid w:val="00892003"/>
    <w:rsid w:val="00893FC6"/>
    <w:rsid w:val="00896039"/>
    <w:rsid w:val="008A26BC"/>
    <w:rsid w:val="008A4955"/>
    <w:rsid w:val="008B4582"/>
    <w:rsid w:val="008C0ED7"/>
    <w:rsid w:val="008C55A3"/>
    <w:rsid w:val="008C760A"/>
    <w:rsid w:val="008E1658"/>
    <w:rsid w:val="008F02C9"/>
    <w:rsid w:val="008F23B8"/>
    <w:rsid w:val="009225EB"/>
    <w:rsid w:val="009239A2"/>
    <w:rsid w:val="009306E2"/>
    <w:rsid w:val="00930AE3"/>
    <w:rsid w:val="0095513D"/>
    <w:rsid w:val="009556F8"/>
    <w:rsid w:val="00956028"/>
    <w:rsid w:val="00960B17"/>
    <w:rsid w:val="00963278"/>
    <w:rsid w:val="00967CCB"/>
    <w:rsid w:val="00974CAA"/>
    <w:rsid w:val="00975596"/>
    <w:rsid w:val="00991999"/>
    <w:rsid w:val="00995266"/>
    <w:rsid w:val="00997ACE"/>
    <w:rsid w:val="009B6DC6"/>
    <w:rsid w:val="009B772A"/>
    <w:rsid w:val="009D1251"/>
    <w:rsid w:val="009D2D59"/>
    <w:rsid w:val="009E6A09"/>
    <w:rsid w:val="009F0BC4"/>
    <w:rsid w:val="009F0FDD"/>
    <w:rsid w:val="00A0267D"/>
    <w:rsid w:val="00A074BC"/>
    <w:rsid w:val="00A165BD"/>
    <w:rsid w:val="00A178E7"/>
    <w:rsid w:val="00A30380"/>
    <w:rsid w:val="00A36257"/>
    <w:rsid w:val="00A44626"/>
    <w:rsid w:val="00A46761"/>
    <w:rsid w:val="00A5713C"/>
    <w:rsid w:val="00A74791"/>
    <w:rsid w:val="00A77852"/>
    <w:rsid w:val="00A80526"/>
    <w:rsid w:val="00AA2DF3"/>
    <w:rsid w:val="00AA5A9B"/>
    <w:rsid w:val="00AB0D6A"/>
    <w:rsid w:val="00AB6D67"/>
    <w:rsid w:val="00AC1B43"/>
    <w:rsid w:val="00AC4E63"/>
    <w:rsid w:val="00AE1099"/>
    <w:rsid w:val="00AE17F8"/>
    <w:rsid w:val="00AE5823"/>
    <w:rsid w:val="00AE5FA5"/>
    <w:rsid w:val="00B01632"/>
    <w:rsid w:val="00B03E55"/>
    <w:rsid w:val="00B10ECA"/>
    <w:rsid w:val="00B33C83"/>
    <w:rsid w:val="00B51BA5"/>
    <w:rsid w:val="00B664DC"/>
    <w:rsid w:val="00B705A7"/>
    <w:rsid w:val="00B95AC8"/>
    <w:rsid w:val="00BC5566"/>
    <w:rsid w:val="00BE45E5"/>
    <w:rsid w:val="00BE4CE6"/>
    <w:rsid w:val="00BF6C5F"/>
    <w:rsid w:val="00C079B4"/>
    <w:rsid w:val="00C23597"/>
    <w:rsid w:val="00C24D90"/>
    <w:rsid w:val="00C26F07"/>
    <w:rsid w:val="00C31424"/>
    <w:rsid w:val="00C35516"/>
    <w:rsid w:val="00C50FFB"/>
    <w:rsid w:val="00C60865"/>
    <w:rsid w:val="00C7029F"/>
    <w:rsid w:val="00C7106F"/>
    <w:rsid w:val="00C748B5"/>
    <w:rsid w:val="00C8384F"/>
    <w:rsid w:val="00C97CA7"/>
    <w:rsid w:val="00CA55B9"/>
    <w:rsid w:val="00CB7FAA"/>
    <w:rsid w:val="00CC30E8"/>
    <w:rsid w:val="00CC3AB5"/>
    <w:rsid w:val="00CC7E07"/>
    <w:rsid w:val="00CD3794"/>
    <w:rsid w:val="00CD61BA"/>
    <w:rsid w:val="00CD7EC0"/>
    <w:rsid w:val="00CE2034"/>
    <w:rsid w:val="00CE567B"/>
    <w:rsid w:val="00CE597A"/>
    <w:rsid w:val="00CF6BF1"/>
    <w:rsid w:val="00D048F3"/>
    <w:rsid w:val="00D06314"/>
    <w:rsid w:val="00D075F5"/>
    <w:rsid w:val="00D11929"/>
    <w:rsid w:val="00D12A06"/>
    <w:rsid w:val="00D14593"/>
    <w:rsid w:val="00D15852"/>
    <w:rsid w:val="00D15A96"/>
    <w:rsid w:val="00D25D34"/>
    <w:rsid w:val="00D2665C"/>
    <w:rsid w:val="00D56A17"/>
    <w:rsid w:val="00D6597B"/>
    <w:rsid w:val="00D67633"/>
    <w:rsid w:val="00D70B74"/>
    <w:rsid w:val="00D71286"/>
    <w:rsid w:val="00D71DC9"/>
    <w:rsid w:val="00D72995"/>
    <w:rsid w:val="00D72C17"/>
    <w:rsid w:val="00D86307"/>
    <w:rsid w:val="00D91D9A"/>
    <w:rsid w:val="00DA6044"/>
    <w:rsid w:val="00DB7CD5"/>
    <w:rsid w:val="00DC2E02"/>
    <w:rsid w:val="00DC2E4B"/>
    <w:rsid w:val="00DD5F5B"/>
    <w:rsid w:val="00DE3AA1"/>
    <w:rsid w:val="00DF308D"/>
    <w:rsid w:val="00DF43FC"/>
    <w:rsid w:val="00E01CE1"/>
    <w:rsid w:val="00E04F6E"/>
    <w:rsid w:val="00E06A4E"/>
    <w:rsid w:val="00E11AD1"/>
    <w:rsid w:val="00E16DE6"/>
    <w:rsid w:val="00E221B9"/>
    <w:rsid w:val="00E22426"/>
    <w:rsid w:val="00E233AB"/>
    <w:rsid w:val="00E34553"/>
    <w:rsid w:val="00E42D7E"/>
    <w:rsid w:val="00E45E9A"/>
    <w:rsid w:val="00E47EA4"/>
    <w:rsid w:val="00E51F65"/>
    <w:rsid w:val="00E60EB7"/>
    <w:rsid w:val="00E72C72"/>
    <w:rsid w:val="00E75A98"/>
    <w:rsid w:val="00E823A4"/>
    <w:rsid w:val="00EA34CE"/>
    <w:rsid w:val="00EA6937"/>
    <w:rsid w:val="00EB32A9"/>
    <w:rsid w:val="00EC1793"/>
    <w:rsid w:val="00EC69D1"/>
    <w:rsid w:val="00EC7658"/>
    <w:rsid w:val="00ED2FE5"/>
    <w:rsid w:val="00ED558A"/>
    <w:rsid w:val="00ED74EC"/>
    <w:rsid w:val="00EE0E63"/>
    <w:rsid w:val="00EE3D71"/>
    <w:rsid w:val="00EF1B53"/>
    <w:rsid w:val="00EF5A85"/>
    <w:rsid w:val="00F0177E"/>
    <w:rsid w:val="00F0264B"/>
    <w:rsid w:val="00F03394"/>
    <w:rsid w:val="00F05606"/>
    <w:rsid w:val="00F13438"/>
    <w:rsid w:val="00F16999"/>
    <w:rsid w:val="00F2214B"/>
    <w:rsid w:val="00F25A78"/>
    <w:rsid w:val="00F27217"/>
    <w:rsid w:val="00F32514"/>
    <w:rsid w:val="00F340A7"/>
    <w:rsid w:val="00F342BE"/>
    <w:rsid w:val="00F36C18"/>
    <w:rsid w:val="00F40B17"/>
    <w:rsid w:val="00F41515"/>
    <w:rsid w:val="00F709B5"/>
    <w:rsid w:val="00F80D3D"/>
    <w:rsid w:val="00F85D15"/>
    <w:rsid w:val="00F90D17"/>
    <w:rsid w:val="00F9505D"/>
    <w:rsid w:val="00F96D8B"/>
    <w:rsid w:val="00FA2246"/>
    <w:rsid w:val="00FB2C96"/>
    <w:rsid w:val="00FB5853"/>
    <w:rsid w:val="00FC5119"/>
    <w:rsid w:val="00FD0022"/>
    <w:rsid w:val="00FE2A92"/>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A2B60"/>
  <w15:docId w15:val="{86ACE6E6-3AC1-4945-8F7F-AD59827D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46464B"/>
    <w:pPr>
      <w:numPr>
        <w:numId w:val="3"/>
      </w:numPr>
      <w:tabs>
        <w:tab w:val="left" w:pos="794"/>
      </w:tabs>
      <w:spacing w:after="60"/>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link w:val="ListParagraphChar"/>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character" w:styleId="Hyperlink">
    <w:name w:val="Hyperlink"/>
    <w:basedOn w:val="DefaultParagraphFont"/>
    <w:uiPriority w:val="99"/>
    <w:unhideWhenUsed/>
    <w:rsid w:val="00327BA6"/>
    <w:rPr>
      <w:color w:val="0000FF"/>
      <w:u w:val="single"/>
    </w:rPr>
  </w:style>
  <w:style w:type="paragraph" w:customStyle="1" w:styleId="PATextBody">
    <w:name w:val="PA Text Body"/>
    <w:basedOn w:val="Normal"/>
    <w:qFormat/>
    <w:rsid w:val="00DC2E4B"/>
    <w:pPr>
      <w:overflowPunct/>
      <w:autoSpaceDE/>
      <w:autoSpaceDN/>
      <w:adjustRightInd/>
      <w:spacing w:before="120" w:after="120"/>
      <w:textAlignment w:val="auto"/>
    </w:pPr>
    <w:rPr>
      <w:rFonts w:ascii="Arial" w:hAnsi="Arial" w:cs="Calibri"/>
      <w:iCs/>
      <w:sz w:val="18"/>
    </w:rPr>
  </w:style>
  <w:style w:type="paragraph" w:customStyle="1" w:styleId="JD-Comp">
    <w:name w:val="JD - Comp"/>
    <w:basedOn w:val="Normal"/>
    <w:rsid w:val="00817222"/>
    <w:pPr>
      <w:tabs>
        <w:tab w:val="num" w:pos="454"/>
        <w:tab w:val="left" w:pos="720"/>
      </w:tabs>
      <w:spacing w:before="80" w:after="60"/>
      <w:ind w:left="454" w:hanging="397"/>
      <w:textAlignment w:val="auto"/>
    </w:pPr>
    <w:rPr>
      <w:rFonts w:ascii="Times New Roman" w:hAnsi="Times New Roman"/>
      <w:sz w:val="20"/>
      <w:szCs w:val="24"/>
    </w:rPr>
  </w:style>
  <w:style w:type="paragraph" w:styleId="NoSpacing">
    <w:name w:val="No Spacing"/>
    <w:uiPriority w:val="1"/>
    <w:qFormat/>
    <w:rsid w:val="0029547E"/>
    <w:pPr>
      <w:overflowPunct w:val="0"/>
      <w:autoSpaceDE w:val="0"/>
      <w:autoSpaceDN w:val="0"/>
      <w:adjustRightInd w:val="0"/>
      <w:textAlignment w:val="baseline"/>
    </w:pPr>
    <w:rPr>
      <w:sz w:val="24"/>
      <w:lang w:eastAsia="en-US"/>
    </w:rPr>
  </w:style>
  <w:style w:type="character" w:customStyle="1" w:styleId="ListParagraphChar">
    <w:name w:val="List Paragraph Char"/>
    <w:basedOn w:val="DefaultParagraphFont"/>
    <w:link w:val="ListParagraph"/>
    <w:uiPriority w:val="34"/>
    <w:rsid w:val="00632C45"/>
    <w:rPr>
      <w:rFonts w:ascii="Times New Roman" w:hAnsi="Times New Roman"/>
      <w:sz w:val="22"/>
      <w:lang w:eastAsia="en-US"/>
    </w:rPr>
  </w:style>
  <w:style w:type="character" w:styleId="CommentReference">
    <w:name w:val="annotation reference"/>
    <w:basedOn w:val="DefaultParagraphFont"/>
    <w:semiHidden/>
    <w:unhideWhenUsed/>
    <w:rsid w:val="00115BBF"/>
    <w:rPr>
      <w:sz w:val="16"/>
      <w:szCs w:val="16"/>
    </w:rPr>
  </w:style>
  <w:style w:type="paragraph" w:styleId="CommentText">
    <w:name w:val="annotation text"/>
    <w:basedOn w:val="Normal"/>
    <w:link w:val="CommentTextChar"/>
    <w:semiHidden/>
    <w:unhideWhenUsed/>
    <w:rsid w:val="00115BBF"/>
    <w:rPr>
      <w:sz w:val="20"/>
    </w:rPr>
  </w:style>
  <w:style w:type="character" w:customStyle="1" w:styleId="CommentTextChar">
    <w:name w:val="Comment Text Char"/>
    <w:basedOn w:val="DefaultParagraphFont"/>
    <w:link w:val="CommentText"/>
    <w:semiHidden/>
    <w:rsid w:val="00115BBF"/>
    <w:rPr>
      <w:lang w:eastAsia="en-US"/>
    </w:rPr>
  </w:style>
  <w:style w:type="paragraph" w:styleId="CommentSubject">
    <w:name w:val="annotation subject"/>
    <w:basedOn w:val="CommentText"/>
    <w:next w:val="CommentText"/>
    <w:link w:val="CommentSubjectChar"/>
    <w:semiHidden/>
    <w:unhideWhenUsed/>
    <w:rsid w:val="00115BBF"/>
    <w:rPr>
      <w:b/>
      <w:bCs/>
    </w:rPr>
  </w:style>
  <w:style w:type="character" w:customStyle="1" w:styleId="CommentSubjectChar">
    <w:name w:val="Comment Subject Char"/>
    <w:basedOn w:val="CommentTextChar"/>
    <w:link w:val="CommentSubject"/>
    <w:semiHidden/>
    <w:rsid w:val="00115B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175">
      <w:bodyDiv w:val="1"/>
      <w:marLeft w:val="0"/>
      <w:marRight w:val="0"/>
      <w:marTop w:val="0"/>
      <w:marBottom w:val="0"/>
      <w:divBdr>
        <w:top w:val="none" w:sz="0" w:space="0" w:color="auto"/>
        <w:left w:val="none" w:sz="0" w:space="0" w:color="auto"/>
        <w:bottom w:val="none" w:sz="0" w:space="0" w:color="auto"/>
        <w:right w:val="none" w:sz="0" w:space="0" w:color="auto"/>
      </w:divBdr>
    </w:div>
    <w:div w:id="1155146938">
      <w:bodyDiv w:val="1"/>
      <w:marLeft w:val="0"/>
      <w:marRight w:val="0"/>
      <w:marTop w:val="0"/>
      <w:marBottom w:val="0"/>
      <w:divBdr>
        <w:top w:val="none" w:sz="0" w:space="0" w:color="auto"/>
        <w:left w:val="none" w:sz="0" w:space="0" w:color="auto"/>
        <w:bottom w:val="none" w:sz="0" w:space="0" w:color="auto"/>
        <w:right w:val="none" w:sz="0" w:space="0" w:color="auto"/>
      </w:divBdr>
    </w:div>
    <w:div w:id="16285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ut.abc.net.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88C61-9737-407E-908C-A94727C2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Isabella Basile (Balacco)</cp:lastModifiedBy>
  <cp:revision>2</cp:revision>
  <cp:lastPrinted>2017-01-05T00:02:00Z</cp:lastPrinted>
  <dcterms:created xsi:type="dcterms:W3CDTF">2017-02-07T03:08:00Z</dcterms:created>
  <dcterms:modified xsi:type="dcterms:W3CDTF">2017-02-07T03:08:00Z</dcterms:modified>
</cp:coreProperties>
</file>