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120B" w14:textId="4991409E" w:rsidR="0014491D" w:rsidRDefault="00DC5FAD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 xml:space="preserve">Humanitarian Settlement Program - </w:t>
      </w:r>
      <w:r w:rsidR="0034038D">
        <w:rPr>
          <w:rFonts w:ascii="Segoe UI" w:hAnsi="Segoe UI" w:cs="Segoe UI"/>
          <w:color w:val="3F9C35"/>
          <w:sz w:val="36"/>
          <w:szCs w:val="48"/>
        </w:rPr>
        <w:t xml:space="preserve">Home </w:t>
      </w:r>
      <w:r>
        <w:rPr>
          <w:rFonts w:ascii="Segoe UI" w:hAnsi="Segoe UI" w:cs="Segoe UI"/>
          <w:color w:val="3F9C35"/>
          <w:sz w:val="36"/>
          <w:szCs w:val="48"/>
        </w:rPr>
        <w:t>and Community Support Volunteer</w:t>
      </w:r>
    </w:p>
    <w:p w14:paraId="41DE013E" w14:textId="77777777" w:rsidR="006D4CD4" w:rsidRPr="00100E2D" w:rsidRDefault="006D4CD4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14:paraId="7181120E" w14:textId="77777777" w:rsidTr="00FB7EC7">
        <w:tc>
          <w:tcPr>
            <w:tcW w:w="1951" w:type="dxa"/>
          </w:tcPr>
          <w:p w14:paraId="7181120C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7181120D" w14:textId="0A73BBAE" w:rsidR="00FB7EC7" w:rsidRPr="000452F4" w:rsidRDefault="006D4CD4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0452F4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 xml:space="preserve">Migration Support Program </w:t>
            </w:r>
          </w:p>
        </w:tc>
      </w:tr>
      <w:tr w:rsidR="00FB7EC7" w:rsidRPr="00D53A24" w14:paraId="71811211" w14:textId="77777777" w:rsidTr="00FB7EC7">
        <w:tc>
          <w:tcPr>
            <w:tcW w:w="1951" w:type="dxa"/>
          </w:tcPr>
          <w:p w14:paraId="7181120F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71811210" w14:textId="46716F2F" w:rsidR="00FB7EC7" w:rsidRPr="000452F4" w:rsidRDefault="006D4CD4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0452F4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 xml:space="preserve">Flexible, minimum 2 hours per week, ongoing </w:t>
            </w:r>
          </w:p>
        </w:tc>
      </w:tr>
      <w:tr w:rsidR="00FB7EC7" w:rsidRPr="00D53A24" w14:paraId="71811214" w14:textId="77777777" w:rsidTr="00FB7EC7">
        <w:tc>
          <w:tcPr>
            <w:tcW w:w="1951" w:type="dxa"/>
          </w:tcPr>
          <w:p w14:paraId="71811212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71811213" w14:textId="484E9D76" w:rsidR="00FB7EC7" w:rsidRPr="000452F4" w:rsidRDefault="001232CC" w:rsidP="00522F8C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Wollongong / Illawarra</w:t>
            </w:r>
            <w:bookmarkStart w:id="1" w:name="_GoBack"/>
            <w:bookmarkEnd w:id="1"/>
          </w:p>
        </w:tc>
      </w:tr>
      <w:tr w:rsidR="00FB7EC7" w:rsidRPr="00D53A24" w14:paraId="71811219" w14:textId="77777777" w:rsidTr="00FB7EC7">
        <w:tc>
          <w:tcPr>
            <w:tcW w:w="1951" w:type="dxa"/>
          </w:tcPr>
          <w:p w14:paraId="71811215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71811218" w14:textId="4719BFC0" w:rsidR="00FB7EC7" w:rsidRPr="000452F4" w:rsidRDefault="00FB7EC7" w:rsidP="006D4CD4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 w:rsidRPr="000452F4">
              <w:rPr>
                <w:rStyle w:val="textChar"/>
                <w:rFonts w:ascii="Segoe UI" w:hAnsi="Segoe UI" w:cs="Segoe UI"/>
                <w:lang w:val="en-AU"/>
              </w:rPr>
              <w:t>Worki</w:t>
            </w:r>
            <w:r w:rsidR="006D4CD4" w:rsidRPr="000452F4">
              <w:rPr>
                <w:rStyle w:val="textChar"/>
                <w:rFonts w:ascii="Segoe UI" w:hAnsi="Segoe UI" w:cs="Segoe UI"/>
                <w:lang w:val="en-AU"/>
              </w:rPr>
              <w:t>ng in our Services and Programs</w:t>
            </w:r>
          </w:p>
        </w:tc>
      </w:tr>
      <w:tr w:rsidR="00FB7EC7" w:rsidRPr="00D53A24" w14:paraId="7181121B" w14:textId="77777777" w:rsidTr="0034038D">
        <w:tc>
          <w:tcPr>
            <w:tcW w:w="9647" w:type="dxa"/>
            <w:gridSpan w:val="2"/>
          </w:tcPr>
          <w:p w14:paraId="7181121A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14:paraId="7181121F" w14:textId="77777777" w:rsidTr="0034038D">
        <w:tc>
          <w:tcPr>
            <w:tcW w:w="9647" w:type="dxa"/>
            <w:gridSpan w:val="2"/>
          </w:tcPr>
          <w:p w14:paraId="22877B30" w14:textId="3FF0EADD" w:rsidR="00EA356E" w:rsidRDefault="00C4537D" w:rsidP="006D4CD4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14:paraId="186EF28F" w14:textId="77777777" w:rsidR="00C4537D" w:rsidRPr="00C4537D" w:rsidRDefault="00C4537D" w:rsidP="006D4CD4">
            <w:pPr>
              <w:pStyle w:val="headinglevel1"/>
              <w:spacing w:before="120" w:after="120" w:line="240" w:lineRule="auto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</w:p>
          <w:p w14:paraId="7577D6CE" w14:textId="1BF74357" w:rsidR="00EA356E" w:rsidRDefault="006D4CD4" w:rsidP="00EA356E">
            <w:pPr>
              <w:pStyle w:val="headinglevel1"/>
              <w:spacing w:before="120" w:after="120" w:line="240" w:lineRule="auto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>Red Cross volunteers are a vital connection between refugee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>s and their new communities.</w:t>
            </w: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="00EA356E">
              <w:rPr>
                <w:rFonts w:ascii="Segoe UI" w:hAnsi="Segoe UI" w:cs="Segoe UI"/>
                <w:sz w:val="22"/>
                <w:szCs w:val="22"/>
                <w:lang w:val="en-AU"/>
              </w:rPr>
              <w:t>As part of the Human</w:t>
            </w:r>
            <w:r w:rsidR="00AB2ADD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itarian Settlement Program you </w:t>
            </w:r>
            <w:r w:rsidR="00EA356E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will contribute to creating a friendly and inclusive </w:t>
            </w:r>
            <w:r w:rsidR="00EA356E"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environment that will help newly arrived refugees </w:t>
            </w:r>
            <w:r w:rsidR="00EA356E">
              <w:rPr>
                <w:rFonts w:ascii="Segoe UI" w:hAnsi="Segoe UI" w:cs="Segoe UI"/>
                <w:sz w:val="22"/>
                <w:szCs w:val="22"/>
                <w:lang w:val="en-AU"/>
              </w:rPr>
              <w:t>feel welcome.</w:t>
            </w:r>
          </w:p>
          <w:p w14:paraId="04EC8053" w14:textId="03BDC3A2" w:rsidR="006D4CD4" w:rsidRDefault="00EA356E" w:rsidP="006D4CD4">
            <w:pPr>
              <w:pStyle w:val="headinglevel1"/>
              <w:spacing w:before="120" w:after="120" w:line="240" w:lineRule="auto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Home a</w:t>
            </w:r>
            <w:r w:rsidR="00AB2ADD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nd Community Support Volunteers</w:t>
            </w: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help </w:t>
            </w:r>
            <w:r w:rsidR="006D4CD4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refugees as they begin their lives in Australia by </w:t>
            </w: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assisting with practical settlement needs. You will</w:t>
            </w:r>
            <w:r w:rsidR="00AB2ADD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also</w:t>
            </w: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help </w:t>
            </w:r>
            <w:r w:rsidR="006D4CD4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build new skills</w:t>
            </w: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and confidence in refugees</w:t>
            </w:r>
            <w:r w:rsidR="00AB2ADD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,</w:t>
            </w:r>
            <w:r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so that they will be able </w:t>
            </w:r>
            <w:r w:rsidR="00AB2ADD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participate</w:t>
            </w:r>
            <w:r w:rsidR="00F13C6F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in and enjoy </w:t>
            </w:r>
            <w:r w:rsidR="006D4CD4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Australian life.  </w:t>
            </w:r>
          </w:p>
          <w:p w14:paraId="7181121E" w14:textId="5EA64A31" w:rsidR="00C4537D" w:rsidRPr="006D4CD4" w:rsidRDefault="00AB2ADD" w:rsidP="00383894">
            <w:pPr>
              <w:pStyle w:val="headinglevel1"/>
              <w:spacing w:before="120" w:after="120" w:line="240" w:lineRule="auto"/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This</w:t>
            </w:r>
            <w:r w:rsidR="0038389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highly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rewarding </w:t>
            </w:r>
            <w:r w:rsidR="00EA356E">
              <w:rPr>
                <w:rFonts w:ascii="Segoe UI" w:hAnsi="Segoe UI" w:cs="Segoe UI"/>
                <w:sz w:val="22"/>
                <w:szCs w:val="22"/>
                <w:lang w:val="en-AU"/>
              </w:rPr>
              <w:t>role consists of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a range of tasks that are structured around the </w:t>
            </w:r>
            <w:r w:rsidR="00EA356E">
              <w:rPr>
                <w:rFonts w:ascii="Segoe UI" w:hAnsi="Segoe UI" w:cs="Segoe UI"/>
                <w:sz w:val="22"/>
                <w:szCs w:val="22"/>
                <w:lang w:val="en-AU"/>
              </w:rPr>
              <w:t>refugee’s individual situation. Volunteers work closely with Red Cross case workers and other volunteers in a supportive environment where training and conti</w:t>
            </w:r>
            <w:r w:rsidR="00F13C6F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nuous development is provided. </w:t>
            </w:r>
          </w:p>
        </w:tc>
      </w:tr>
      <w:tr w:rsidR="00FB7EC7" w:rsidRPr="00D53A24" w14:paraId="71811228" w14:textId="77777777" w:rsidTr="0034038D">
        <w:tc>
          <w:tcPr>
            <w:tcW w:w="9647" w:type="dxa"/>
            <w:gridSpan w:val="2"/>
          </w:tcPr>
          <w:p w14:paraId="71811220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14:paraId="051BA667" w14:textId="5AA4FA25" w:rsidR="00AB2ADD" w:rsidRDefault="00F13C6F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Provide p</w:t>
            </w:r>
            <w:r w:rsidR="00AB2ADD" w:rsidRPr="00AB2AD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hysical help to set up a house – making beds, sett</w:t>
            </w:r>
            <w:r w:rsidR="00AB2AD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ing up kitchens etc. before refugees</w:t>
            </w:r>
            <w:r w:rsidR="00AB2ADD" w:rsidRPr="00AB2AD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arrive.</w:t>
            </w:r>
          </w:p>
          <w:p w14:paraId="41C12F18" w14:textId="1B185386" w:rsidR="00AB2ADD" w:rsidRPr="00AB2ADD" w:rsidRDefault="00AB2ADD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Meet</w:t>
            </w:r>
            <w:r w:rsidRPr="00AB2AD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 family with a case worke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 when they arrive in Wagga Wagga</w:t>
            </w:r>
            <w:r w:rsidRPr="00AB2AD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welcome them a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nd orient them to their new home. </w:t>
            </w:r>
          </w:p>
          <w:p w14:paraId="2B855AC6" w14:textId="077A84C3" w:rsidR="00AB2ADD" w:rsidRDefault="00AB2ADD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de practical support to assist with client’s orientation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into their community, for example; accompanying them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shops, teaching about public transport or pointing out local amenities such as post office and schools. </w:t>
            </w:r>
          </w:p>
          <w:p w14:paraId="77F9BB03" w14:textId="23AF47D7" w:rsidR="00F13C6F" w:rsidRDefault="00F13C6F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Facilitate ongoing community connections by for example visit</w:t>
            </w:r>
            <w:r w:rsidR="00C4537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ing a local farmers market or introducing the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client </w:t>
            </w:r>
            <w:r w:rsidR="00C4537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to another family in the area. </w:t>
            </w:r>
          </w:p>
          <w:p w14:paraId="71811223" w14:textId="600B9E0B" w:rsidR="00FB7EC7" w:rsidRPr="00D53A24" w:rsidRDefault="00F13C6F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Maintain</w:t>
            </w:r>
            <w:r w:rsidR="00FB7EC7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consistent communication as agreed with Red Cross case workers and volunteer engagement officer. </w:t>
            </w:r>
          </w:p>
          <w:p w14:paraId="71811224" w14:textId="38BAF81E" w:rsidR="00FB7EC7" w:rsidRPr="00D53A24" w:rsidRDefault="00FB7EC7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Report any incidents in relation to the client’s health, welfare or well being, to Red Cross staff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71811225" w14:textId="3022302A" w:rsidR="00FB7EC7" w:rsidRPr="00D53A24" w:rsidRDefault="00FB7EC7" w:rsidP="008E792B">
            <w:pPr>
              <w:pStyle w:val="textinred"/>
              <w:numPr>
                <w:ilvl w:val="0"/>
                <w:numId w:val="22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 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client </w:t>
            </w: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confidentiality unless this information must be disclo</w:t>
            </w:r>
            <w:r w:rsidR="00C842A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sed to Red Cross to assist the client</w:t>
            </w:r>
            <w:r w:rsidR="004751B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14:paraId="71811227" w14:textId="5BBF4173" w:rsidR="00FB7EC7" w:rsidRPr="00FB7EC7" w:rsidRDefault="00FB7EC7" w:rsidP="008E792B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lastRenderedPageBreak/>
              <w:t xml:space="preserve">Notify Red Cross in advance if unable to make arranged </w:t>
            </w:r>
            <w:r w:rsidR="00F13C6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meeting with clients. </w:t>
            </w:r>
          </w:p>
        </w:tc>
      </w:tr>
      <w:tr w:rsidR="00FB7EC7" w:rsidRPr="00D53A24" w14:paraId="71811230" w14:textId="77777777" w:rsidTr="0034038D">
        <w:trPr>
          <w:trHeight w:val="383"/>
        </w:trPr>
        <w:tc>
          <w:tcPr>
            <w:tcW w:w="9647" w:type="dxa"/>
            <w:gridSpan w:val="2"/>
          </w:tcPr>
          <w:p w14:paraId="7181122A" w14:textId="5FB5A4BF" w:rsidR="007807C7" w:rsidRPr="00F13C6F" w:rsidRDefault="006207A2" w:rsidP="00F13C6F">
            <w:pPr>
              <w:pStyle w:val="headinglevel1"/>
              <w:spacing w:before="120" w:after="120" w:line="240" w:lineRule="auto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lastRenderedPageBreak/>
              <w:t>Knowledge, s</w:t>
            </w:r>
            <w:r w:rsidR="00F13C6F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14:paraId="320A5249" w14:textId="37068292" w:rsidR="00C4537D" w:rsidRDefault="00C4537D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Highly developed communication and interpersonal skills.</w:t>
            </w:r>
          </w:p>
          <w:p w14:paraId="7181122B" w14:textId="5F3A02AC" w:rsidR="00FB7EC7" w:rsidRDefault="001C1F12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Experience in </w:t>
            </w:r>
            <w:r w:rsidR="00C4537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cross cultural communication. </w:t>
            </w:r>
          </w:p>
          <w:p w14:paraId="7181122D" w14:textId="5869B0B7" w:rsidR="00FB7EC7" w:rsidRDefault="00C4537D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work independently.</w:t>
            </w:r>
          </w:p>
          <w:p w14:paraId="7181122E" w14:textId="132287E5" w:rsidR="00FB7EC7" w:rsidRDefault="00F13C6F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Ability to maintain professional boundaries </w:t>
            </w:r>
            <w:r w:rsidR="00C4537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and ensure duty of care standards necessary for high service provision.</w:t>
            </w:r>
          </w:p>
          <w:p w14:paraId="2EC41FC7" w14:textId="5EC3AE79" w:rsidR="00C4537D" w:rsidRDefault="00C4537D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Appreciates the diversity of Red Cross’ people and clients.</w:t>
            </w:r>
          </w:p>
          <w:p w14:paraId="34028503" w14:textId="2954B7AC" w:rsidR="00C4537D" w:rsidRDefault="00C4537D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Maintains high ethical standards and is trustworthy. </w:t>
            </w:r>
          </w:p>
          <w:p w14:paraId="7181122F" w14:textId="173318AB" w:rsidR="00FB7EC7" w:rsidRPr="00C4537D" w:rsidRDefault="00C4537D" w:rsidP="008E792B">
            <w:pPr>
              <w:pStyle w:val="textinred"/>
              <w:numPr>
                <w:ilvl w:val="0"/>
                <w:numId w:val="23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Is resilient and able to maintain good spirits. </w:t>
            </w:r>
          </w:p>
        </w:tc>
      </w:tr>
      <w:tr w:rsidR="00FB7EC7" w:rsidRPr="00D53A24" w14:paraId="71811235" w14:textId="77777777" w:rsidTr="0034038D">
        <w:trPr>
          <w:trHeight w:val="383"/>
        </w:trPr>
        <w:tc>
          <w:tcPr>
            <w:tcW w:w="9647" w:type="dxa"/>
            <w:gridSpan w:val="2"/>
          </w:tcPr>
          <w:p w14:paraId="71811231" w14:textId="77777777"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14:paraId="71811233" w14:textId="0FCBF3E8" w:rsidR="00AC6DF9" w:rsidRPr="004E1A1A" w:rsidRDefault="00FB7EC7" w:rsidP="008E792B">
            <w:pPr>
              <w:pStyle w:val="textinred"/>
              <w:numPr>
                <w:ilvl w:val="0"/>
                <w:numId w:val="24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  <w:r w:rsidR="00C4537D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.</w:t>
            </w:r>
          </w:p>
          <w:p w14:paraId="71811234" w14:textId="1E58CF18" w:rsidR="00FB7EC7" w:rsidRPr="0017160C" w:rsidRDefault="00FB7EC7" w:rsidP="008E792B">
            <w:pPr>
              <w:pStyle w:val="textinred"/>
              <w:numPr>
                <w:ilvl w:val="0"/>
                <w:numId w:val="24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Working with Children’s Check relevant to your state / territory location</w:t>
            </w:r>
            <w:r w:rsidR="00C4537D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.</w:t>
            </w:r>
          </w:p>
        </w:tc>
      </w:tr>
      <w:tr w:rsidR="00FB7EC7" w:rsidRPr="00D53A24" w14:paraId="7181123B" w14:textId="77777777" w:rsidTr="0034038D">
        <w:trPr>
          <w:trHeight w:val="383"/>
        </w:trPr>
        <w:tc>
          <w:tcPr>
            <w:tcW w:w="9647" w:type="dxa"/>
            <w:gridSpan w:val="2"/>
          </w:tcPr>
          <w:p w14:paraId="71811236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14:paraId="71811238" w14:textId="500D8DF4" w:rsidR="000F59A2" w:rsidRPr="000F59A2" w:rsidRDefault="000F59A2" w:rsidP="008E792B">
            <w:pPr>
              <w:pStyle w:val="textinred"/>
              <w:numPr>
                <w:ilvl w:val="0"/>
                <w:numId w:val="25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  <w:r w:rsidR="00C4537D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.</w:t>
            </w:r>
          </w:p>
          <w:p w14:paraId="71811239" w14:textId="330BB95C" w:rsidR="00AC6DF9" w:rsidRPr="000F59A2" w:rsidRDefault="00AC6DF9" w:rsidP="008E792B">
            <w:pPr>
              <w:pStyle w:val="textinred"/>
              <w:numPr>
                <w:ilvl w:val="0"/>
                <w:numId w:val="25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  <w:r w:rsidR="00C4537D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.</w:t>
            </w:r>
          </w:p>
          <w:p w14:paraId="7181123A" w14:textId="63D2D197" w:rsidR="00AC6DF9" w:rsidRPr="00FB7EC7" w:rsidRDefault="00AC6DF9" w:rsidP="008E792B">
            <w:pPr>
              <w:pStyle w:val="textinred"/>
              <w:numPr>
                <w:ilvl w:val="0"/>
                <w:numId w:val="25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</w:t>
            </w:r>
            <w:r w:rsidR="00C4537D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.</w:t>
            </w:r>
          </w:p>
        </w:tc>
      </w:tr>
      <w:tr w:rsidR="00FB7EC7" w:rsidRPr="00D53A24" w14:paraId="7181124B" w14:textId="77777777" w:rsidTr="0034038D">
        <w:trPr>
          <w:trHeight w:val="383"/>
        </w:trPr>
        <w:tc>
          <w:tcPr>
            <w:tcW w:w="9647" w:type="dxa"/>
            <w:gridSpan w:val="2"/>
          </w:tcPr>
          <w:p w14:paraId="7181123C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14:paraId="7181123E" w14:textId="2A9E8CA2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  <w:r w:rsidR="004751B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81123F" w14:textId="1F85E05F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  <w:r w:rsidR="004751B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811240" w14:textId="6DFD54DB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  <w:r w:rsidR="004751B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811241" w14:textId="2AAD462D"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  <w:r w:rsidR="004751B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811242" w14:textId="546A067C"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  <w:r w:rsidR="004751B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1811243" w14:textId="0287B099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  <w:r w:rsidR="004751B9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14:paraId="71811244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14:paraId="71811245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14:paraId="71811246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14:paraId="71811247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14:paraId="71811248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lastRenderedPageBreak/>
              <w:t xml:space="preserve">Voluntary Service </w:t>
            </w:r>
          </w:p>
          <w:p w14:paraId="71811249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14:paraId="7181124A" w14:textId="77777777"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14:paraId="7181124C" w14:textId="77777777"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1124F" w14:textId="77777777" w:rsidR="000452F4" w:rsidRDefault="000452F4" w:rsidP="0014491D">
      <w:pPr>
        <w:spacing w:after="0" w:line="240" w:lineRule="auto"/>
      </w:pPr>
      <w:r>
        <w:separator/>
      </w:r>
    </w:p>
  </w:endnote>
  <w:endnote w:type="continuationSeparator" w:id="0">
    <w:p w14:paraId="71811250" w14:textId="77777777" w:rsidR="000452F4" w:rsidRDefault="000452F4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1252" w14:textId="77777777" w:rsidR="000452F4" w:rsidRPr="00CD1172" w:rsidRDefault="000452F4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811256" wp14:editId="71811257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1811260" w14:textId="77777777" w:rsidR="000452F4" w:rsidRPr="00007145" w:rsidRDefault="000452F4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71811261" w14:textId="77777777" w:rsidR="000452F4" w:rsidRPr="00007145" w:rsidRDefault="000452F4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71811262" w14:textId="77777777" w:rsidR="000452F4" w:rsidRPr="00007145" w:rsidRDefault="000452F4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14:paraId="71811260" w14:textId="77777777" w:rsidR="000452F4" w:rsidRPr="00007145" w:rsidRDefault="000452F4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71811261" w14:textId="77777777" w:rsidR="000452F4" w:rsidRPr="00007145" w:rsidRDefault="000452F4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71811262" w14:textId="77777777" w:rsidR="000452F4" w:rsidRPr="00007145" w:rsidRDefault="000452F4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1811258" wp14:editId="71811259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1255" w14:textId="77777777" w:rsidR="000452F4" w:rsidRPr="00CD1172" w:rsidRDefault="000452F4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1125C" wp14:editId="7181125D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1811263" w14:textId="77777777" w:rsidR="000452F4" w:rsidRPr="00007145" w:rsidRDefault="000452F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71811264" w14:textId="77777777" w:rsidR="000452F4" w:rsidRPr="00007145" w:rsidRDefault="000452F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71811265" w14:textId="77777777" w:rsidR="000452F4" w:rsidRPr="00007145" w:rsidRDefault="000452F4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14:paraId="71811263" w14:textId="77777777" w:rsidR="000452F4" w:rsidRPr="00007145" w:rsidRDefault="000452F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71811264" w14:textId="77777777" w:rsidR="000452F4" w:rsidRPr="00007145" w:rsidRDefault="000452F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71811265" w14:textId="77777777" w:rsidR="000452F4" w:rsidRPr="00007145" w:rsidRDefault="000452F4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181125E" wp14:editId="7181125F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124D" w14:textId="77777777" w:rsidR="000452F4" w:rsidRDefault="000452F4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7181124E" w14:textId="77777777" w:rsidR="000452F4" w:rsidRDefault="000452F4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1251" w14:textId="77777777" w:rsidR="000452F4" w:rsidRDefault="000452F4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1253" w14:textId="77777777" w:rsidR="000452F4" w:rsidRDefault="000452F4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14:paraId="71811254" w14:textId="77777777" w:rsidR="000452F4" w:rsidRPr="00A64289" w:rsidRDefault="000452F4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7181125A" wp14:editId="7181125B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D60"/>
    <w:multiLevelType w:val="hybridMultilevel"/>
    <w:tmpl w:val="199E4AF8"/>
    <w:lvl w:ilvl="0" w:tplc="670C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0F4B"/>
    <w:multiLevelType w:val="hybridMultilevel"/>
    <w:tmpl w:val="C0D8B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40919"/>
    <w:multiLevelType w:val="hybridMultilevel"/>
    <w:tmpl w:val="72FA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47E7C71"/>
    <w:multiLevelType w:val="hybridMultilevel"/>
    <w:tmpl w:val="5A76FC46"/>
    <w:lvl w:ilvl="0" w:tplc="9404E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10"/>
  </w:num>
  <w:num w:numId="12">
    <w:abstractNumId w:val="18"/>
  </w:num>
  <w:num w:numId="13">
    <w:abstractNumId w:val="4"/>
  </w:num>
  <w:num w:numId="14">
    <w:abstractNumId w:val="22"/>
  </w:num>
  <w:num w:numId="15">
    <w:abstractNumId w:val="9"/>
  </w:num>
  <w:num w:numId="16">
    <w:abstractNumId w:val="15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  <w:num w:numId="21">
    <w:abstractNumId w:val="12"/>
  </w:num>
  <w:num w:numId="22">
    <w:abstractNumId w:val="5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452F4"/>
    <w:rsid w:val="000719CF"/>
    <w:rsid w:val="00093330"/>
    <w:rsid w:val="000A6DF4"/>
    <w:rsid w:val="000A7DFE"/>
    <w:rsid w:val="000D69E9"/>
    <w:rsid w:val="000E72DE"/>
    <w:rsid w:val="000F59A2"/>
    <w:rsid w:val="00100E2D"/>
    <w:rsid w:val="001232CC"/>
    <w:rsid w:val="0014491D"/>
    <w:rsid w:val="0017160C"/>
    <w:rsid w:val="001C1F12"/>
    <w:rsid w:val="001C2933"/>
    <w:rsid w:val="001E48AF"/>
    <w:rsid w:val="001F13A7"/>
    <w:rsid w:val="00211E4A"/>
    <w:rsid w:val="00216EA8"/>
    <w:rsid w:val="00222653"/>
    <w:rsid w:val="00222B66"/>
    <w:rsid w:val="002555C9"/>
    <w:rsid w:val="00261139"/>
    <w:rsid w:val="0026613C"/>
    <w:rsid w:val="00280EB0"/>
    <w:rsid w:val="0034038D"/>
    <w:rsid w:val="00354067"/>
    <w:rsid w:val="00356F35"/>
    <w:rsid w:val="003635C3"/>
    <w:rsid w:val="00372E5F"/>
    <w:rsid w:val="00383894"/>
    <w:rsid w:val="004100A9"/>
    <w:rsid w:val="004361A7"/>
    <w:rsid w:val="0044628A"/>
    <w:rsid w:val="004751B9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22F8C"/>
    <w:rsid w:val="005317E0"/>
    <w:rsid w:val="005526E4"/>
    <w:rsid w:val="005530F5"/>
    <w:rsid w:val="005570D0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A5A48"/>
    <w:rsid w:val="006D1053"/>
    <w:rsid w:val="006D3A64"/>
    <w:rsid w:val="006D4CD4"/>
    <w:rsid w:val="00731A34"/>
    <w:rsid w:val="0073262A"/>
    <w:rsid w:val="00745B6B"/>
    <w:rsid w:val="00762B24"/>
    <w:rsid w:val="007807C7"/>
    <w:rsid w:val="007B28F0"/>
    <w:rsid w:val="007E76F9"/>
    <w:rsid w:val="00824ECC"/>
    <w:rsid w:val="00841698"/>
    <w:rsid w:val="008838FF"/>
    <w:rsid w:val="00894455"/>
    <w:rsid w:val="008A19A9"/>
    <w:rsid w:val="008E792B"/>
    <w:rsid w:val="008F0B4F"/>
    <w:rsid w:val="008F6037"/>
    <w:rsid w:val="00927B2E"/>
    <w:rsid w:val="009507FD"/>
    <w:rsid w:val="00990E2C"/>
    <w:rsid w:val="009A6B31"/>
    <w:rsid w:val="009E4736"/>
    <w:rsid w:val="00A30162"/>
    <w:rsid w:val="00A64289"/>
    <w:rsid w:val="00A83E9A"/>
    <w:rsid w:val="00AB2ADD"/>
    <w:rsid w:val="00AC6DF9"/>
    <w:rsid w:val="00B26143"/>
    <w:rsid w:val="00B47619"/>
    <w:rsid w:val="00B755C9"/>
    <w:rsid w:val="00BB65FE"/>
    <w:rsid w:val="00BE358B"/>
    <w:rsid w:val="00BF4D18"/>
    <w:rsid w:val="00C16713"/>
    <w:rsid w:val="00C21852"/>
    <w:rsid w:val="00C4537D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DC5FAD"/>
    <w:rsid w:val="00E03032"/>
    <w:rsid w:val="00E11D33"/>
    <w:rsid w:val="00E17F08"/>
    <w:rsid w:val="00EA356E"/>
    <w:rsid w:val="00EC1D07"/>
    <w:rsid w:val="00EE442B"/>
    <w:rsid w:val="00EE608F"/>
    <w:rsid w:val="00F13C6F"/>
    <w:rsid w:val="00F26153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811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acf2086ee11e2d993a15275be17a8e9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c00b2b5bf0dc82e9c5161184ed554205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ME Day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313F-E69A-4D2B-AAA5-4B82B53A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195E-1DBD-4D58-9597-7AF33D72912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db72fa0-0a90-4332-b564-48dba6368f70"/>
    <ds:schemaRef ds:uri="0f53d591-da06-4fe8-aa57-0b41b821f53a"/>
  </ds:schemaRefs>
</ds:datastoreItem>
</file>

<file path=customXml/itemProps4.xml><?xml version="1.0" encoding="utf-8"?>
<ds:datastoreItem xmlns:ds="http://schemas.openxmlformats.org/officeDocument/2006/customXml" ds:itemID="{F217AB2F-4628-4019-933E-AF79F49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D3B7859C.dotm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Tralaggan, Kate</cp:lastModifiedBy>
  <cp:revision>5</cp:revision>
  <cp:lastPrinted>2016-12-22T01:52:00Z</cp:lastPrinted>
  <dcterms:created xsi:type="dcterms:W3CDTF">2017-09-28T06:13:00Z</dcterms:created>
  <dcterms:modified xsi:type="dcterms:W3CDTF">2017-10-31T06:07:00Z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