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100E2D" w:rsidRDefault="00A82C3B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 xml:space="preserve">Humanitarian Settlement Program - </w:t>
      </w:r>
      <w:r w:rsidR="00D21FB8">
        <w:rPr>
          <w:rFonts w:ascii="Segoe UI" w:hAnsi="Segoe UI" w:cs="Segoe UI"/>
          <w:color w:val="3F9C35"/>
          <w:sz w:val="36"/>
          <w:szCs w:val="48"/>
        </w:rPr>
        <w:t xml:space="preserve">Community Organiser </w:t>
      </w:r>
      <w:r>
        <w:rPr>
          <w:rFonts w:ascii="Segoe UI" w:hAnsi="Segoe UI" w:cs="Segoe UI"/>
          <w:color w:val="3F9C35"/>
          <w:sz w:val="36"/>
          <w:szCs w:val="48"/>
        </w:rPr>
        <w:t xml:space="preserve">Volunteer 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A3744E" w:rsidRDefault="00A3744E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A3744E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Migration Support Programs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A3744E" w:rsidRDefault="00A3744E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A3744E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Approximately one day per week, preferably for a period of 12 months or more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0A46C4" w:rsidRDefault="001F13E9" w:rsidP="00DE3789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Wollongong/Illawarra</w:t>
            </w:r>
          </w:p>
        </w:tc>
      </w:tr>
      <w:tr w:rsidR="00FB7EC7" w:rsidRPr="00D53A24" w:rsidTr="00A3744E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  <w:shd w:val="clear" w:color="auto" w:fill="auto"/>
          </w:tcPr>
          <w:p w:rsidR="00FB7EC7" w:rsidRPr="00A3744E" w:rsidRDefault="00A3744E" w:rsidP="00D21FB8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>
              <w:rPr>
                <w:rStyle w:val="textChar"/>
                <w:rFonts w:ascii="Segoe UI" w:hAnsi="Segoe UI" w:cs="Segoe UI"/>
                <w:lang w:val="en-AU"/>
              </w:rPr>
              <w:t xml:space="preserve">Working in </w:t>
            </w:r>
            <w:r w:rsidR="00FB7EC7" w:rsidRPr="00A3744E">
              <w:rPr>
                <w:rStyle w:val="textChar"/>
                <w:rFonts w:ascii="Segoe UI" w:hAnsi="Segoe UI" w:cs="Segoe UI"/>
                <w:lang w:val="en-AU"/>
              </w:rPr>
              <w:t>Services and Programs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:rsidR="00A3744E" w:rsidRPr="000F59A2" w:rsidRDefault="00A3744E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A3744E" w:rsidRDefault="00A3744E" w:rsidP="00A3744E">
            <w:pPr>
              <w:pStyle w:val="headinglevel1"/>
              <w:spacing w:before="120" w:after="120" w:line="240" w:lineRule="auto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>Red Cross volunteers are a vital connection between refugee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>s and their new communities.</w:t>
            </w: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As part of the Humanitarian Settlement Program you will contribute to creating a friendly and inclusive </w:t>
            </w: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environment that will help newly arrived refugees 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>feel welcome.</w:t>
            </w:r>
          </w:p>
          <w:p w:rsidR="00A3744E" w:rsidRDefault="002E20F6" w:rsidP="00A3744E">
            <w:pPr>
              <w:pStyle w:val="textinred"/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purpose of a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ommunity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O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rganiser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Volunteer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is to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recruit and coordinate others to form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 active volunteer team which can then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support</w:t>
            </w:r>
            <w:r w:rsidR="00F3339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newly arrived </w:t>
            </w:r>
            <w:bookmarkStart w:id="1" w:name="_GoBack"/>
            <w:bookmarkEnd w:id="1"/>
            <w:r w:rsidR="00F3339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refugee/s</w:t>
            </w:r>
            <w:r w:rsidR="0081069B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(client)</w:t>
            </w:r>
            <w:r w:rsidR="00F3339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in that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community.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Community organisers are closely linked with Red Cross case workers who are responsible for the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client’s overall settlement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provide resources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advise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the volunteer team. </w:t>
            </w:r>
          </w:p>
          <w:p w:rsidR="00F539A5" w:rsidRDefault="00F3339E" w:rsidP="00F539A5">
            <w:pPr>
              <w:pStyle w:val="textinred"/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Community Organiser </w:t>
            </w:r>
            <w:r w:rsidR="0081069B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will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provide leadership and support to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Red Cross community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volunteer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team 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who ho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ld a variety of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locally based 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roles that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provide practical support to refugees on their settlement into Australia.</w:t>
            </w:r>
          </w:p>
          <w:p w:rsidR="00F539A5" w:rsidRPr="00FB7EC7" w:rsidRDefault="00F539A5" w:rsidP="00FF7B08">
            <w:pPr>
              <w:pStyle w:val="textinred"/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F539A5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Community Organiser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volunteer is </w:t>
            </w:r>
            <w:r w:rsidRPr="00F539A5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key 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leadership role that plays an important part in the success of the Humanitarian Settlement Program. </w:t>
            </w:r>
            <w:r w:rsidR="00FF7B08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Volunteers in this busy but rewarding role are highly supported and access extensive training and development opportunities. 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2E20F6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Recruit and organise a team of </w:t>
            </w:r>
            <w:r w:rsidRPr="000743A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volunteers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from within the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community, as directed by Red Cross case worker and as per client needs. </w:t>
            </w:r>
          </w:p>
          <w:p w:rsidR="008D277F" w:rsidRPr="000743AD" w:rsidRDefault="00BD7909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Coordinate the activities of the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volunteer team to ensure that the community based aspects of the client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’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settlement process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are implemented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appropriately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BD7909" w:rsidRPr="00BD7909" w:rsidRDefault="00FF7B08" w:rsidP="00BD7909">
            <w:pPr>
              <w:pStyle w:val="ListParagraph"/>
              <w:numPr>
                <w:ilvl w:val="0"/>
                <w:numId w:val="20"/>
              </w:numPr>
              <w:rPr>
                <w:rStyle w:val="textChar"/>
                <w:rFonts w:ascii="Segoe UI" w:eastAsiaTheme="minorHAns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color w:val="000000" w:themeColor="text1"/>
                <w:sz w:val="22"/>
                <w:szCs w:val="22"/>
                <w:lang w:val="en-AU"/>
              </w:rPr>
              <w:t xml:space="preserve">Develop rapport between clients and volunteers. </w:t>
            </w:r>
          </w:p>
          <w:p w:rsidR="002E20F6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Act as the main point of contact between Red Cross caseworker and the community volunteers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by reporting on client progress and reporting any incidents </w:t>
            </w:r>
            <w:r w:rsidR="008D277F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 relation to the client’s health, welfare or well being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the caseworker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2E20F6" w:rsidRPr="000743AD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Act as the main point of contact between volunteers and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Red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Cross Volunteer</w:t>
            </w:r>
            <w:r w:rsidR="00215E4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Engagement Officer to ensure that the volunteer team has a positive volunteer experience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0743AD" w:rsidRPr="000743AD" w:rsidRDefault="008D277F" w:rsidP="000743AD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Provide leadership to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the volunteer team to ensure an inclusive and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positive experience</w:t>
            </w:r>
            <w:r w:rsidR="008061C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for all; this includes managing volunteer expectations, ensuring clear and consistent communication throughout the team, and resolving conflict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as required. </w:t>
            </w:r>
          </w:p>
          <w:p w:rsidR="00FB7EC7" w:rsidRPr="008D277F" w:rsidRDefault="006035CE" w:rsidP="006035CE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lastRenderedPageBreak/>
              <w:t>Undertake initial and follow up</w:t>
            </w:r>
            <w:r w:rsidR="00FF7B08"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training provided by Red Cross.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lastRenderedPageBreak/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7C1A5E" w:rsidRPr="000F59A2" w:rsidRDefault="007C1A5E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7C1A5E" w:rsidRPr="00B26829" w:rsidRDefault="007C1A5E" w:rsidP="007C1A5E">
            <w:pPr>
              <w:pStyle w:val="headinglevel1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Understanding and empathy for the needs of </w:t>
            </w: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refugees </w:t>
            </w:r>
          </w:p>
          <w:p w:rsidR="007C1A5E" w:rsidRPr="007C1A5E" w:rsidRDefault="007C1A5E" w:rsidP="007C1A5E">
            <w:pPr>
              <w:pStyle w:val="headinglevel1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Style w:val="textChar"/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Ability to work effectively and sensitively with individuals from diverse cultural backgrounds</w:t>
            </w:r>
          </w:p>
          <w:p w:rsidR="009B5790" w:rsidRDefault="00FF7B08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Highly </w:t>
            </w:r>
            <w:r w:rsidR="00C55D73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developed interpersonal and communication skills; b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 able to develop authentic relationships with a broad range of members in your community</w:t>
            </w:r>
          </w:p>
          <w:p w:rsidR="00FB7EC7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Highly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developed organisational skills; b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 able to coordina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te the work of a small team to implement the client learning plan in conjunction with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Red Cross caseworker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:rsidR="00666FAE" w:rsidRDefault="00666FA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Well developed leadership skills; be able to lead the volunteer team and (</w:t>
            </w:r>
            <w:proofErr w:type="spellStart"/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inc.</w:t>
            </w:r>
            <w:proofErr w:type="spellEnd"/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resolving conflict, maintaining communication, maintaining engagement) in conjunction with the Red Cross Volunteer Engagement Officer</w:t>
            </w:r>
          </w:p>
          <w:p w:rsidR="007C1A5E" w:rsidRPr="007C1A5E" w:rsidRDefault="00C55D73" w:rsidP="007C1A5E">
            <w:pPr>
              <w:pStyle w:val="bulletat0margin0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/>
              <w:rPr>
                <w:rStyle w:val="textChar"/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Basic proficiency in MS Office and using </w:t>
            </w:r>
            <w:r w:rsidR="009B5790"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online </w:t>
            </w:r>
            <w:r w:rsidR="00FF7B08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communication </w:t>
            </w:r>
            <w:r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platforms</w:t>
            </w:r>
          </w:p>
          <w:p w:rsid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work independently</w:t>
            </w:r>
          </w:p>
          <w:p w:rsid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maintain professional boundaries and ensure duty of care standards neces</w:t>
            </w:r>
            <w:r w:rsidR="00215E4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sary for high service provision</w:t>
            </w:r>
          </w:p>
          <w:p w:rsidR="007C1A5E" w:rsidRP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Maintains high ethical standards and is trustworthy. 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AC6DF9" w:rsidRPr="004E1A1A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:rsidR="00FB7EC7" w:rsidRPr="0017160C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Working with Children’s Check relevant to your state / territory location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0F59A2" w:rsidRPr="0081069B" w:rsidRDefault="0081069B" w:rsidP="0081069B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0F59A2" w:rsidRPr="00AB0DD3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:rsidR="00AC6DF9" w:rsidRPr="00AB0DD3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  <w:r w:rsidR="0081069B"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</w:t>
            </w:r>
          </w:p>
          <w:p w:rsidR="00AC6DF9" w:rsidRPr="00FB7EC7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meetings, a minimum of two per year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In all activities, our volunteers are guided by the Fundamental Principles of the Red Cross and Red Crescent Movement</w:t>
            </w:r>
            <w:r w:rsidR="00215E49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7" w:rsidRDefault="00AC3067" w:rsidP="0014491D">
      <w:pPr>
        <w:spacing w:after="0" w:line="240" w:lineRule="auto"/>
      </w:pPr>
      <w:r>
        <w:separator/>
      </w:r>
    </w:p>
  </w:endnote>
  <w:endnote w:type="continuationSeparator" w:id="0">
    <w:p w:rsidR="00AC3067" w:rsidRDefault="00AC3067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Pr="00CD1172" w:rsidRDefault="0081069B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BD3D4" wp14:editId="3CFBD3D5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CFBD3D6" wp14:editId="3CFBD3D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Pr="00CD1172" w:rsidRDefault="0081069B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FBD3DA" wp14:editId="3CFBD3DB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CFBD3DC" wp14:editId="3CFBD3DD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7" w:rsidRDefault="00AC3067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AC3067" w:rsidRDefault="00AC3067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81069B" w:rsidRPr="00A64289" w:rsidRDefault="0081069B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3CFBD3D8" wp14:editId="3CFBD3D9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6B9CC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9474A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E6B81"/>
    <w:multiLevelType w:val="hybridMultilevel"/>
    <w:tmpl w:val="0A526CA8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9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743AD"/>
    <w:rsid w:val="00076D09"/>
    <w:rsid w:val="00093330"/>
    <w:rsid w:val="000A46C4"/>
    <w:rsid w:val="000A6DF4"/>
    <w:rsid w:val="000A7DFE"/>
    <w:rsid w:val="000D69E9"/>
    <w:rsid w:val="000E72DE"/>
    <w:rsid w:val="000F59A2"/>
    <w:rsid w:val="00100E2D"/>
    <w:rsid w:val="0014491D"/>
    <w:rsid w:val="0017160C"/>
    <w:rsid w:val="001C2933"/>
    <w:rsid w:val="001E1839"/>
    <w:rsid w:val="001E48AF"/>
    <w:rsid w:val="001F13A7"/>
    <w:rsid w:val="001F13E9"/>
    <w:rsid w:val="00211E4A"/>
    <w:rsid w:val="00215E49"/>
    <w:rsid w:val="00216EA8"/>
    <w:rsid w:val="00222653"/>
    <w:rsid w:val="00231A89"/>
    <w:rsid w:val="002555C9"/>
    <w:rsid w:val="0026613C"/>
    <w:rsid w:val="00280EB0"/>
    <w:rsid w:val="002E20F6"/>
    <w:rsid w:val="00354067"/>
    <w:rsid w:val="00356F35"/>
    <w:rsid w:val="003635C3"/>
    <w:rsid w:val="00372E5F"/>
    <w:rsid w:val="004100A9"/>
    <w:rsid w:val="004361A7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035CE"/>
    <w:rsid w:val="006144D6"/>
    <w:rsid w:val="00615CEE"/>
    <w:rsid w:val="006207A2"/>
    <w:rsid w:val="00654DEE"/>
    <w:rsid w:val="00666FA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B28F0"/>
    <w:rsid w:val="007C1A5E"/>
    <w:rsid w:val="007E76F9"/>
    <w:rsid w:val="008061C5"/>
    <w:rsid w:val="0081069B"/>
    <w:rsid w:val="00824ECC"/>
    <w:rsid w:val="00841698"/>
    <w:rsid w:val="008838FF"/>
    <w:rsid w:val="00894455"/>
    <w:rsid w:val="008A19A9"/>
    <w:rsid w:val="008D277F"/>
    <w:rsid w:val="008F0B4F"/>
    <w:rsid w:val="008F6037"/>
    <w:rsid w:val="00927B2E"/>
    <w:rsid w:val="009507FD"/>
    <w:rsid w:val="00990E2C"/>
    <w:rsid w:val="009B5790"/>
    <w:rsid w:val="009E4736"/>
    <w:rsid w:val="009E482E"/>
    <w:rsid w:val="00A30162"/>
    <w:rsid w:val="00A3744E"/>
    <w:rsid w:val="00A64289"/>
    <w:rsid w:val="00A82C3B"/>
    <w:rsid w:val="00A83E9A"/>
    <w:rsid w:val="00AB0DD3"/>
    <w:rsid w:val="00AC3067"/>
    <w:rsid w:val="00AC6DF9"/>
    <w:rsid w:val="00B26143"/>
    <w:rsid w:val="00B47619"/>
    <w:rsid w:val="00B755C9"/>
    <w:rsid w:val="00BB65FE"/>
    <w:rsid w:val="00BD7909"/>
    <w:rsid w:val="00BE358B"/>
    <w:rsid w:val="00BF4D18"/>
    <w:rsid w:val="00C16713"/>
    <w:rsid w:val="00C21852"/>
    <w:rsid w:val="00C55D73"/>
    <w:rsid w:val="00C564F3"/>
    <w:rsid w:val="00C830E9"/>
    <w:rsid w:val="00C842A9"/>
    <w:rsid w:val="00C84B67"/>
    <w:rsid w:val="00CC33B8"/>
    <w:rsid w:val="00CD1172"/>
    <w:rsid w:val="00CD385B"/>
    <w:rsid w:val="00CE65DD"/>
    <w:rsid w:val="00D21FB8"/>
    <w:rsid w:val="00D53A24"/>
    <w:rsid w:val="00D54C6D"/>
    <w:rsid w:val="00D7295C"/>
    <w:rsid w:val="00D82FDA"/>
    <w:rsid w:val="00D9174B"/>
    <w:rsid w:val="00DE3789"/>
    <w:rsid w:val="00E03032"/>
    <w:rsid w:val="00E11D33"/>
    <w:rsid w:val="00E17F08"/>
    <w:rsid w:val="00EC1D07"/>
    <w:rsid w:val="00EE442B"/>
    <w:rsid w:val="00EE608F"/>
    <w:rsid w:val="00F26153"/>
    <w:rsid w:val="00F3339E"/>
    <w:rsid w:val="00F50319"/>
    <w:rsid w:val="00F539A5"/>
    <w:rsid w:val="00F679C6"/>
    <w:rsid w:val="00F76426"/>
    <w:rsid w:val="00FB7EC7"/>
    <w:rsid w:val="00FC02F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acf2086ee11e2d993a15275be17a8e9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c00b2b5bf0dc82e9c5161184ed554205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ME Day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195E-1DBD-4D58-9597-7AF33D729125}">
  <ds:schemaRefs>
    <ds:schemaRef ds:uri="http://www.w3.org/XML/1998/namespace"/>
    <ds:schemaRef ds:uri="9db72fa0-0a90-4332-b564-48dba6368f7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3d591-da06-4fe8-aa57-0b41b821f5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313F-E69A-4D2B-AAA5-4B82B53A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E59BD-65B9-4218-868D-08B0D006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4ADAB3EC.dotm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Tralaggan, Kate</cp:lastModifiedBy>
  <cp:revision>4</cp:revision>
  <cp:lastPrinted>2016-12-22T01:52:00Z</cp:lastPrinted>
  <dcterms:created xsi:type="dcterms:W3CDTF">2017-09-28T06:13:00Z</dcterms:created>
  <dcterms:modified xsi:type="dcterms:W3CDTF">2017-10-09T00:22:00Z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