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F84F97">
                              <w:rPr>
                                <w:b/>
                                <w:color w:val="FFFFFF"/>
                              </w:rPr>
                              <w:t>Property Manager</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F84F97">
                        <w:rPr>
                          <w:b/>
                          <w:color w:val="FFFFFF"/>
                        </w:rPr>
                        <w:t>Property Manager</w:t>
                      </w:r>
                      <w:bookmarkStart w:id="1" w:name="_GoBack"/>
                      <w:bookmarkEnd w:id="1"/>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F84051">
            <w:pPr>
              <w:rPr>
                <w:sz w:val="22"/>
              </w:rPr>
            </w:pPr>
            <w:r w:rsidRPr="009537C6">
              <w:rPr>
                <w:sz w:val="22"/>
              </w:rPr>
              <w:t>Position Title</w:t>
            </w:r>
            <w:r w:rsidR="00EA6E7A">
              <w:rPr>
                <w:sz w:val="22"/>
              </w:rPr>
              <w:t>:</w:t>
            </w:r>
            <w:r w:rsidR="0076764D">
              <w:rPr>
                <w:sz w:val="22"/>
              </w:rPr>
              <w:t xml:space="preserve">  Property Manager</w:t>
            </w:r>
            <w:r w:rsidR="00653102">
              <w:rPr>
                <w:sz w:val="22"/>
              </w:rPr>
              <w:t xml:space="preserve"> </w:t>
            </w:r>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60314E" w:rsidP="00F223CF">
                <w:pPr>
                  <w:ind w:left="720" w:hanging="720"/>
                  <w:rPr>
                    <w:sz w:val="22"/>
                  </w:rPr>
                </w:pPr>
                <w:r>
                  <w:rPr>
                    <w:sz w:val="22"/>
                  </w:rPr>
                  <w:t>Housing</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76764D" w:rsidP="0076764D">
            <w:pPr>
              <w:tabs>
                <w:tab w:val="left" w:pos="930"/>
              </w:tabs>
              <w:ind w:left="720" w:hanging="720"/>
              <w:rPr>
                <w:sz w:val="22"/>
              </w:rPr>
            </w:pPr>
            <w:r>
              <w:rPr>
                <w:sz w:val="22"/>
              </w:rPr>
              <w:t>National Asset Manager</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Pr="00B76B2D" w:rsidRDefault="009537C6" w:rsidP="00E03DA6">
            <w:pPr>
              <w:rPr>
                <w:sz w:val="22"/>
              </w:rPr>
            </w:pPr>
            <w:r>
              <w:rPr>
                <w:sz w:val="22"/>
              </w:rPr>
              <w:t xml:space="preserve">  </w:t>
            </w:r>
            <w:r w:rsidR="0076764D">
              <w:rPr>
                <w:sz w:val="22"/>
                <w:szCs w:val="22"/>
              </w:rPr>
              <w:t>Managing and maintaining MA’s Freehold property</w:t>
            </w:r>
            <w:r w:rsidR="0076764D" w:rsidRPr="00880B9D">
              <w:rPr>
                <w:sz w:val="22"/>
                <w:szCs w:val="22"/>
              </w:rPr>
              <w:t xml:space="preserve"> assets to ensure they meet</w:t>
            </w:r>
            <w:r w:rsidR="0076764D">
              <w:rPr>
                <w:sz w:val="22"/>
                <w:szCs w:val="22"/>
              </w:rPr>
              <w:t xml:space="preserve"> WHS and legislative requirements, </w:t>
            </w:r>
            <w:r w:rsidR="0076764D" w:rsidRPr="00880B9D">
              <w:rPr>
                <w:sz w:val="22"/>
                <w:szCs w:val="22"/>
              </w:rPr>
              <w:t>the needs of our clients</w:t>
            </w:r>
            <w:r w:rsidR="0076764D">
              <w:rPr>
                <w:sz w:val="22"/>
                <w:szCs w:val="22"/>
              </w:rPr>
              <w:t>,</w:t>
            </w:r>
            <w:r w:rsidR="0076764D" w:rsidRPr="00880B9D">
              <w:rPr>
                <w:sz w:val="22"/>
                <w:szCs w:val="22"/>
              </w:rPr>
              <w:t xml:space="preserve"> our asset management obligations</w:t>
            </w:r>
            <w:r w:rsidR="0076764D">
              <w:rPr>
                <w:sz w:val="22"/>
                <w:szCs w:val="22"/>
              </w:rPr>
              <w:t xml:space="preserve">, </w:t>
            </w:r>
            <w:r w:rsidR="0076764D" w:rsidRPr="00880B9D">
              <w:rPr>
                <w:sz w:val="22"/>
                <w:szCs w:val="22"/>
              </w:rPr>
              <w:t>as a landlord, and internal strategy, policy and procedures</w:t>
            </w:r>
            <w:r w:rsidR="0076764D">
              <w:rPr>
                <w:sz w:val="22"/>
                <w:szCs w:val="22"/>
              </w:rPr>
              <w:t>.</w:t>
            </w:r>
            <w:r>
              <w:rPr>
                <w:sz w:val="22"/>
              </w:rPr>
              <w:t xml:space="preserve">  </w:t>
            </w:r>
          </w:p>
        </w:tc>
      </w:tr>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76764D" w:rsidP="0070562F">
                  <w:pPr>
                    <w:spacing w:before="40" w:after="60"/>
                    <w:rPr>
                      <w:b/>
                      <w:color w:val="522F8C"/>
                    </w:rPr>
                  </w:pPr>
                  <w:r>
                    <w:rPr>
                      <w:b/>
                      <w:color w:val="522F8C"/>
                    </w:rPr>
                    <w:t>Property Management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76764D">
              <w:trPr>
                <w:trHeight w:val="5654"/>
              </w:trPr>
              <w:tc>
                <w:tcPr>
                  <w:tcW w:w="4383" w:type="dxa"/>
                </w:tcPr>
                <w:p w:rsidR="0076764D" w:rsidRDefault="0076764D" w:rsidP="0076764D">
                  <w:pPr>
                    <w:pStyle w:val="Style1"/>
                    <w:numPr>
                      <w:ilvl w:val="0"/>
                      <w:numId w:val="30"/>
                    </w:numPr>
                    <w:spacing w:before="60"/>
                    <w:jc w:val="left"/>
                    <w:rPr>
                      <w:rFonts w:asciiTheme="minorHAnsi" w:hAnsiTheme="minorHAnsi" w:cs="Arial"/>
                      <w:b w:val="0"/>
                      <w:bCs/>
                      <w:sz w:val="22"/>
                      <w:szCs w:val="22"/>
                    </w:rPr>
                  </w:pPr>
                  <w:r>
                    <w:rPr>
                      <w:rFonts w:asciiTheme="minorHAnsi" w:hAnsiTheme="minorHAnsi" w:cs="Arial"/>
                      <w:b w:val="0"/>
                      <w:bCs/>
                      <w:sz w:val="22"/>
                      <w:szCs w:val="22"/>
                    </w:rPr>
                    <w:lastRenderedPageBreak/>
                    <w:t xml:space="preserve">Ensure Assets comply </w:t>
                  </w:r>
                  <w:r w:rsidR="00E03DA6">
                    <w:rPr>
                      <w:rFonts w:asciiTheme="minorHAnsi" w:hAnsiTheme="minorHAnsi" w:cs="Arial"/>
                      <w:b w:val="0"/>
                      <w:bCs/>
                      <w:sz w:val="22"/>
                      <w:szCs w:val="22"/>
                    </w:rPr>
                    <w:t>with</w:t>
                  </w:r>
                  <w:r>
                    <w:rPr>
                      <w:rFonts w:asciiTheme="minorHAnsi" w:hAnsiTheme="minorHAnsi" w:cs="Arial"/>
                      <w:b w:val="0"/>
                      <w:bCs/>
                      <w:sz w:val="22"/>
                      <w:szCs w:val="22"/>
                    </w:rPr>
                    <w:t xml:space="preserve"> NCC and WHS requirements, including required certification of Essential Services including Fire services, Electrical, Warm Water Systems /Legionella testing, RPZ, lifts, etc.</w:t>
                  </w:r>
                </w:p>
                <w:p w:rsidR="0076764D" w:rsidRDefault="0076764D" w:rsidP="0076764D">
                  <w:pPr>
                    <w:pStyle w:val="Style1"/>
                    <w:numPr>
                      <w:ilvl w:val="0"/>
                      <w:numId w:val="30"/>
                    </w:numPr>
                    <w:spacing w:before="60"/>
                    <w:jc w:val="left"/>
                    <w:rPr>
                      <w:rFonts w:asciiTheme="minorHAnsi" w:hAnsiTheme="minorHAnsi" w:cs="Arial"/>
                      <w:b w:val="0"/>
                      <w:bCs/>
                      <w:sz w:val="22"/>
                      <w:szCs w:val="22"/>
                    </w:rPr>
                  </w:pPr>
                  <w:r>
                    <w:rPr>
                      <w:rFonts w:asciiTheme="minorHAnsi" w:hAnsiTheme="minorHAnsi" w:cs="Arial"/>
                      <w:b w:val="0"/>
                      <w:sz w:val="22"/>
                      <w:szCs w:val="22"/>
                    </w:rPr>
                    <w:t>Ensure that all assets are WHS compliant</w:t>
                  </w:r>
                  <w:r>
                    <w:rPr>
                      <w:rFonts w:asciiTheme="minorHAnsi" w:hAnsiTheme="minorHAnsi" w:cs="Arial"/>
                      <w:b w:val="0"/>
                      <w:bCs/>
                      <w:sz w:val="22"/>
                      <w:szCs w:val="22"/>
                    </w:rPr>
                    <w:t>.</w:t>
                  </w:r>
                </w:p>
                <w:p w:rsidR="0076764D" w:rsidRPr="00745B06" w:rsidRDefault="0076764D" w:rsidP="0076764D">
                  <w:pPr>
                    <w:pStyle w:val="ListParagraph"/>
                    <w:numPr>
                      <w:ilvl w:val="0"/>
                      <w:numId w:val="30"/>
                    </w:numPr>
                    <w:spacing w:after="0"/>
                    <w:rPr>
                      <w:rFonts w:asciiTheme="minorHAnsi" w:hAnsiTheme="minorHAnsi"/>
                      <w:sz w:val="22"/>
                      <w:szCs w:val="22"/>
                      <w:lang w:val="en"/>
                    </w:rPr>
                  </w:pPr>
                  <w:r>
                    <w:rPr>
                      <w:rFonts w:asciiTheme="minorHAnsi" w:hAnsiTheme="minorHAnsi"/>
                      <w:sz w:val="22"/>
                      <w:szCs w:val="22"/>
                      <w:lang w:val="en"/>
                    </w:rPr>
                    <w:t xml:space="preserve">Ensure that </w:t>
                  </w:r>
                  <w:r w:rsidRPr="00745B06">
                    <w:rPr>
                      <w:rFonts w:asciiTheme="minorHAnsi" w:hAnsiTheme="minorHAnsi"/>
                      <w:sz w:val="22"/>
                      <w:szCs w:val="22"/>
                      <w:lang w:val="en"/>
                    </w:rPr>
                    <w:t xml:space="preserve">Reactive, </w:t>
                  </w:r>
                  <w:r>
                    <w:rPr>
                      <w:rFonts w:asciiTheme="minorHAnsi" w:hAnsiTheme="minorHAnsi"/>
                      <w:sz w:val="22"/>
                      <w:szCs w:val="22"/>
                      <w:lang w:val="en"/>
                    </w:rPr>
                    <w:t>Scheduled and Periodic</w:t>
                  </w:r>
                  <w:r w:rsidRPr="00745B06">
                    <w:rPr>
                      <w:rFonts w:asciiTheme="minorHAnsi" w:hAnsiTheme="minorHAnsi"/>
                      <w:sz w:val="22"/>
                      <w:szCs w:val="22"/>
                      <w:lang w:val="en"/>
                    </w:rPr>
                    <w:t xml:space="preserve"> </w:t>
                  </w:r>
                  <w:r w:rsidRPr="00FA3AD1">
                    <w:rPr>
                      <w:rFonts w:asciiTheme="minorHAnsi" w:hAnsiTheme="minorHAnsi"/>
                      <w:sz w:val="22"/>
                      <w:szCs w:val="22"/>
                      <w:lang w:val="en"/>
                    </w:rPr>
                    <w:t xml:space="preserve">maintenance </w:t>
                  </w:r>
                  <w:r w:rsidRPr="00745B06">
                    <w:rPr>
                      <w:rFonts w:asciiTheme="minorHAnsi" w:hAnsiTheme="minorHAnsi"/>
                      <w:sz w:val="22"/>
                      <w:szCs w:val="22"/>
                      <w:lang w:val="en"/>
                    </w:rPr>
                    <w:t xml:space="preserve">works </w:t>
                  </w:r>
                  <w:r>
                    <w:rPr>
                      <w:rFonts w:asciiTheme="minorHAnsi" w:hAnsiTheme="minorHAnsi"/>
                      <w:sz w:val="22"/>
                      <w:szCs w:val="22"/>
                      <w:lang w:val="en"/>
                    </w:rPr>
                    <w:t xml:space="preserve">including Capital works </w:t>
                  </w:r>
                  <w:r w:rsidRPr="00745B06">
                    <w:rPr>
                      <w:rFonts w:asciiTheme="minorHAnsi" w:hAnsiTheme="minorHAnsi"/>
                      <w:sz w:val="22"/>
                      <w:szCs w:val="22"/>
                      <w:lang w:val="en"/>
                    </w:rPr>
                    <w:t xml:space="preserve">are undertaken to </w:t>
                  </w:r>
                  <w:r>
                    <w:rPr>
                      <w:rFonts w:asciiTheme="minorHAnsi" w:hAnsiTheme="minorHAnsi"/>
                      <w:sz w:val="22"/>
                      <w:szCs w:val="22"/>
                      <w:lang w:val="en"/>
                    </w:rPr>
                    <w:t>defined and approved A</w:t>
                  </w:r>
                  <w:r w:rsidRPr="00745B06">
                    <w:rPr>
                      <w:rFonts w:asciiTheme="minorHAnsi" w:hAnsiTheme="minorHAnsi"/>
                      <w:sz w:val="22"/>
                      <w:szCs w:val="22"/>
                      <w:lang w:val="en"/>
                    </w:rPr>
                    <w:t xml:space="preserve">sset </w:t>
                  </w:r>
                  <w:r>
                    <w:rPr>
                      <w:rFonts w:asciiTheme="minorHAnsi" w:hAnsiTheme="minorHAnsi"/>
                      <w:sz w:val="22"/>
                      <w:szCs w:val="22"/>
                      <w:lang w:val="en"/>
                    </w:rPr>
                    <w:t>M</w:t>
                  </w:r>
                  <w:r w:rsidRPr="00FA3AD1">
                    <w:rPr>
                      <w:rFonts w:asciiTheme="minorHAnsi" w:hAnsiTheme="minorHAnsi"/>
                      <w:sz w:val="22"/>
                      <w:szCs w:val="22"/>
                      <w:lang w:val="en"/>
                    </w:rPr>
                    <w:t xml:space="preserve">aintenance </w:t>
                  </w:r>
                  <w:r>
                    <w:rPr>
                      <w:rFonts w:asciiTheme="minorHAnsi" w:hAnsiTheme="minorHAnsi"/>
                      <w:sz w:val="22"/>
                      <w:szCs w:val="22"/>
                      <w:lang w:val="en"/>
                    </w:rPr>
                    <w:t>P</w:t>
                  </w:r>
                  <w:r w:rsidRPr="00745B06">
                    <w:rPr>
                      <w:rFonts w:asciiTheme="minorHAnsi" w:hAnsiTheme="minorHAnsi"/>
                      <w:sz w:val="22"/>
                      <w:szCs w:val="22"/>
                      <w:lang w:val="en"/>
                    </w:rPr>
                    <w:t>lans and to time, cost, safety and quality standards</w:t>
                  </w:r>
                  <w:r>
                    <w:rPr>
                      <w:rFonts w:asciiTheme="minorHAnsi" w:hAnsiTheme="minorHAnsi"/>
                      <w:sz w:val="22"/>
                      <w:szCs w:val="22"/>
                      <w:lang w:val="en"/>
                    </w:rPr>
                    <w:t>.</w:t>
                  </w:r>
                </w:p>
                <w:p w:rsidR="0076764D" w:rsidRPr="007040B6" w:rsidRDefault="0076764D" w:rsidP="0076764D">
                  <w:pPr>
                    <w:pStyle w:val="ListParagraph"/>
                    <w:numPr>
                      <w:ilvl w:val="0"/>
                      <w:numId w:val="30"/>
                    </w:numPr>
                    <w:spacing w:after="0"/>
                    <w:rPr>
                      <w:rFonts w:asciiTheme="minorHAnsi" w:hAnsiTheme="minorHAnsi"/>
                      <w:sz w:val="22"/>
                      <w:szCs w:val="22"/>
                      <w:lang w:val="en"/>
                    </w:rPr>
                  </w:pPr>
                  <w:r w:rsidRPr="007040B6">
                    <w:rPr>
                      <w:rFonts w:asciiTheme="minorHAnsi" w:hAnsiTheme="minorHAnsi"/>
                      <w:sz w:val="22"/>
                      <w:szCs w:val="22"/>
                      <w:lang w:val="en"/>
                    </w:rPr>
                    <w:t>Procure and manag</w:t>
                  </w:r>
                  <w:r>
                    <w:rPr>
                      <w:rFonts w:asciiTheme="minorHAnsi" w:hAnsiTheme="minorHAnsi"/>
                      <w:sz w:val="22"/>
                      <w:szCs w:val="22"/>
                      <w:lang w:val="en"/>
                    </w:rPr>
                    <w:t>e</w:t>
                  </w:r>
                  <w:r w:rsidRPr="007040B6">
                    <w:rPr>
                      <w:rFonts w:asciiTheme="minorHAnsi" w:hAnsiTheme="minorHAnsi"/>
                      <w:sz w:val="22"/>
                      <w:szCs w:val="22"/>
                      <w:lang w:val="en"/>
                    </w:rPr>
                    <w:t xml:space="preserve"> </w:t>
                  </w:r>
                  <w:r>
                    <w:rPr>
                      <w:rFonts w:asciiTheme="minorHAnsi" w:hAnsiTheme="minorHAnsi"/>
                      <w:sz w:val="22"/>
                      <w:szCs w:val="22"/>
                      <w:lang w:val="en"/>
                    </w:rPr>
                    <w:t xml:space="preserve">a range of Consultants, and Contractors to </w:t>
                  </w:r>
                  <w:r w:rsidRPr="007040B6">
                    <w:rPr>
                      <w:rFonts w:asciiTheme="minorHAnsi" w:hAnsiTheme="minorHAnsi"/>
                      <w:sz w:val="22"/>
                      <w:szCs w:val="22"/>
                      <w:lang w:val="en"/>
                    </w:rPr>
                    <w:t xml:space="preserve">provide </w:t>
                  </w:r>
                  <w:r>
                    <w:rPr>
                      <w:rFonts w:asciiTheme="minorHAnsi" w:hAnsiTheme="minorHAnsi"/>
                      <w:sz w:val="22"/>
                      <w:szCs w:val="22"/>
                      <w:lang w:val="en"/>
                    </w:rPr>
                    <w:t>required building and services</w:t>
                  </w:r>
                  <w:r w:rsidRPr="007040B6">
                    <w:rPr>
                      <w:rFonts w:asciiTheme="minorHAnsi" w:hAnsiTheme="minorHAnsi"/>
                      <w:sz w:val="22"/>
                      <w:szCs w:val="22"/>
                      <w:lang w:val="en"/>
                    </w:rPr>
                    <w:t xml:space="preserve"> works</w:t>
                  </w:r>
                  <w:r>
                    <w:rPr>
                      <w:rFonts w:asciiTheme="minorHAnsi" w:hAnsiTheme="minorHAnsi"/>
                      <w:sz w:val="22"/>
                      <w:szCs w:val="22"/>
                      <w:lang w:val="en"/>
                    </w:rPr>
                    <w:t>.</w:t>
                  </w:r>
                </w:p>
                <w:p w:rsidR="0076764D" w:rsidRPr="00DA6C78" w:rsidRDefault="0076764D" w:rsidP="0076764D">
                  <w:pPr>
                    <w:pStyle w:val="ListParagraph"/>
                    <w:numPr>
                      <w:ilvl w:val="0"/>
                      <w:numId w:val="30"/>
                    </w:numPr>
                    <w:spacing w:after="0"/>
                    <w:rPr>
                      <w:rFonts w:asciiTheme="minorHAnsi" w:hAnsiTheme="minorHAnsi" w:cs="Arial"/>
                      <w:b/>
                      <w:sz w:val="22"/>
                      <w:szCs w:val="22"/>
                    </w:rPr>
                  </w:pPr>
                  <w:r w:rsidRPr="00DA6C78">
                    <w:rPr>
                      <w:rFonts w:asciiTheme="minorHAnsi" w:hAnsiTheme="minorHAnsi" w:cs="Arial"/>
                      <w:sz w:val="22"/>
                      <w:szCs w:val="22"/>
                    </w:rPr>
                    <w:t>Ensure agreed continuous improvement goals in service delivery, practices and processes to ensure organisational and industry standards are met.</w:t>
                  </w:r>
                </w:p>
                <w:p w:rsidR="0076764D" w:rsidRDefault="0076764D" w:rsidP="0076764D">
                  <w:pPr>
                    <w:pStyle w:val="ListParagraph"/>
                    <w:numPr>
                      <w:ilvl w:val="0"/>
                      <w:numId w:val="19"/>
                    </w:numPr>
                    <w:spacing w:after="60"/>
                    <w:ind w:left="360"/>
                    <w:contextualSpacing w:val="0"/>
                    <w:rPr>
                      <w:sz w:val="22"/>
                    </w:rPr>
                  </w:pPr>
                  <w:r w:rsidRPr="00C07C56">
                    <w:rPr>
                      <w:sz w:val="22"/>
                    </w:rPr>
                    <w:t xml:space="preserve">Ensure asset management plans addressing responsive, scheduled  and planned maintenance, including  </w:t>
                  </w:r>
                  <w:r w:rsidRPr="00C07C56">
                    <w:rPr>
                      <w:rFonts w:asciiTheme="minorHAnsi" w:hAnsiTheme="minorHAnsi" w:cs="Arial"/>
                      <w:sz w:val="22"/>
                      <w:szCs w:val="22"/>
                    </w:rPr>
                    <w:t xml:space="preserve"> Life cycle and capital upgrade budgets</w:t>
                  </w:r>
                  <w:r w:rsidRPr="00C07C56">
                    <w:rPr>
                      <w:sz w:val="22"/>
                    </w:rPr>
                    <w:t xml:space="preserve"> are developed and implemented for each property </w:t>
                  </w:r>
                </w:p>
                <w:p w:rsidR="00422424" w:rsidRDefault="0076764D" w:rsidP="002D1B2B">
                  <w:pPr>
                    <w:pStyle w:val="ListParagraph"/>
                    <w:numPr>
                      <w:ilvl w:val="0"/>
                      <w:numId w:val="19"/>
                    </w:numPr>
                    <w:spacing w:after="60"/>
                    <w:ind w:left="360"/>
                    <w:contextualSpacing w:val="0"/>
                    <w:rPr>
                      <w:b/>
                      <w:color w:val="522F8C"/>
                    </w:rPr>
                  </w:pPr>
                  <w:r w:rsidRPr="00C07C56">
                    <w:rPr>
                      <w:rFonts w:asciiTheme="minorHAnsi" w:hAnsiTheme="minorHAnsi" w:cs="Arial"/>
                      <w:sz w:val="22"/>
                      <w:szCs w:val="22"/>
                    </w:rPr>
                    <w:t xml:space="preserve">Be available 24 hours a day, 7 days a week for any </w:t>
                  </w:r>
                  <w:r>
                    <w:rPr>
                      <w:rFonts w:asciiTheme="minorHAnsi" w:hAnsiTheme="minorHAnsi" w:cs="Arial"/>
                      <w:sz w:val="22"/>
                      <w:szCs w:val="22"/>
                    </w:rPr>
                    <w:t>s</w:t>
                  </w:r>
                  <w:r w:rsidRPr="00C07C56">
                    <w:rPr>
                      <w:rFonts w:asciiTheme="minorHAnsi" w:hAnsiTheme="minorHAnsi" w:cs="Arial"/>
                      <w:sz w:val="22"/>
                      <w:szCs w:val="22"/>
                    </w:rPr>
                    <w:t>ecurity and building maintenance emergencies</w:t>
                  </w:r>
                </w:p>
              </w:tc>
              <w:tc>
                <w:tcPr>
                  <w:tcW w:w="4826" w:type="dxa"/>
                </w:tcPr>
                <w:p w:rsidR="0076764D" w:rsidRDefault="0076764D" w:rsidP="0076764D">
                  <w:pPr>
                    <w:pStyle w:val="ListParagraph"/>
                    <w:numPr>
                      <w:ilvl w:val="0"/>
                      <w:numId w:val="19"/>
                    </w:numPr>
                    <w:spacing w:after="60"/>
                    <w:ind w:left="360"/>
                    <w:contextualSpacing w:val="0"/>
                    <w:rPr>
                      <w:sz w:val="22"/>
                    </w:rPr>
                  </w:pPr>
                  <w:r>
                    <w:rPr>
                      <w:sz w:val="22"/>
                    </w:rPr>
                    <w:t xml:space="preserve">All Assets are maintained in serviceable condition and meet </w:t>
                  </w:r>
                  <w:r w:rsidRPr="00DF6B59">
                    <w:rPr>
                      <w:rFonts w:asciiTheme="minorHAnsi" w:hAnsiTheme="minorHAnsi" w:cs="Arial"/>
                      <w:bCs/>
                      <w:sz w:val="22"/>
                      <w:szCs w:val="22"/>
                    </w:rPr>
                    <w:t xml:space="preserve">NCC and WHS requirements, </w:t>
                  </w:r>
                  <w:r>
                    <w:rPr>
                      <w:rFonts w:asciiTheme="minorHAnsi" w:hAnsiTheme="minorHAnsi" w:cs="Arial"/>
                      <w:bCs/>
                      <w:sz w:val="22"/>
                      <w:szCs w:val="22"/>
                    </w:rPr>
                    <w:t xml:space="preserve">and all </w:t>
                  </w:r>
                  <w:r w:rsidRPr="00DF6B59">
                    <w:rPr>
                      <w:rFonts w:asciiTheme="minorHAnsi" w:hAnsiTheme="minorHAnsi" w:cs="Arial"/>
                      <w:bCs/>
                      <w:sz w:val="22"/>
                      <w:szCs w:val="22"/>
                    </w:rPr>
                    <w:t>Essential Service</w:t>
                  </w:r>
                  <w:r>
                    <w:rPr>
                      <w:rFonts w:asciiTheme="minorHAnsi" w:hAnsiTheme="minorHAnsi" w:cs="Arial"/>
                      <w:bCs/>
                      <w:sz w:val="22"/>
                      <w:szCs w:val="22"/>
                    </w:rPr>
                    <w:t xml:space="preserve"> are certified as compliant</w:t>
                  </w:r>
                  <w:r>
                    <w:rPr>
                      <w:sz w:val="22"/>
                    </w:rPr>
                    <w:t>.</w:t>
                  </w:r>
                </w:p>
                <w:p w:rsidR="0076764D" w:rsidRPr="00DF6B59" w:rsidRDefault="0076764D" w:rsidP="0076764D">
                  <w:pPr>
                    <w:tabs>
                      <w:tab w:val="left" w:pos="1630"/>
                    </w:tabs>
                    <w:spacing w:after="60"/>
                    <w:rPr>
                      <w:sz w:val="22"/>
                    </w:rPr>
                  </w:pPr>
                </w:p>
                <w:p w:rsidR="0076764D" w:rsidRPr="007B599F" w:rsidRDefault="0076764D" w:rsidP="0076764D">
                  <w:pPr>
                    <w:pStyle w:val="ListParagraph"/>
                    <w:numPr>
                      <w:ilvl w:val="0"/>
                      <w:numId w:val="19"/>
                    </w:numPr>
                    <w:spacing w:after="60"/>
                    <w:ind w:left="360"/>
                    <w:contextualSpacing w:val="0"/>
                    <w:rPr>
                      <w:sz w:val="22"/>
                    </w:rPr>
                  </w:pPr>
                  <w:r w:rsidRPr="007B599F">
                    <w:rPr>
                      <w:sz w:val="22"/>
                    </w:rPr>
                    <w:t xml:space="preserve">All Assets are fit for purpose, safe and compliant with all WHS requirements </w:t>
                  </w:r>
                </w:p>
                <w:p w:rsidR="0076764D" w:rsidRPr="00920B7E" w:rsidRDefault="0076764D" w:rsidP="0076764D">
                  <w:pPr>
                    <w:pStyle w:val="ListParagraph"/>
                    <w:numPr>
                      <w:ilvl w:val="0"/>
                      <w:numId w:val="19"/>
                    </w:numPr>
                    <w:spacing w:after="60"/>
                    <w:ind w:left="360"/>
                    <w:contextualSpacing w:val="0"/>
                    <w:rPr>
                      <w:sz w:val="22"/>
                    </w:rPr>
                  </w:pPr>
                  <w:r>
                    <w:rPr>
                      <w:sz w:val="22"/>
                    </w:rPr>
                    <w:t xml:space="preserve">Assets are maintained in a serviceable condition </w:t>
                  </w:r>
                </w:p>
                <w:p w:rsidR="0076764D" w:rsidRDefault="0076764D" w:rsidP="0076764D">
                  <w:pPr>
                    <w:pStyle w:val="ListParagraph"/>
                    <w:numPr>
                      <w:ilvl w:val="0"/>
                      <w:numId w:val="19"/>
                    </w:numPr>
                    <w:spacing w:after="60"/>
                    <w:ind w:left="360"/>
                    <w:contextualSpacing w:val="0"/>
                    <w:rPr>
                      <w:sz w:val="22"/>
                    </w:rPr>
                  </w:pPr>
                  <w:r>
                    <w:rPr>
                      <w:sz w:val="22"/>
                    </w:rPr>
                    <w:t>Consultants, and Contractors provide the appropriate services to all regulatory and MAH Code of Conduct requirements on an ongoing basis</w:t>
                  </w:r>
                </w:p>
                <w:p w:rsidR="002D1B2B" w:rsidRDefault="002D1B2B" w:rsidP="002D1B2B">
                  <w:pPr>
                    <w:spacing w:after="60"/>
                    <w:rPr>
                      <w:sz w:val="22"/>
                    </w:rPr>
                  </w:pPr>
                </w:p>
                <w:p w:rsidR="0076764D" w:rsidRDefault="0076764D" w:rsidP="0076764D">
                  <w:pPr>
                    <w:pStyle w:val="ListParagraph"/>
                    <w:numPr>
                      <w:ilvl w:val="0"/>
                      <w:numId w:val="19"/>
                    </w:numPr>
                    <w:spacing w:after="60"/>
                    <w:ind w:left="360"/>
                    <w:contextualSpacing w:val="0"/>
                    <w:rPr>
                      <w:sz w:val="22"/>
                    </w:rPr>
                  </w:pPr>
                  <w:r>
                    <w:rPr>
                      <w:sz w:val="22"/>
                    </w:rPr>
                    <w:t xml:space="preserve">There is a culture of </w:t>
                  </w:r>
                  <w:r w:rsidRPr="00DA6C78">
                    <w:rPr>
                      <w:rFonts w:asciiTheme="minorHAnsi" w:hAnsiTheme="minorHAnsi" w:cs="Arial"/>
                      <w:sz w:val="22"/>
                      <w:szCs w:val="22"/>
                    </w:rPr>
                    <w:t>continuous improvement</w:t>
                  </w:r>
                  <w:r>
                    <w:rPr>
                      <w:rFonts w:asciiTheme="minorHAnsi" w:hAnsiTheme="minorHAnsi" w:cs="Arial"/>
                      <w:sz w:val="22"/>
                      <w:szCs w:val="22"/>
                    </w:rPr>
                    <w:t xml:space="preserve"> and a goal driven approach</w:t>
                  </w:r>
                </w:p>
                <w:p w:rsidR="002D1B2B" w:rsidRDefault="002D1B2B" w:rsidP="002D1B2B">
                  <w:pPr>
                    <w:pStyle w:val="ListParagraph"/>
                    <w:spacing w:after="60"/>
                    <w:ind w:left="360"/>
                    <w:contextualSpacing w:val="0"/>
                    <w:rPr>
                      <w:sz w:val="22"/>
                    </w:rPr>
                  </w:pPr>
                </w:p>
                <w:p w:rsidR="002D1B2B" w:rsidRDefault="002D1B2B" w:rsidP="002D1B2B">
                  <w:pPr>
                    <w:pStyle w:val="ListParagraph"/>
                    <w:spacing w:after="60"/>
                    <w:ind w:left="360"/>
                    <w:contextualSpacing w:val="0"/>
                    <w:rPr>
                      <w:sz w:val="22"/>
                    </w:rPr>
                  </w:pPr>
                </w:p>
                <w:p w:rsidR="0076764D" w:rsidRDefault="0076764D" w:rsidP="0076764D">
                  <w:pPr>
                    <w:pStyle w:val="ListParagraph"/>
                    <w:numPr>
                      <w:ilvl w:val="0"/>
                      <w:numId w:val="19"/>
                    </w:numPr>
                    <w:spacing w:after="60"/>
                    <w:ind w:left="360"/>
                    <w:contextualSpacing w:val="0"/>
                    <w:rPr>
                      <w:sz w:val="22"/>
                    </w:rPr>
                  </w:pPr>
                  <w:r>
                    <w:rPr>
                      <w:sz w:val="22"/>
                    </w:rPr>
                    <w:t xml:space="preserve">Asset management plans are </w:t>
                  </w:r>
                  <w:r>
                    <w:rPr>
                      <w:sz w:val="22"/>
                      <w:szCs w:val="22"/>
                    </w:rPr>
                    <w:t xml:space="preserve"> accurately </w:t>
                  </w:r>
                  <w:r>
                    <w:rPr>
                      <w:sz w:val="22"/>
                    </w:rPr>
                    <w:t xml:space="preserve">developed and </w:t>
                  </w:r>
                  <w:r w:rsidRPr="00C07C56">
                    <w:rPr>
                      <w:sz w:val="22"/>
                    </w:rPr>
                    <w:t xml:space="preserve"> </w:t>
                  </w:r>
                  <w:r>
                    <w:rPr>
                      <w:sz w:val="22"/>
                    </w:rPr>
                    <w:t>implemented and result in the ongoing sustainability of properties and minimised unexpected expenditure</w:t>
                  </w:r>
                </w:p>
                <w:p w:rsidR="0076764D" w:rsidRDefault="0076764D" w:rsidP="0076764D">
                  <w:pPr>
                    <w:pStyle w:val="ListParagraph"/>
                    <w:numPr>
                      <w:ilvl w:val="0"/>
                      <w:numId w:val="19"/>
                    </w:numPr>
                    <w:spacing w:after="60"/>
                    <w:ind w:left="360"/>
                    <w:contextualSpacing w:val="0"/>
                    <w:rPr>
                      <w:sz w:val="22"/>
                    </w:rPr>
                  </w:pPr>
                  <w:r>
                    <w:rPr>
                      <w:sz w:val="22"/>
                    </w:rPr>
                    <w:t>Any s</w:t>
                  </w:r>
                  <w:r w:rsidRPr="00C07C56">
                    <w:rPr>
                      <w:rFonts w:asciiTheme="minorHAnsi" w:hAnsiTheme="minorHAnsi" w:cs="Arial"/>
                      <w:sz w:val="22"/>
                      <w:szCs w:val="22"/>
                    </w:rPr>
                    <w:t>ecurity and building maintenance emergencies</w:t>
                  </w:r>
                  <w:r>
                    <w:rPr>
                      <w:rFonts w:asciiTheme="minorHAnsi" w:hAnsiTheme="minorHAnsi" w:cs="Arial"/>
                      <w:sz w:val="22"/>
                      <w:szCs w:val="22"/>
                    </w:rPr>
                    <w:t xml:space="preserve"> are managed timely and appropriately</w:t>
                  </w:r>
                </w:p>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522F8C"/>
                    </w:rPr>
                    <w:t>Key Result Area 2</w:t>
                  </w:r>
                </w:p>
              </w:tc>
              <w:tc>
                <w:tcPr>
                  <w:tcW w:w="4826" w:type="dxa"/>
                </w:tcPr>
                <w:p w:rsidR="00422424" w:rsidRDefault="00DE34AD" w:rsidP="0070562F">
                  <w:pPr>
                    <w:spacing w:before="40" w:after="60"/>
                    <w:rPr>
                      <w:b/>
                      <w:color w:val="522F8C"/>
                    </w:rPr>
                  </w:pPr>
                  <w:r>
                    <w:rPr>
                      <w:b/>
                      <w:color w:val="522F8C"/>
                    </w:rPr>
                    <w:t>Asset Management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DE34AD" w:rsidRPr="0053218F" w:rsidRDefault="00DE34AD" w:rsidP="00DE34AD">
                  <w:pPr>
                    <w:pStyle w:val="ListParagraph"/>
                    <w:numPr>
                      <w:ilvl w:val="0"/>
                      <w:numId w:val="19"/>
                    </w:numPr>
                    <w:spacing w:after="60"/>
                    <w:ind w:left="360"/>
                    <w:contextualSpacing w:val="0"/>
                    <w:rPr>
                      <w:sz w:val="22"/>
                    </w:rPr>
                  </w:pPr>
                  <w:r w:rsidRPr="0053218F">
                    <w:rPr>
                      <w:sz w:val="22"/>
                    </w:rPr>
                    <w:t xml:space="preserve">Contribute to </w:t>
                  </w:r>
                  <w:r>
                    <w:rPr>
                      <w:sz w:val="22"/>
                    </w:rPr>
                    <w:t>the</w:t>
                  </w:r>
                  <w:r w:rsidRPr="0053218F">
                    <w:rPr>
                      <w:sz w:val="22"/>
                    </w:rPr>
                    <w:t xml:space="preserve"> development of a range of strategies for the maintenance and improvement of existing properties and long term asset planning.</w:t>
                  </w:r>
                </w:p>
                <w:p w:rsidR="00DE34AD" w:rsidRDefault="00DE34AD" w:rsidP="00DE34AD">
                  <w:pPr>
                    <w:pStyle w:val="ListParagraph"/>
                    <w:numPr>
                      <w:ilvl w:val="0"/>
                      <w:numId w:val="19"/>
                    </w:numPr>
                    <w:spacing w:after="60"/>
                    <w:ind w:left="360"/>
                    <w:contextualSpacing w:val="0"/>
                    <w:rPr>
                      <w:sz w:val="22"/>
                    </w:rPr>
                  </w:pPr>
                  <w:r>
                    <w:rPr>
                      <w:sz w:val="22"/>
                    </w:rPr>
                    <w:t>Work in conjunction with the MA Service Management to ensure ongoing alignment between the operational requirements and asset management practices.</w:t>
                  </w:r>
                </w:p>
                <w:p w:rsidR="00DE34AD" w:rsidRDefault="00DE34AD" w:rsidP="00DE34AD">
                  <w:pPr>
                    <w:pStyle w:val="ListParagraph"/>
                    <w:numPr>
                      <w:ilvl w:val="0"/>
                      <w:numId w:val="19"/>
                    </w:numPr>
                    <w:spacing w:after="60"/>
                    <w:ind w:left="360"/>
                    <w:contextualSpacing w:val="0"/>
                    <w:rPr>
                      <w:sz w:val="22"/>
                    </w:rPr>
                  </w:pPr>
                  <w:r>
                    <w:rPr>
                      <w:sz w:val="22"/>
                    </w:rPr>
                    <w:t xml:space="preserve">Working in conjunction with the National Asset Manager to effectively implement a range of asset management policies, procedures and systems to ensure they are used appropriately. </w:t>
                  </w:r>
                </w:p>
                <w:p w:rsidR="00422424" w:rsidRDefault="00DE34AD" w:rsidP="002D1B2B">
                  <w:pPr>
                    <w:pStyle w:val="ListParagraph"/>
                    <w:numPr>
                      <w:ilvl w:val="0"/>
                      <w:numId w:val="19"/>
                    </w:numPr>
                    <w:spacing w:after="60"/>
                    <w:ind w:left="360"/>
                    <w:contextualSpacing w:val="0"/>
                    <w:rPr>
                      <w:b/>
                      <w:color w:val="522F8C"/>
                    </w:rPr>
                  </w:pPr>
                  <w:r>
                    <w:rPr>
                      <w:sz w:val="22"/>
                    </w:rPr>
                    <w:t>Develop networks with other NFP, government and industry consultants in order to ensure MAH stays informed of industry best practice.</w:t>
                  </w:r>
                </w:p>
              </w:tc>
              <w:tc>
                <w:tcPr>
                  <w:tcW w:w="4826" w:type="dxa"/>
                </w:tcPr>
                <w:p w:rsidR="00DE34AD" w:rsidRPr="0053218F" w:rsidRDefault="00DE34AD" w:rsidP="00DE34AD">
                  <w:pPr>
                    <w:pStyle w:val="ListParagraph"/>
                    <w:numPr>
                      <w:ilvl w:val="0"/>
                      <w:numId w:val="19"/>
                    </w:numPr>
                    <w:spacing w:after="60"/>
                    <w:ind w:left="360"/>
                    <w:contextualSpacing w:val="0"/>
                    <w:rPr>
                      <w:sz w:val="22"/>
                    </w:rPr>
                  </w:pPr>
                  <w:r w:rsidRPr="0053218F">
                    <w:rPr>
                      <w:sz w:val="22"/>
                    </w:rPr>
                    <w:t>Strong alignment is maintained with the operationa</w:t>
                  </w:r>
                  <w:r>
                    <w:rPr>
                      <w:sz w:val="22"/>
                    </w:rPr>
                    <w:t xml:space="preserve">l and asset requirements of MAH/MA </w:t>
                  </w:r>
                  <w:r w:rsidRPr="0053218F">
                    <w:rPr>
                      <w:sz w:val="22"/>
                    </w:rPr>
                    <w:t>ensuring that both needs are met.</w:t>
                  </w:r>
                </w:p>
                <w:p w:rsidR="00DE34AD" w:rsidRDefault="00DE34AD" w:rsidP="00DE34AD">
                  <w:pPr>
                    <w:pStyle w:val="ListParagraph"/>
                    <w:numPr>
                      <w:ilvl w:val="0"/>
                      <w:numId w:val="19"/>
                    </w:numPr>
                    <w:spacing w:after="60"/>
                    <w:ind w:left="360"/>
                    <w:contextualSpacing w:val="0"/>
                    <w:rPr>
                      <w:sz w:val="22"/>
                    </w:rPr>
                  </w:pPr>
                  <w:r>
                    <w:rPr>
                      <w:sz w:val="22"/>
                    </w:rPr>
                    <w:t xml:space="preserve">Opportunities for loss and areas of risk to MAH/MA are identified and minimised. </w:t>
                  </w:r>
                </w:p>
                <w:p w:rsidR="00DE34AD" w:rsidRDefault="00DE34AD" w:rsidP="00DE34AD">
                  <w:pPr>
                    <w:pStyle w:val="ListParagraph"/>
                    <w:numPr>
                      <w:ilvl w:val="0"/>
                      <w:numId w:val="19"/>
                    </w:numPr>
                    <w:spacing w:after="60"/>
                    <w:ind w:left="360"/>
                    <w:contextualSpacing w:val="0"/>
                    <w:rPr>
                      <w:sz w:val="22"/>
                    </w:rPr>
                  </w:pPr>
                  <w:r>
                    <w:rPr>
                      <w:sz w:val="22"/>
                    </w:rPr>
                    <w:t xml:space="preserve">Relationships are established which inform MAH/MA strategy and the sharing of information in the industry. </w:t>
                  </w:r>
                </w:p>
                <w:p w:rsidR="00422424" w:rsidRDefault="00422424" w:rsidP="0070562F">
                  <w:pPr>
                    <w:spacing w:before="40" w:after="60"/>
                    <w:rPr>
                      <w:b/>
                      <w:color w:val="522F8C"/>
                    </w:rPr>
                  </w:pPr>
                </w:p>
              </w:tc>
            </w:tr>
            <w:tr w:rsidR="00422424" w:rsidTr="00FE7144">
              <w:tc>
                <w:tcPr>
                  <w:tcW w:w="4383" w:type="dxa"/>
                </w:tcPr>
                <w:p w:rsidR="00422424" w:rsidRDefault="00422424" w:rsidP="00422424">
                  <w:pPr>
                    <w:spacing w:before="40" w:after="60"/>
                    <w:rPr>
                      <w:b/>
                      <w:color w:val="522F8C"/>
                    </w:rPr>
                  </w:pPr>
                  <w:r>
                    <w:rPr>
                      <w:b/>
                      <w:color w:val="522F8C"/>
                    </w:rPr>
                    <w:lastRenderedPageBreak/>
                    <w:t>Key Result Area 3</w:t>
                  </w:r>
                </w:p>
              </w:tc>
              <w:tc>
                <w:tcPr>
                  <w:tcW w:w="4826" w:type="dxa"/>
                </w:tcPr>
                <w:p w:rsidR="00422424" w:rsidRDefault="00DE34AD" w:rsidP="0070562F">
                  <w:pPr>
                    <w:spacing w:before="40" w:after="60"/>
                    <w:rPr>
                      <w:b/>
                      <w:color w:val="522F8C"/>
                    </w:rPr>
                  </w:pPr>
                  <w:r>
                    <w:rPr>
                      <w:b/>
                      <w:color w:val="522F8C"/>
                    </w:rPr>
                    <w:t>Contract Management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DE34AD" w:rsidRDefault="00DE34AD" w:rsidP="00DE34AD">
                  <w:pPr>
                    <w:pStyle w:val="ListParagraph"/>
                    <w:numPr>
                      <w:ilvl w:val="0"/>
                      <w:numId w:val="19"/>
                    </w:numPr>
                    <w:spacing w:after="60"/>
                    <w:ind w:left="360"/>
                    <w:contextualSpacing w:val="0"/>
                    <w:rPr>
                      <w:sz w:val="22"/>
                    </w:rPr>
                  </w:pPr>
                  <w:r>
                    <w:rPr>
                      <w:sz w:val="22"/>
                    </w:rPr>
                    <w:t>Ensure probity in the management of all asset related contracts.</w:t>
                  </w:r>
                </w:p>
                <w:p w:rsidR="00DE34AD" w:rsidRDefault="00DE34AD" w:rsidP="00DE34AD">
                  <w:pPr>
                    <w:pStyle w:val="ListParagraph"/>
                    <w:numPr>
                      <w:ilvl w:val="0"/>
                      <w:numId w:val="19"/>
                    </w:numPr>
                    <w:spacing w:after="60"/>
                    <w:ind w:left="360"/>
                    <w:contextualSpacing w:val="0"/>
                    <w:rPr>
                      <w:sz w:val="22"/>
                    </w:rPr>
                  </w:pPr>
                  <w:r>
                    <w:rPr>
                      <w:sz w:val="22"/>
                    </w:rPr>
                    <w:t>Ensure Consultants and Contractors have appropriate contracts, insurances and license in place prior to undertaking works.</w:t>
                  </w:r>
                </w:p>
                <w:p w:rsidR="00DE34AD" w:rsidRDefault="00DE34AD" w:rsidP="00DE34AD">
                  <w:pPr>
                    <w:pStyle w:val="ListParagraph"/>
                    <w:numPr>
                      <w:ilvl w:val="0"/>
                      <w:numId w:val="19"/>
                    </w:numPr>
                    <w:spacing w:after="60"/>
                    <w:ind w:left="360"/>
                    <w:contextualSpacing w:val="0"/>
                    <w:rPr>
                      <w:sz w:val="22"/>
                    </w:rPr>
                  </w:pPr>
                  <w:r>
                    <w:rPr>
                      <w:sz w:val="22"/>
                    </w:rPr>
                    <w:t xml:space="preserve">Ensure  Consultants, and Contractors are appropriately inducted prior to undertaking works, WHS compliance, Safe Working Method Statements and are familiar with applicable policies and procedures, including  any that area site specific. </w:t>
                  </w:r>
                </w:p>
                <w:p w:rsidR="00DE34AD" w:rsidRDefault="00DE34AD" w:rsidP="00DE34AD">
                  <w:pPr>
                    <w:pStyle w:val="ListParagraph"/>
                    <w:numPr>
                      <w:ilvl w:val="0"/>
                      <w:numId w:val="19"/>
                    </w:numPr>
                    <w:spacing w:after="60"/>
                    <w:ind w:left="360"/>
                    <w:contextualSpacing w:val="0"/>
                    <w:rPr>
                      <w:sz w:val="22"/>
                    </w:rPr>
                  </w:pPr>
                  <w:r>
                    <w:rPr>
                      <w:sz w:val="22"/>
                    </w:rPr>
                    <w:t>Undertake site inspections to ensure contractors are onsite and delivering services as to required standard.</w:t>
                  </w:r>
                </w:p>
                <w:p w:rsidR="00DE34AD" w:rsidRDefault="00DE34AD" w:rsidP="00DE34AD">
                  <w:pPr>
                    <w:pStyle w:val="ListParagraph"/>
                    <w:numPr>
                      <w:ilvl w:val="0"/>
                      <w:numId w:val="19"/>
                    </w:numPr>
                    <w:spacing w:after="60"/>
                    <w:ind w:left="360"/>
                    <w:contextualSpacing w:val="0"/>
                    <w:rPr>
                      <w:sz w:val="22"/>
                    </w:rPr>
                  </w:pPr>
                  <w:r>
                    <w:rPr>
                      <w:sz w:val="22"/>
                    </w:rPr>
                    <w:t>Reviewing all work completed through inspection, engagement of Site contact, research and due diligence.</w:t>
                  </w:r>
                </w:p>
                <w:p w:rsidR="00DE34AD" w:rsidRDefault="00DE34AD" w:rsidP="00DE34AD">
                  <w:pPr>
                    <w:pStyle w:val="ListParagraph"/>
                    <w:numPr>
                      <w:ilvl w:val="0"/>
                      <w:numId w:val="19"/>
                    </w:numPr>
                    <w:spacing w:after="60"/>
                    <w:ind w:left="360"/>
                    <w:contextualSpacing w:val="0"/>
                    <w:rPr>
                      <w:sz w:val="22"/>
                    </w:rPr>
                  </w:pPr>
                  <w:r>
                    <w:rPr>
                      <w:sz w:val="22"/>
                    </w:rPr>
                    <w:t>Attending properties to approve scope of works required to a consistent standard within the portfolio.</w:t>
                  </w:r>
                </w:p>
                <w:p w:rsidR="00DE34AD" w:rsidRPr="00DE34AD" w:rsidRDefault="00DE34AD" w:rsidP="00DE34AD">
                  <w:pPr>
                    <w:pStyle w:val="ListParagraph"/>
                    <w:numPr>
                      <w:ilvl w:val="0"/>
                      <w:numId w:val="19"/>
                    </w:numPr>
                    <w:spacing w:before="40" w:after="60"/>
                    <w:ind w:left="360"/>
                    <w:contextualSpacing w:val="0"/>
                    <w:rPr>
                      <w:b/>
                      <w:color w:val="522F8C"/>
                    </w:rPr>
                  </w:pPr>
                  <w:r w:rsidRPr="00DE34AD">
                    <w:rPr>
                      <w:sz w:val="22"/>
                    </w:rPr>
                    <w:t>Manage contractor performance to contract KPI’s while ensuring a constructive ‘one team’ approach.</w:t>
                  </w:r>
                </w:p>
                <w:p w:rsidR="00422424" w:rsidRDefault="00DE34AD" w:rsidP="002D1B2B">
                  <w:pPr>
                    <w:pStyle w:val="ListParagraph"/>
                    <w:numPr>
                      <w:ilvl w:val="0"/>
                      <w:numId w:val="19"/>
                    </w:numPr>
                    <w:spacing w:before="40" w:after="60"/>
                    <w:ind w:left="360"/>
                    <w:contextualSpacing w:val="0"/>
                    <w:rPr>
                      <w:b/>
                      <w:color w:val="522F8C"/>
                    </w:rPr>
                  </w:pPr>
                  <w:r w:rsidRPr="00DE34AD">
                    <w:rPr>
                      <w:sz w:val="22"/>
                    </w:rPr>
                    <w:t xml:space="preserve">Consultants and Contractors are systematically audited to ensure compliance with WHS, environmental management and Contractor Code of Conduct requirements. </w:t>
                  </w:r>
                </w:p>
              </w:tc>
              <w:tc>
                <w:tcPr>
                  <w:tcW w:w="4826" w:type="dxa"/>
                </w:tcPr>
                <w:p w:rsidR="00DE34AD" w:rsidRDefault="00DE34AD" w:rsidP="00DE34AD">
                  <w:pPr>
                    <w:pStyle w:val="ListParagraph"/>
                    <w:numPr>
                      <w:ilvl w:val="0"/>
                      <w:numId w:val="19"/>
                    </w:numPr>
                    <w:spacing w:after="60"/>
                    <w:ind w:left="360"/>
                    <w:contextualSpacing w:val="0"/>
                    <w:rPr>
                      <w:sz w:val="22"/>
                    </w:rPr>
                  </w:pPr>
                  <w:r>
                    <w:rPr>
                      <w:sz w:val="22"/>
                    </w:rPr>
                    <w:t>Competitive tendering for contracts exist and contract are managed ethically.</w:t>
                  </w:r>
                </w:p>
                <w:p w:rsidR="00DE34AD" w:rsidRDefault="00DE34AD" w:rsidP="00DE34AD">
                  <w:pPr>
                    <w:pStyle w:val="ListParagraph"/>
                    <w:numPr>
                      <w:ilvl w:val="0"/>
                      <w:numId w:val="19"/>
                    </w:numPr>
                    <w:spacing w:after="60"/>
                    <w:ind w:left="360"/>
                    <w:contextualSpacing w:val="0"/>
                    <w:rPr>
                      <w:sz w:val="22"/>
                    </w:rPr>
                  </w:pPr>
                  <w:r>
                    <w:rPr>
                      <w:sz w:val="22"/>
                    </w:rPr>
                    <w:t>Contract administration meets required MA/MAH standards.</w:t>
                  </w:r>
                </w:p>
                <w:p w:rsidR="00DE34AD" w:rsidRDefault="00DE34AD" w:rsidP="00DE34AD">
                  <w:pPr>
                    <w:pStyle w:val="ListParagraph"/>
                    <w:numPr>
                      <w:ilvl w:val="0"/>
                      <w:numId w:val="19"/>
                    </w:numPr>
                    <w:spacing w:after="60"/>
                    <w:ind w:left="360"/>
                    <w:contextualSpacing w:val="0"/>
                    <w:rPr>
                      <w:sz w:val="22"/>
                    </w:rPr>
                  </w:pPr>
                  <w:r>
                    <w:rPr>
                      <w:sz w:val="22"/>
                    </w:rPr>
                    <w:t>Quality and timely works and service provided by Consultants, and Contractors.</w:t>
                  </w:r>
                </w:p>
                <w:p w:rsidR="00DE34AD" w:rsidRDefault="00DE34AD" w:rsidP="00DE34AD">
                  <w:pPr>
                    <w:pStyle w:val="ListParagraph"/>
                    <w:numPr>
                      <w:ilvl w:val="0"/>
                      <w:numId w:val="19"/>
                    </w:numPr>
                    <w:spacing w:after="60"/>
                    <w:ind w:left="360"/>
                    <w:contextualSpacing w:val="0"/>
                    <w:rPr>
                      <w:sz w:val="22"/>
                    </w:rPr>
                  </w:pPr>
                  <w:r>
                    <w:rPr>
                      <w:sz w:val="22"/>
                    </w:rPr>
                    <w:t>Maintenance service is delivered effectively in terms of time and cost.</w:t>
                  </w:r>
                </w:p>
                <w:p w:rsidR="00DE34AD" w:rsidRDefault="00DE34AD" w:rsidP="00DE34AD">
                  <w:pPr>
                    <w:pStyle w:val="ListParagraph"/>
                    <w:numPr>
                      <w:ilvl w:val="0"/>
                      <w:numId w:val="19"/>
                    </w:numPr>
                    <w:spacing w:after="60"/>
                    <w:ind w:left="360"/>
                    <w:contextualSpacing w:val="0"/>
                    <w:rPr>
                      <w:sz w:val="22"/>
                    </w:rPr>
                  </w:pPr>
                  <w:r>
                    <w:rPr>
                      <w:sz w:val="22"/>
                    </w:rPr>
                    <w:t>Financial QA is completed at submission of report and invoice from contractor.</w:t>
                  </w:r>
                </w:p>
                <w:p w:rsidR="00DE34AD" w:rsidRPr="00DE34AD" w:rsidRDefault="00DE34AD" w:rsidP="00DE34AD">
                  <w:pPr>
                    <w:pStyle w:val="ListParagraph"/>
                    <w:numPr>
                      <w:ilvl w:val="0"/>
                      <w:numId w:val="19"/>
                    </w:numPr>
                    <w:spacing w:after="60"/>
                    <w:ind w:left="360"/>
                    <w:contextualSpacing w:val="0"/>
                    <w:rPr>
                      <w:b/>
                      <w:color w:val="522F8C"/>
                    </w:rPr>
                  </w:pPr>
                  <w:r>
                    <w:rPr>
                      <w:sz w:val="22"/>
                    </w:rPr>
                    <w:t>Work is scoped within KPI timeframe, within budget and consistency in property standards is maintained within the portfolio.</w:t>
                  </w:r>
                </w:p>
                <w:p w:rsidR="00422424" w:rsidRDefault="00DE34AD" w:rsidP="00DE34AD">
                  <w:pPr>
                    <w:pStyle w:val="ListParagraph"/>
                    <w:numPr>
                      <w:ilvl w:val="0"/>
                      <w:numId w:val="19"/>
                    </w:numPr>
                    <w:spacing w:after="60"/>
                    <w:ind w:left="360"/>
                    <w:contextualSpacing w:val="0"/>
                    <w:rPr>
                      <w:b/>
                      <w:color w:val="522F8C"/>
                    </w:rPr>
                  </w:pPr>
                  <w:r>
                    <w:rPr>
                      <w:sz w:val="22"/>
                    </w:rPr>
                    <w:t>Consultants, and Contractors meet all regulatory and MAH Code of Conduct requirements on a continuous basis.</w:t>
                  </w:r>
                </w:p>
              </w:tc>
            </w:tr>
            <w:tr w:rsidR="00422424" w:rsidTr="00FE7144">
              <w:tc>
                <w:tcPr>
                  <w:tcW w:w="4383" w:type="dxa"/>
                </w:tcPr>
                <w:p w:rsidR="00422424" w:rsidRDefault="00422424" w:rsidP="00B47289">
                  <w:pPr>
                    <w:spacing w:before="40" w:after="60"/>
                    <w:rPr>
                      <w:b/>
                      <w:color w:val="522F8C"/>
                    </w:rPr>
                  </w:pPr>
                  <w:r>
                    <w:rPr>
                      <w:b/>
                      <w:color w:val="522F8C"/>
                    </w:rPr>
                    <w:t xml:space="preserve">Key Result Area </w:t>
                  </w:r>
                  <w:r w:rsidR="00B47289">
                    <w:rPr>
                      <w:b/>
                      <w:color w:val="522F8C"/>
                    </w:rPr>
                    <w:t>4</w:t>
                  </w:r>
                </w:p>
              </w:tc>
              <w:tc>
                <w:tcPr>
                  <w:tcW w:w="4826" w:type="dxa"/>
                </w:tcPr>
                <w:p w:rsidR="00422424" w:rsidRDefault="006D4A35" w:rsidP="0070562F">
                  <w:pPr>
                    <w:spacing w:before="40" w:after="60"/>
                    <w:rPr>
                      <w:b/>
                      <w:color w:val="522F8C"/>
                    </w:rPr>
                  </w:pPr>
                  <w:r>
                    <w:rPr>
                      <w:b/>
                      <w:color w:val="522F8C"/>
                    </w:rPr>
                    <w:t>Compliance and Reporting</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6D4A35" w:rsidRDefault="006D4A35" w:rsidP="006D4A35">
                  <w:pPr>
                    <w:pStyle w:val="ListParagraph"/>
                    <w:numPr>
                      <w:ilvl w:val="0"/>
                      <w:numId w:val="19"/>
                    </w:numPr>
                    <w:spacing w:after="60"/>
                    <w:ind w:left="318" w:hanging="284"/>
                    <w:contextualSpacing w:val="0"/>
                    <w:rPr>
                      <w:sz w:val="22"/>
                    </w:rPr>
                  </w:pPr>
                  <w:r>
                    <w:rPr>
                      <w:sz w:val="22"/>
                    </w:rPr>
                    <w:t>Ensure MAH/MA meets all external and internal compliance requirements for asset and property management.</w:t>
                  </w:r>
                </w:p>
                <w:p w:rsidR="006D4A35" w:rsidRDefault="006D4A35" w:rsidP="006D4A35">
                  <w:pPr>
                    <w:pStyle w:val="ListParagraph"/>
                    <w:numPr>
                      <w:ilvl w:val="0"/>
                      <w:numId w:val="19"/>
                    </w:numPr>
                    <w:spacing w:after="60"/>
                    <w:ind w:left="318" w:hanging="284"/>
                    <w:contextualSpacing w:val="0"/>
                    <w:rPr>
                      <w:sz w:val="22"/>
                    </w:rPr>
                  </w:pPr>
                  <w:r>
                    <w:rPr>
                      <w:sz w:val="22"/>
                    </w:rPr>
                    <w:t>Property data is captured in a timely way within internal systems to facilitate effective asset management planning and reporting.</w:t>
                  </w:r>
                </w:p>
                <w:p w:rsidR="006D4A35" w:rsidRDefault="006D4A35" w:rsidP="006D4A35">
                  <w:pPr>
                    <w:pStyle w:val="ListParagraph"/>
                    <w:numPr>
                      <w:ilvl w:val="0"/>
                      <w:numId w:val="19"/>
                    </w:numPr>
                    <w:spacing w:after="60"/>
                    <w:ind w:left="318" w:hanging="284"/>
                    <w:contextualSpacing w:val="0"/>
                    <w:rPr>
                      <w:sz w:val="22"/>
                    </w:rPr>
                  </w:pPr>
                  <w:r>
                    <w:rPr>
                      <w:sz w:val="22"/>
                    </w:rPr>
                    <w:t>Develop and contribute to a range of reports and analysis for internal use.</w:t>
                  </w:r>
                </w:p>
                <w:p w:rsidR="006D4A35" w:rsidRDefault="006D4A35" w:rsidP="006D4A35">
                  <w:pPr>
                    <w:pStyle w:val="ListParagraph"/>
                    <w:numPr>
                      <w:ilvl w:val="0"/>
                      <w:numId w:val="19"/>
                    </w:numPr>
                    <w:spacing w:after="60"/>
                    <w:ind w:left="318" w:hanging="284"/>
                    <w:contextualSpacing w:val="0"/>
                    <w:rPr>
                      <w:sz w:val="22"/>
                    </w:rPr>
                  </w:pPr>
                  <w:r>
                    <w:rPr>
                      <w:sz w:val="22"/>
                    </w:rPr>
                    <w:t>Contribute to the preparation of asset management related financial budgets, cash flows and forecasts.</w:t>
                  </w:r>
                </w:p>
                <w:p w:rsidR="006D4A35" w:rsidRDefault="006D4A35" w:rsidP="006D4A35">
                  <w:pPr>
                    <w:pStyle w:val="ListParagraph"/>
                    <w:numPr>
                      <w:ilvl w:val="0"/>
                      <w:numId w:val="19"/>
                    </w:numPr>
                    <w:spacing w:after="60"/>
                    <w:ind w:left="318" w:hanging="284"/>
                    <w:contextualSpacing w:val="0"/>
                    <w:rPr>
                      <w:sz w:val="22"/>
                    </w:rPr>
                  </w:pPr>
                  <w:r>
                    <w:rPr>
                      <w:sz w:val="22"/>
                    </w:rPr>
                    <w:t xml:space="preserve">Managing and tracking works to ensure </w:t>
                  </w:r>
                  <w:r>
                    <w:rPr>
                      <w:sz w:val="22"/>
                    </w:rPr>
                    <w:lastRenderedPageBreak/>
                    <w:t>turnaround time meets internal KPI’s.</w:t>
                  </w:r>
                </w:p>
                <w:p w:rsidR="006D4A35" w:rsidRDefault="006D4A35" w:rsidP="006D4A35">
                  <w:pPr>
                    <w:pStyle w:val="ListParagraph"/>
                    <w:numPr>
                      <w:ilvl w:val="0"/>
                      <w:numId w:val="19"/>
                    </w:numPr>
                    <w:spacing w:after="60"/>
                    <w:ind w:left="318" w:hanging="284"/>
                    <w:contextualSpacing w:val="0"/>
                    <w:rPr>
                      <w:sz w:val="22"/>
                    </w:rPr>
                  </w:pPr>
                  <w:r>
                    <w:rPr>
                      <w:sz w:val="22"/>
                    </w:rPr>
                    <w:t>Regular update information into the Asset Management systems as required.</w:t>
                  </w:r>
                </w:p>
                <w:p w:rsidR="00422424" w:rsidRDefault="006D4A35" w:rsidP="002D1B2B">
                  <w:pPr>
                    <w:pStyle w:val="ListParagraph"/>
                    <w:numPr>
                      <w:ilvl w:val="0"/>
                      <w:numId w:val="19"/>
                    </w:numPr>
                    <w:spacing w:after="60"/>
                    <w:ind w:left="318" w:hanging="284"/>
                    <w:contextualSpacing w:val="0"/>
                    <w:rPr>
                      <w:b/>
                      <w:color w:val="522F8C"/>
                    </w:rPr>
                  </w:pPr>
                  <w:r w:rsidRPr="002D1B2B">
                    <w:rPr>
                      <w:sz w:val="22"/>
                    </w:rPr>
                    <w:t>Maintain baseline property condition data on each property through a mix of initial Property Assessment Surveys (PAS’s) and a schedule of regular and systematic property inspections.</w:t>
                  </w:r>
                </w:p>
              </w:tc>
              <w:tc>
                <w:tcPr>
                  <w:tcW w:w="4826" w:type="dxa"/>
                </w:tcPr>
                <w:p w:rsidR="006D4A35" w:rsidRPr="002F36BE" w:rsidRDefault="006D4A35" w:rsidP="006D4A35">
                  <w:pPr>
                    <w:pStyle w:val="ListParagraph"/>
                    <w:numPr>
                      <w:ilvl w:val="0"/>
                      <w:numId w:val="19"/>
                    </w:numPr>
                    <w:spacing w:after="60"/>
                    <w:ind w:left="318" w:hanging="284"/>
                    <w:contextualSpacing w:val="0"/>
                    <w:rPr>
                      <w:sz w:val="22"/>
                      <w:szCs w:val="22"/>
                    </w:rPr>
                  </w:pPr>
                  <w:r w:rsidRPr="002F36BE">
                    <w:rPr>
                      <w:sz w:val="22"/>
                      <w:szCs w:val="22"/>
                    </w:rPr>
                    <w:lastRenderedPageBreak/>
                    <w:t>Compliance requirements for registration and accreditation are fully met or exceeded for asset &amp; property management.</w:t>
                  </w:r>
                </w:p>
                <w:p w:rsidR="006D4A35" w:rsidRDefault="006D4A35" w:rsidP="006D4A35">
                  <w:pPr>
                    <w:pStyle w:val="ListParagraph"/>
                    <w:numPr>
                      <w:ilvl w:val="0"/>
                      <w:numId w:val="19"/>
                    </w:numPr>
                    <w:spacing w:after="60"/>
                    <w:ind w:left="318" w:hanging="284"/>
                    <w:contextualSpacing w:val="0"/>
                    <w:rPr>
                      <w:sz w:val="22"/>
                      <w:szCs w:val="22"/>
                    </w:rPr>
                  </w:pPr>
                  <w:r>
                    <w:rPr>
                      <w:sz w:val="22"/>
                      <w:szCs w:val="22"/>
                    </w:rPr>
                    <w:t>Asset management plans and budgets are in place for each property.</w:t>
                  </w:r>
                </w:p>
                <w:p w:rsidR="006D4A35" w:rsidRDefault="006D4A35" w:rsidP="006D4A35">
                  <w:pPr>
                    <w:pStyle w:val="ListParagraph"/>
                    <w:numPr>
                      <w:ilvl w:val="0"/>
                      <w:numId w:val="19"/>
                    </w:numPr>
                    <w:spacing w:after="60"/>
                    <w:ind w:left="318" w:hanging="284"/>
                    <w:contextualSpacing w:val="0"/>
                    <w:rPr>
                      <w:sz w:val="22"/>
                      <w:szCs w:val="22"/>
                    </w:rPr>
                  </w:pPr>
                  <w:r>
                    <w:rPr>
                      <w:sz w:val="22"/>
                      <w:szCs w:val="22"/>
                    </w:rPr>
                    <w:t xml:space="preserve">Competitive tendering for contracts exists and contracts are managed ethically. </w:t>
                  </w:r>
                </w:p>
                <w:p w:rsidR="006D4A35" w:rsidRDefault="006D4A35" w:rsidP="006D4A35">
                  <w:pPr>
                    <w:pStyle w:val="ListParagraph"/>
                    <w:numPr>
                      <w:ilvl w:val="0"/>
                      <w:numId w:val="19"/>
                    </w:numPr>
                    <w:spacing w:after="60"/>
                    <w:ind w:left="318" w:hanging="284"/>
                    <w:contextualSpacing w:val="0"/>
                    <w:rPr>
                      <w:sz w:val="22"/>
                      <w:szCs w:val="22"/>
                    </w:rPr>
                  </w:pPr>
                  <w:r>
                    <w:rPr>
                      <w:sz w:val="22"/>
                      <w:szCs w:val="22"/>
                    </w:rPr>
                    <w:t>Reports and analysis are prepared for internal and external use as required.</w:t>
                  </w:r>
                </w:p>
                <w:p w:rsidR="006D4A35" w:rsidRDefault="006D4A35" w:rsidP="006D4A35">
                  <w:pPr>
                    <w:pStyle w:val="ListParagraph"/>
                    <w:numPr>
                      <w:ilvl w:val="0"/>
                      <w:numId w:val="19"/>
                    </w:numPr>
                    <w:spacing w:after="60"/>
                    <w:ind w:left="318" w:hanging="284"/>
                    <w:contextualSpacing w:val="0"/>
                    <w:rPr>
                      <w:sz w:val="22"/>
                      <w:szCs w:val="22"/>
                    </w:rPr>
                  </w:pPr>
                  <w:r>
                    <w:rPr>
                      <w:sz w:val="22"/>
                      <w:szCs w:val="22"/>
                    </w:rPr>
                    <w:t>Financial information is accurate and submitted in a timely manner.</w:t>
                  </w:r>
                </w:p>
                <w:p w:rsidR="006D4A35" w:rsidRDefault="006D4A35" w:rsidP="006D4A35">
                  <w:pPr>
                    <w:pStyle w:val="ListParagraph"/>
                    <w:numPr>
                      <w:ilvl w:val="0"/>
                      <w:numId w:val="19"/>
                    </w:numPr>
                    <w:spacing w:after="60"/>
                    <w:ind w:left="318" w:hanging="284"/>
                    <w:contextualSpacing w:val="0"/>
                    <w:rPr>
                      <w:sz w:val="22"/>
                      <w:szCs w:val="22"/>
                    </w:rPr>
                  </w:pPr>
                  <w:r>
                    <w:rPr>
                      <w:sz w:val="22"/>
                      <w:szCs w:val="22"/>
                    </w:rPr>
                    <w:t>Maintaining communication with</w:t>
                  </w:r>
                  <w:r>
                    <w:rPr>
                      <w:sz w:val="22"/>
                    </w:rPr>
                    <w:t xml:space="preserve"> Consultants, </w:t>
                  </w:r>
                  <w:r>
                    <w:rPr>
                      <w:sz w:val="22"/>
                    </w:rPr>
                    <w:lastRenderedPageBreak/>
                    <w:t xml:space="preserve">and Contractors </w:t>
                  </w:r>
                  <w:r>
                    <w:rPr>
                      <w:sz w:val="22"/>
                      <w:szCs w:val="22"/>
                    </w:rPr>
                    <w:t>their start, completions dates.</w:t>
                  </w:r>
                </w:p>
                <w:p w:rsidR="006D4A35" w:rsidRDefault="006D4A35" w:rsidP="006D4A35">
                  <w:pPr>
                    <w:pStyle w:val="ListParagraph"/>
                    <w:numPr>
                      <w:ilvl w:val="0"/>
                      <w:numId w:val="19"/>
                    </w:numPr>
                    <w:spacing w:after="60"/>
                    <w:ind w:left="318" w:hanging="284"/>
                    <w:contextualSpacing w:val="0"/>
                    <w:rPr>
                      <w:sz w:val="22"/>
                      <w:szCs w:val="22"/>
                    </w:rPr>
                  </w:pPr>
                  <w:r>
                    <w:rPr>
                      <w:sz w:val="22"/>
                    </w:rPr>
                    <w:t>Asset Management systems are</w:t>
                  </w:r>
                  <w:r>
                    <w:rPr>
                      <w:sz w:val="22"/>
                      <w:szCs w:val="22"/>
                    </w:rPr>
                    <w:t xml:space="preserve"> up to date and contain accurate information.</w:t>
                  </w:r>
                </w:p>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522F8C"/>
                    </w:rPr>
                    <w:lastRenderedPageBreak/>
                    <w:t xml:space="preserve">Key Result Area </w:t>
                  </w:r>
                  <w:r w:rsidR="00B47289">
                    <w:rPr>
                      <w:b/>
                      <w:color w:val="522F8C"/>
                    </w:rPr>
                    <w:t>5</w:t>
                  </w:r>
                </w:p>
              </w:tc>
              <w:tc>
                <w:tcPr>
                  <w:tcW w:w="4826" w:type="dxa"/>
                </w:tcPr>
                <w:p w:rsidR="00422424" w:rsidRDefault="003D719C" w:rsidP="0070562F">
                  <w:pPr>
                    <w:spacing w:before="40" w:after="60"/>
                    <w:rPr>
                      <w:b/>
                      <w:color w:val="522F8C"/>
                    </w:rPr>
                  </w:pPr>
                  <w:r w:rsidRPr="00ED34A8">
                    <w:rPr>
                      <w:b/>
                      <w:color w:val="522F8C"/>
                    </w:rPr>
                    <w:t>Project Management</w:t>
                  </w:r>
                </w:p>
              </w:tc>
            </w:tr>
            <w:tr w:rsidR="00422424" w:rsidTr="00FE7144">
              <w:tc>
                <w:tcPr>
                  <w:tcW w:w="4383" w:type="dxa"/>
                </w:tcPr>
                <w:p w:rsidR="00422424" w:rsidRDefault="00B47289" w:rsidP="0070562F">
                  <w:pPr>
                    <w:spacing w:before="40" w:after="60"/>
                    <w:rPr>
                      <w:b/>
                      <w:color w:val="522F8C"/>
                    </w:rPr>
                  </w:pPr>
                  <w:r>
                    <w:rPr>
                      <w:b/>
                      <w:color w:val="BD1A8D"/>
                    </w:rPr>
                    <w:t>Key tasks</w:t>
                  </w:r>
                </w:p>
              </w:tc>
              <w:tc>
                <w:tcPr>
                  <w:tcW w:w="4826" w:type="dxa"/>
                </w:tcPr>
                <w:p w:rsidR="00422424" w:rsidRDefault="00B47289" w:rsidP="0070562F">
                  <w:pPr>
                    <w:spacing w:before="40" w:after="60"/>
                    <w:rPr>
                      <w:b/>
                      <w:color w:val="522F8C"/>
                    </w:rPr>
                  </w:pPr>
                  <w:r>
                    <w:rPr>
                      <w:b/>
                      <w:color w:val="BD1A8D"/>
                    </w:rPr>
                    <w:t>Position holder is successful when</w:t>
                  </w:r>
                </w:p>
              </w:tc>
            </w:tr>
            <w:tr w:rsidR="00422424" w:rsidTr="00FE7144">
              <w:tc>
                <w:tcPr>
                  <w:tcW w:w="4383" w:type="dxa"/>
                </w:tcPr>
                <w:p w:rsidR="003D719C" w:rsidRDefault="003D719C" w:rsidP="003D719C">
                  <w:pPr>
                    <w:pStyle w:val="ListParagraph"/>
                    <w:numPr>
                      <w:ilvl w:val="0"/>
                      <w:numId w:val="19"/>
                    </w:numPr>
                    <w:spacing w:after="60"/>
                    <w:ind w:left="318" w:hanging="284"/>
                    <w:contextualSpacing w:val="0"/>
                    <w:rPr>
                      <w:sz w:val="22"/>
                    </w:rPr>
                  </w:pPr>
                  <w:r>
                    <w:rPr>
                      <w:sz w:val="22"/>
                    </w:rPr>
                    <w:t>Develop and manage project plans to track the progress of deliverables within the scope, budget and timeframe</w:t>
                  </w:r>
                </w:p>
                <w:p w:rsidR="003D719C" w:rsidRDefault="003D719C" w:rsidP="003D719C">
                  <w:pPr>
                    <w:pStyle w:val="ListParagraph"/>
                    <w:numPr>
                      <w:ilvl w:val="0"/>
                      <w:numId w:val="19"/>
                    </w:numPr>
                    <w:spacing w:after="60"/>
                    <w:ind w:left="318" w:hanging="284"/>
                    <w:contextualSpacing w:val="0"/>
                    <w:rPr>
                      <w:sz w:val="22"/>
                    </w:rPr>
                  </w:pPr>
                  <w:r>
                    <w:rPr>
                      <w:sz w:val="22"/>
                    </w:rPr>
                    <w:t>Facilitate stakeholder consultation, engagement and delegation of tasks.</w:t>
                  </w:r>
                </w:p>
                <w:p w:rsidR="003D719C" w:rsidRDefault="003D719C" w:rsidP="003D719C">
                  <w:pPr>
                    <w:pStyle w:val="ListParagraph"/>
                    <w:numPr>
                      <w:ilvl w:val="0"/>
                      <w:numId w:val="19"/>
                    </w:numPr>
                    <w:spacing w:after="60"/>
                    <w:ind w:left="318" w:hanging="284"/>
                    <w:contextualSpacing w:val="0"/>
                    <w:rPr>
                      <w:sz w:val="22"/>
                    </w:rPr>
                  </w:pPr>
                  <w:r>
                    <w:rPr>
                      <w:sz w:val="22"/>
                    </w:rPr>
                    <w:t>Identify risks and develop and implement risk management strategies to ensure projects deliverables are achieved.</w:t>
                  </w:r>
                </w:p>
                <w:p w:rsidR="003D719C" w:rsidRDefault="003D719C" w:rsidP="003D719C">
                  <w:pPr>
                    <w:pStyle w:val="ListParagraph"/>
                    <w:numPr>
                      <w:ilvl w:val="0"/>
                      <w:numId w:val="19"/>
                    </w:numPr>
                    <w:spacing w:after="60"/>
                    <w:ind w:left="318" w:hanging="284"/>
                    <w:contextualSpacing w:val="0"/>
                    <w:rPr>
                      <w:sz w:val="22"/>
                    </w:rPr>
                  </w:pPr>
                  <w:r>
                    <w:rPr>
                      <w:sz w:val="22"/>
                    </w:rPr>
                    <w:t xml:space="preserve">Monitor and report on projects progress to relevant stakeholders and contribute to organisational reporting systems/mechanisms. </w:t>
                  </w:r>
                </w:p>
                <w:p w:rsidR="00B47289" w:rsidRDefault="003D719C" w:rsidP="002D1B2B">
                  <w:pPr>
                    <w:pStyle w:val="ListParagraph"/>
                    <w:numPr>
                      <w:ilvl w:val="0"/>
                      <w:numId w:val="19"/>
                    </w:numPr>
                    <w:spacing w:after="60"/>
                    <w:ind w:left="318" w:hanging="284"/>
                    <w:contextualSpacing w:val="0"/>
                    <w:rPr>
                      <w:b/>
                      <w:color w:val="522F8C"/>
                    </w:rPr>
                  </w:pPr>
                  <w:r>
                    <w:rPr>
                      <w:sz w:val="22"/>
                    </w:rPr>
                    <w:t>Contribute to and utilise project management framework systems and tools.</w:t>
                  </w:r>
                </w:p>
              </w:tc>
              <w:tc>
                <w:tcPr>
                  <w:tcW w:w="4826" w:type="dxa"/>
                </w:tcPr>
                <w:p w:rsidR="003D719C" w:rsidRDefault="003D719C" w:rsidP="003D719C">
                  <w:pPr>
                    <w:pStyle w:val="ListParagraph"/>
                    <w:numPr>
                      <w:ilvl w:val="0"/>
                      <w:numId w:val="19"/>
                    </w:numPr>
                    <w:spacing w:after="60"/>
                    <w:ind w:left="318" w:hanging="284"/>
                    <w:contextualSpacing w:val="0"/>
                    <w:rPr>
                      <w:sz w:val="22"/>
                      <w:szCs w:val="22"/>
                    </w:rPr>
                  </w:pPr>
                  <w:r>
                    <w:rPr>
                      <w:sz w:val="22"/>
                      <w:szCs w:val="22"/>
                    </w:rPr>
                    <w:t>Manage multiple projects and achieve high quality outcomes in line with set KPI’s against project.</w:t>
                  </w:r>
                </w:p>
                <w:p w:rsidR="003D719C" w:rsidRDefault="003D719C" w:rsidP="003D719C">
                  <w:pPr>
                    <w:pStyle w:val="ListParagraph"/>
                    <w:numPr>
                      <w:ilvl w:val="0"/>
                      <w:numId w:val="19"/>
                    </w:numPr>
                    <w:spacing w:after="60"/>
                    <w:ind w:left="318" w:hanging="284"/>
                    <w:contextualSpacing w:val="0"/>
                    <w:rPr>
                      <w:sz w:val="22"/>
                      <w:szCs w:val="22"/>
                    </w:rPr>
                  </w:pPr>
                  <w:r>
                    <w:rPr>
                      <w:sz w:val="22"/>
                      <w:szCs w:val="22"/>
                    </w:rPr>
                    <w:t xml:space="preserve">Engage with multiple stakeholders such as contractors, MAH staff members, local government and other NFP’s. </w:t>
                  </w:r>
                </w:p>
                <w:p w:rsidR="003D719C" w:rsidRPr="003D719C" w:rsidRDefault="003D719C" w:rsidP="003D719C">
                  <w:pPr>
                    <w:pStyle w:val="ListParagraph"/>
                    <w:numPr>
                      <w:ilvl w:val="0"/>
                      <w:numId w:val="19"/>
                    </w:numPr>
                    <w:spacing w:after="60"/>
                    <w:ind w:left="318" w:hanging="284"/>
                    <w:contextualSpacing w:val="0"/>
                    <w:rPr>
                      <w:b/>
                      <w:color w:val="522F8C"/>
                    </w:rPr>
                  </w:pPr>
                  <w:r>
                    <w:rPr>
                      <w:sz w:val="22"/>
                      <w:szCs w:val="22"/>
                    </w:rPr>
                    <w:t xml:space="preserve">Identify risks and control these through risk management systems to meet project outcomes. </w:t>
                  </w:r>
                </w:p>
                <w:p w:rsidR="00422424" w:rsidRDefault="003D719C" w:rsidP="003D719C">
                  <w:pPr>
                    <w:pStyle w:val="ListParagraph"/>
                    <w:numPr>
                      <w:ilvl w:val="0"/>
                      <w:numId w:val="19"/>
                    </w:numPr>
                    <w:spacing w:after="60"/>
                    <w:ind w:left="318" w:hanging="284"/>
                    <w:contextualSpacing w:val="0"/>
                    <w:rPr>
                      <w:b/>
                      <w:color w:val="522F8C"/>
                    </w:rPr>
                  </w:pPr>
                  <w:r>
                    <w:rPr>
                      <w:sz w:val="22"/>
                      <w:szCs w:val="22"/>
                    </w:rPr>
                    <w:t>Monitor performance of project against set project plan to ensure project is completed within agreed timeframes.</w:t>
                  </w:r>
                </w:p>
              </w:tc>
            </w:tr>
            <w:tr w:rsidR="003D719C" w:rsidTr="00FE7144">
              <w:tc>
                <w:tcPr>
                  <w:tcW w:w="4383" w:type="dxa"/>
                </w:tcPr>
                <w:p w:rsidR="003D719C" w:rsidRDefault="003D719C" w:rsidP="00F00BFE">
                  <w:pPr>
                    <w:spacing w:before="40" w:after="60"/>
                    <w:rPr>
                      <w:b/>
                      <w:color w:val="522F8C"/>
                    </w:rPr>
                  </w:pPr>
                  <w:r>
                    <w:rPr>
                      <w:b/>
                      <w:color w:val="522F8C"/>
                    </w:rPr>
                    <w:t>Key Result Area 6</w:t>
                  </w:r>
                </w:p>
              </w:tc>
              <w:tc>
                <w:tcPr>
                  <w:tcW w:w="4826" w:type="dxa"/>
                </w:tcPr>
                <w:p w:rsidR="003D719C" w:rsidRDefault="003D719C" w:rsidP="00F00BFE">
                  <w:pPr>
                    <w:spacing w:before="40" w:after="60"/>
                    <w:rPr>
                      <w:b/>
                      <w:color w:val="522F8C"/>
                    </w:rPr>
                  </w:pPr>
                  <w:r>
                    <w:rPr>
                      <w:b/>
                      <w:color w:val="522F8C"/>
                    </w:rPr>
                    <w:t>Staff and Stakeholder Relationship Management</w:t>
                  </w:r>
                </w:p>
              </w:tc>
            </w:tr>
            <w:tr w:rsidR="003D719C" w:rsidTr="00FE7144">
              <w:tc>
                <w:tcPr>
                  <w:tcW w:w="4383" w:type="dxa"/>
                </w:tcPr>
                <w:p w:rsidR="003D719C" w:rsidRDefault="003D719C" w:rsidP="00F00BFE">
                  <w:pPr>
                    <w:spacing w:before="40" w:after="60"/>
                    <w:rPr>
                      <w:b/>
                      <w:color w:val="522F8C"/>
                    </w:rPr>
                  </w:pPr>
                  <w:r>
                    <w:rPr>
                      <w:b/>
                      <w:color w:val="BD1A8D"/>
                    </w:rPr>
                    <w:t>Key tasks</w:t>
                  </w:r>
                </w:p>
              </w:tc>
              <w:tc>
                <w:tcPr>
                  <w:tcW w:w="4826" w:type="dxa"/>
                </w:tcPr>
                <w:p w:rsidR="003D719C" w:rsidRDefault="003D719C" w:rsidP="00F00BFE">
                  <w:pPr>
                    <w:spacing w:before="40" w:after="60"/>
                    <w:rPr>
                      <w:b/>
                      <w:color w:val="522F8C"/>
                    </w:rPr>
                  </w:pPr>
                  <w:r>
                    <w:rPr>
                      <w:b/>
                      <w:color w:val="BD1A8D"/>
                    </w:rPr>
                    <w:t>Position holder is successful when</w:t>
                  </w:r>
                </w:p>
              </w:tc>
            </w:tr>
            <w:tr w:rsidR="003D719C" w:rsidTr="00FE7144">
              <w:tc>
                <w:tcPr>
                  <w:tcW w:w="4383" w:type="dxa"/>
                </w:tcPr>
                <w:p w:rsidR="003D719C" w:rsidRDefault="003D719C" w:rsidP="003D719C">
                  <w:pPr>
                    <w:pStyle w:val="ListParagraph"/>
                    <w:numPr>
                      <w:ilvl w:val="0"/>
                      <w:numId w:val="19"/>
                    </w:numPr>
                    <w:spacing w:after="60"/>
                    <w:ind w:left="360"/>
                    <w:contextualSpacing w:val="0"/>
                    <w:rPr>
                      <w:sz w:val="22"/>
                    </w:rPr>
                  </w:pPr>
                  <w:r>
                    <w:rPr>
                      <w:sz w:val="22"/>
                    </w:rPr>
                    <w:t>MAH/MA staff and other stakeholders are supported with respect to asset management.</w:t>
                  </w:r>
                </w:p>
                <w:p w:rsidR="003D719C" w:rsidRDefault="003D719C" w:rsidP="003D719C">
                  <w:pPr>
                    <w:pStyle w:val="ListParagraph"/>
                    <w:numPr>
                      <w:ilvl w:val="0"/>
                      <w:numId w:val="19"/>
                    </w:numPr>
                    <w:spacing w:after="60"/>
                    <w:ind w:left="360"/>
                    <w:contextualSpacing w:val="0"/>
                    <w:rPr>
                      <w:sz w:val="22"/>
                    </w:rPr>
                  </w:pPr>
                  <w:r>
                    <w:rPr>
                      <w:sz w:val="22"/>
                    </w:rPr>
                    <w:t>Build and foster respectful and constructive working relationships with MA staff and other stakeholders.</w:t>
                  </w:r>
                </w:p>
                <w:p w:rsidR="003D719C" w:rsidRDefault="003D719C" w:rsidP="0060314E">
                  <w:pPr>
                    <w:pStyle w:val="ListParagraph"/>
                    <w:numPr>
                      <w:ilvl w:val="0"/>
                      <w:numId w:val="19"/>
                    </w:numPr>
                    <w:spacing w:after="60"/>
                    <w:ind w:left="360"/>
                    <w:contextualSpacing w:val="0"/>
                    <w:rPr>
                      <w:b/>
                      <w:color w:val="522F8C"/>
                    </w:rPr>
                  </w:pPr>
                  <w:r w:rsidRPr="0060314E">
                    <w:rPr>
                      <w:sz w:val="22"/>
                    </w:rPr>
                    <w:t>Build and maintain effective working relationships with external stakeholders noted below, and others as required;</w:t>
                  </w:r>
                  <w:r w:rsidR="0060314E" w:rsidRPr="0060314E">
                    <w:rPr>
                      <w:sz w:val="22"/>
                    </w:rPr>
                    <w:t xml:space="preserve"> </w:t>
                  </w:r>
                  <w:r w:rsidRPr="0060314E">
                    <w:rPr>
                      <w:sz w:val="22"/>
                    </w:rPr>
                    <w:t>Government Agencies</w:t>
                  </w:r>
                  <w:r w:rsidR="0060314E" w:rsidRPr="0060314E">
                    <w:rPr>
                      <w:sz w:val="22"/>
                    </w:rPr>
                    <w:t xml:space="preserve">, </w:t>
                  </w:r>
                  <w:r w:rsidRPr="0060314E">
                    <w:rPr>
                      <w:sz w:val="22"/>
                    </w:rPr>
                    <w:t>Property Consultants /Maintenance Contractors</w:t>
                  </w:r>
                  <w:r w:rsidR="0060314E">
                    <w:rPr>
                      <w:sz w:val="22"/>
                    </w:rPr>
                    <w:t xml:space="preserve">, </w:t>
                  </w:r>
                  <w:r>
                    <w:rPr>
                      <w:sz w:val="22"/>
                    </w:rPr>
                    <w:t>WHS &amp; other professionals</w:t>
                  </w:r>
                </w:p>
              </w:tc>
              <w:tc>
                <w:tcPr>
                  <w:tcW w:w="4826" w:type="dxa"/>
                </w:tcPr>
                <w:p w:rsidR="003D719C" w:rsidRPr="003D719C" w:rsidRDefault="003D719C" w:rsidP="003D719C">
                  <w:pPr>
                    <w:pStyle w:val="ListParagraph"/>
                    <w:numPr>
                      <w:ilvl w:val="0"/>
                      <w:numId w:val="19"/>
                    </w:numPr>
                    <w:spacing w:after="60"/>
                    <w:ind w:left="360"/>
                    <w:contextualSpacing w:val="0"/>
                    <w:rPr>
                      <w:b/>
                      <w:color w:val="522F8C"/>
                    </w:rPr>
                  </w:pPr>
                  <w:r>
                    <w:rPr>
                      <w:sz w:val="22"/>
                    </w:rPr>
                    <w:t>Staff survey show that asset management supports are satisfactory.</w:t>
                  </w:r>
                </w:p>
                <w:p w:rsidR="003D719C" w:rsidRDefault="003D719C" w:rsidP="003D719C">
                  <w:pPr>
                    <w:pStyle w:val="ListParagraph"/>
                    <w:numPr>
                      <w:ilvl w:val="0"/>
                      <w:numId w:val="19"/>
                    </w:numPr>
                    <w:spacing w:after="60"/>
                    <w:ind w:left="360"/>
                    <w:contextualSpacing w:val="0"/>
                    <w:rPr>
                      <w:b/>
                      <w:color w:val="522F8C"/>
                    </w:rPr>
                  </w:pPr>
                  <w:r>
                    <w:rPr>
                      <w:sz w:val="22"/>
                    </w:rPr>
                    <w:t>Partnerships provide improvement opportunities</w:t>
                  </w:r>
                </w:p>
              </w:tc>
            </w:tr>
            <w:tr w:rsidR="003D719C" w:rsidTr="00FE7144">
              <w:tc>
                <w:tcPr>
                  <w:tcW w:w="4383" w:type="dxa"/>
                </w:tcPr>
                <w:p w:rsidR="003D719C" w:rsidRDefault="003D719C" w:rsidP="00F00BFE">
                  <w:pPr>
                    <w:spacing w:before="40" w:after="60"/>
                    <w:rPr>
                      <w:b/>
                      <w:color w:val="522F8C"/>
                    </w:rPr>
                  </w:pPr>
                  <w:r>
                    <w:rPr>
                      <w:b/>
                      <w:color w:val="522F8C"/>
                    </w:rPr>
                    <w:t>Key Result Area 7</w:t>
                  </w:r>
                </w:p>
              </w:tc>
              <w:tc>
                <w:tcPr>
                  <w:tcW w:w="4826" w:type="dxa"/>
                </w:tcPr>
                <w:p w:rsidR="003D719C" w:rsidRDefault="003D719C" w:rsidP="00F00BFE">
                  <w:pPr>
                    <w:spacing w:before="40" w:after="60"/>
                    <w:rPr>
                      <w:b/>
                      <w:color w:val="522F8C"/>
                    </w:rPr>
                  </w:pPr>
                  <w:r>
                    <w:rPr>
                      <w:b/>
                      <w:color w:val="522F8C"/>
                    </w:rPr>
                    <w:t>Continuous Improvement</w:t>
                  </w:r>
                </w:p>
              </w:tc>
            </w:tr>
            <w:tr w:rsidR="003D719C" w:rsidTr="00FE7144">
              <w:tc>
                <w:tcPr>
                  <w:tcW w:w="4383" w:type="dxa"/>
                </w:tcPr>
                <w:p w:rsidR="003D719C" w:rsidRDefault="003D719C" w:rsidP="00F00BFE">
                  <w:pPr>
                    <w:spacing w:before="40" w:after="60"/>
                    <w:rPr>
                      <w:b/>
                      <w:color w:val="522F8C"/>
                    </w:rPr>
                  </w:pPr>
                  <w:r>
                    <w:rPr>
                      <w:b/>
                      <w:color w:val="BD1A8D"/>
                    </w:rPr>
                    <w:t>Key tasks</w:t>
                  </w:r>
                </w:p>
              </w:tc>
              <w:tc>
                <w:tcPr>
                  <w:tcW w:w="4826" w:type="dxa"/>
                </w:tcPr>
                <w:p w:rsidR="003D719C" w:rsidRDefault="003D719C" w:rsidP="00F00BFE">
                  <w:pPr>
                    <w:spacing w:before="40" w:after="60"/>
                    <w:rPr>
                      <w:b/>
                      <w:color w:val="522F8C"/>
                    </w:rPr>
                  </w:pPr>
                  <w:r>
                    <w:rPr>
                      <w:b/>
                      <w:color w:val="BD1A8D"/>
                    </w:rPr>
                    <w:t>Position holder is successful when</w:t>
                  </w:r>
                </w:p>
              </w:tc>
            </w:tr>
            <w:tr w:rsidR="003D719C" w:rsidTr="00FE7144">
              <w:tc>
                <w:tcPr>
                  <w:tcW w:w="4383" w:type="dxa"/>
                </w:tcPr>
                <w:p w:rsidR="00354374" w:rsidRPr="00FE3EA4" w:rsidRDefault="00354374" w:rsidP="00354374">
                  <w:pPr>
                    <w:pStyle w:val="ListParagraph"/>
                    <w:numPr>
                      <w:ilvl w:val="0"/>
                      <w:numId w:val="19"/>
                    </w:numPr>
                    <w:spacing w:after="60"/>
                    <w:ind w:left="360"/>
                    <w:contextualSpacing w:val="0"/>
                    <w:rPr>
                      <w:sz w:val="22"/>
                      <w:szCs w:val="22"/>
                    </w:rPr>
                  </w:pPr>
                  <w:r w:rsidRPr="00FE3EA4">
                    <w:rPr>
                      <w:sz w:val="22"/>
                      <w:szCs w:val="22"/>
                    </w:rPr>
                    <w:t xml:space="preserve">Review current and developing processes/system for asset management and make recommendations for process/system improvement, as </w:t>
                  </w:r>
                  <w:r w:rsidRPr="00FE3EA4">
                    <w:rPr>
                      <w:sz w:val="22"/>
                      <w:szCs w:val="22"/>
                    </w:rPr>
                    <w:lastRenderedPageBreak/>
                    <w:t>appropriate.</w:t>
                  </w:r>
                </w:p>
                <w:p w:rsidR="003D719C" w:rsidRDefault="00354374" w:rsidP="002D1B2B">
                  <w:pPr>
                    <w:pStyle w:val="ListParagraph"/>
                    <w:numPr>
                      <w:ilvl w:val="0"/>
                      <w:numId w:val="19"/>
                    </w:numPr>
                    <w:spacing w:after="60"/>
                    <w:ind w:left="360"/>
                    <w:contextualSpacing w:val="0"/>
                    <w:rPr>
                      <w:b/>
                      <w:color w:val="522F8C"/>
                    </w:rPr>
                  </w:pPr>
                  <w:r w:rsidRPr="00FE3EA4">
                    <w:rPr>
                      <w:sz w:val="22"/>
                      <w:szCs w:val="22"/>
                    </w:rPr>
                    <w:t xml:space="preserve">Complete other projects/ad </w:t>
                  </w:r>
                  <w:r>
                    <w:rPr>
                      <w:sz w:val="22"/>
                      <w:szCs w:val="22"/>
                    </w:rPr>
                    <w:t>hoc</w:t>
                  </w:r>
                  <w:r w:rsidRPr="00FE3EA4">
                    <w:rPr>
                      <w:sz w:val="22"/>
                      <w:szCs w:val="22"/>
                    </w:rPr>
                    <w:t xml:space="preserve"> work required</w:t>
                  </w:r>
                  <w:r>
                    <w:rPr>
                      <w:sz w:val="22"/>
                      <w:szCs w:val="22"/>
                    </w:rPr>
                    <w:t xml:space="preserve"> as a member of the MAH Asset Management Team</w:t>
                  </w:r>
                  <w:r>
                    <w:rPr>
                      <w:sz w:val="22"/>
                    </w:rPr>
                    <w:t>.</w:t>
                  </w:r>
                </w:p>
              </w:tc>
              <w:tc>
                <w:tcPr>
                  <w:tcW w:w="4826" w:type="dxa"/>
                </w:tcPr>
                <w:p w:rsidR="003D719C" w:rsidRDefault="00354374" w:rsidP="00F00BFE">
                  <w:pPr>
                    <w:pStyle w:val="ListParagraph"/>
                    <w:numPr>
                      <w:ilvl w:val="0"/>
                      <w:numId w:val="19"/>
                    </w:numPr>
                    <w:spacing w:after="60"/>
                    <w:ind w:left="360"/>
                    <w:contextualSpacing w:val="0"/>
                    <w:rPr>
                      <w:b/>
                      <w:color w:val="522F8C"/>
                    </w:rPr>
                  </w:pPr>
                  <w:r>
                    <w:rPr>
                      <w:sz w:val="22"/>
                    </w:rPr>
                    <w:lastRenderedPageBreak/>
                    <w:t>Current processes/systems meet business needs or recommendations for improvement provided</w:t>
                  </w:r>
                </w:p>
              </w:tc>
            </w:tr>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1E060C" w:rsidRDefault="001E060C" w:rsidP="001E060C">
            <w:pPr>
              <w:pStyle w:val="ListParagraph"/>
              <w:numPr>
                <w:ilvl w:val="0"/>
                <w:numId w:val="25"/>
              </w:numPr>
              <w:spacing w:after="60"/>
              <w:ind w:left="318" w:hanging="284"/>
              <w:contextualSpacing w:val="0"/>
              <w:rPr>
                <w:sz w:val="22"/>
                <w:szCs w:val="22"/>
              </w:rPr>
            </w:pPr>
            <w:r w:rsidRPr="003F0035">
              <w:rPr>
                <w:sz w:val="22"/>
                <w:szCs w:val="22"/>
              </w:rPr>
              <w:t xml:space="preserve">Extensive Property and </w:t>
            </w:r>
            <w:r>
              <w:rPr>
                <w:sz w:val="22"/>
                <w:szCs w:val="22"/>
              </w:rPr>
              <w:t>A</w:t>
            </w:r>
            <w:r w:rsidRPr="003F0035">
              <w:rPr>
                <w:sz w:val="22"/>
                <w:szCs w:val="22"/>
              </w:rPr>
              <w:t xml:space="preserve">sset </w:t>
            </w:r>
            <w:r>
              <w:rPr>
                <w:sz w:val="22"/>
                <w:szCs w:val="22"/>
              </w:rPr>
              <w:t>M</w:t>
            </w:r>
            <w:r w:rsidRPr="003F0035">
              <w:rPr>
                <w:sz w:val="22"/>
                <w:szCs w:val="22"/>
              </w:rPr>
              <w:t xml:space="preserve">anagement experience </w:t>
            </w:r>
            <w:r>
              <w:rPr>
                <w:sz w:val="22"/>
                <w:szCs w:val="22"/>
              </w:rPr>
              <w:t>(Client side -</w:t>
            </w:r>
            <w:r w:rsidRPr="003F0035">
              <w:rPr>
                <w:sz w:val="22"/>
                <w:szCs w:val="22"/>
              </w:rPr>
              <w:t xml:space="preserve"> </w:t>
            </w:r>
            <w:r>
              <w:rPr>
                <w:sz w:val="22"/>
                <w:szCs w:val="22"/>
              </w:rPr>
              <w:t>min 7-10 yrs.)</w:t>
            </w:r>
          </w:p>
          <w:p w:rsidR="001E060C" w:rsidRDefault="001E060C" w:rsidP="001E060C">
            <w:pPr>
              <w:pStyle w:val="ListParagraph"/>
              <w:numPr>
                <w:ilvl w:val="0"/>
                <w:numId w:val="25"/>
              </w:numPr>
              <w:spacing w:after="60"/>
              <w:ind w:left="318" w:hanging="284"/>
              <w:contextualSpacing w:val="0"/>
              <w:rPr>
                <w:sz w:val="22"/>
                <w:szCs w:val="22"/>
              </w:rPr>
            </w:pPr>
            <w:r>
              <w:rPr>
                <w:rFonts w:asciiTheme="minorHAnsi" w:hAnsiTheme="minorHAnsi" w:cs="Arial"/>
                <w:bCs/>
                <w:sz w:val="22"/>
                <w:szCs w:val="22"/>
              </w:rPr>
              <w:t>Good working knowledge and comprehension of principles and practice of life cycle asset management</w:t>
            </w:r>
          </w:p>
          <w:p w:rsidR="001E060C" w:rsidRDefault="001E060C" w:rsidP="001E060C">
            <w:pPr>
              <w:pStyle w:val="ListParagraph"/>
              <w:numPr>
                <w:ilvl w:val="0"/>
                <w:numId w:val="25"/>
              </w:numPr>
              <w:spacing w:after="60"/>
              <w:ind w:left="318" w:hanging="284"/>
              <w:contextualSpacing w:val="0"/>
              <w:rPr>
                <w:sz w:val="22"/>
                <w:szCs w:val="22"/>
              </w:rPr>
            </w:pPr>
            <w:r>
              <w:rPr>
                <w:sz w:val="22"/>
                <w:szCs w:val="22"/>
              </w:rPr>
              <w:t>Good k</w:t>
            </w:r>
            <w:r w:rsidRPr="003F0035">
              <w:rPr>
                <w:sz w:val="22"/>
                <w:szCs w:val="22"/>
              </w:rPr>
              <w:t xml:space="preserve">nowledge of </w:t>
            </w:r>
            <w:r>
              <w:rPr>
                <w:sz w:val="22"/>
                <w:szCs w:val="22"/>
              </w:rPr>
              <w:t xml:space="preserve">NCC, WHS and </w:t>
            </w:r>
            <w:r w:rsidRPr="003F0035">
              <w:rPr>
                <w:sz w:val="22"/>
                <w:szCs w:val="22"/>
              </w:rPr>
              <w:t xml:space="preserve">relevant </w:t>
            </w:r>
            <w:r>
              <w:rPr>
                <w:sz w:val="22"/>
                <w:szCs w:val="22"/>
              </w:rPr>
              <w:t>Australian Standards, L</w:t>
            </w:r>
            <w:r w:rsidRPr="003F0035">
              <w:rPr>
                <w:sz w:val="22"/>
                <w:szCs w:val="22"/>
              </w:rPr>
              <w:t>egislation</w:t>
            </w:r>
            <w:r>
              <w:rPr>
                <w:sz w:val="22"/>
                <w:szCs w:val="22"/>
              </w:rPr>
              <w:t xml:space="preserve">, codes and </w:t>
            </w:r>
            <w:r w:rsidRPr="003F0035">
              <w:rPr>
                <w:sz w:val="22"/>
                <w:szCs w:val="22"/>
              </w:rPr>
              <w:t xml:space="preserve">standards </w:t>
            </w:r>
          </w:p>
          <w:p w:rsidR="001E060C" w:rsidRDefault="001E060C" w:rsidP="001E060C">
            <w:pPr>
              <w:pStyle w:val="ListParagraph"/>
              <w:numPr>
                <w:ilvl w:val="0"/>
                <w:numId w:val="25"/>
              </w:numPr>
              <w:spacing w:after="60"/>
              <w:ind w:left="318" w:hanging="284"/>
              <w:contextualSpacing w:val="0"/>
              <w:rPr>
                <w:sz w:val="22"/>
                <w:szCs w:val="22"/>
              </w:rPr>
            </w:pPr>
            <w:r>
              <w:rPr>
                <w:sz w:val="22"/>
                <w:szCs w:val="22"/>
              </w:rPr>
              <w:t>High level of knowledge in HVAC systems</w:t>
            </w:r>
          </w:p>
          <w:p w:rsidR="001E060C" w:rsidRDefault="001E060C" w:rsidP="001E060C">
            <w:pPr>
              <w:pStyle w:val="ListParagraph"/>
              <w:numPr>
                <w:ilvl w:val="0"/>
                <w:numId w:val="25"/>
              </w:numPr>
              <w:spacing w:after="60"/>
              <w:ind w:left="318" w:hanging="284"/>
              <w:contextualSpacing w:val="0"/>
              <w:rPr>
                <w:sz w:val="22"/>
                <w:szCs w:val="22"/>
              </w:rPr>
            </w:pPr>
            <w:r>
              <w:rPr>
                <w:sz w:val="22"/>
                <w:szCs w:val="22"/>
              </w:rPr>
              <w:t>Ability to manage multiple concurrent projects</w:t>
            </w:r>
          </w:p>
          <w:p w:rsidR="001E060C" w:rsidRPr="003F0035" w:rsidRDefault="001E060C" w:rsidP="001E060C">
            <w:pPr>
              <w:pStyle w:val="ListParagraph"/>
              <w:numPr>
                <w:ilvl w:val="0"/>
                <w:numId w:val="25"/>
              </w:numPr>
              <w:spacing w:after="60"/>
              <w:ind w:left="318" w:hanging="284"/>
              <w:contextualSpacing w:val="0"/>
              <w:rPr>
                <w:sz w:val="22"/>
                <w:szCs w:val="22"/>
              </w:rPr>
            </w:pPr>
            <w:r>
              <w:rPr>
                <w:sz w:val="22"/>
                <w:szCs w:val="22"/>
              </w:rPr>
              <w:t xml:space="preserve">Proficient in MS Office in particular Word, Excel, Project, &amp; Visio </w:t>
            </w:r>
          </w:p>
          <w:p w:rsidR="001E060C" w:rsidRDefault="001E060C" w:rsidP="001E060C">
            <w:pPr>
              <w:pStyle w:val="ListParagraph"/>
              <w:numPr>
                <w:ilvl w:val="0"/>
                <w:numId w:val="25"/>
              </w:numPr>
              <w:spacing w:after="60"/>
              <w:ind w:left="318" w:hanging="284"/>
              <w:contextualSpacing w:val="0"/>
              <w:rPr>
                <w:sz w:val="22"/>
                <w:szCs w:val="22"/>
              </w:rPr>
            </w:pPr>
            <w:r>
              <w:rPr>
                <w:sz w:val="22"/>
                <w:szCs w:val="22"/>
              </w:rPr>
              <w:t>High-level customer service focus</w:t>
            </w:r>
          </w:p>
          <w:p w:rsidR="00F143C4" w:rsidRPr="008E039A" w:rsidRDefault="001E060C" w:rsidP="008E039A">
            <w:pPr>
              <w:pStyle w:val="ListParagraph"/>
              <w:numPr>
                <w:ilvl w:val="0"/>
                <w:numId w:val="25"/>
              </w:numPr>
              <w:spacing w:after="60"/>
              <w:ind w:left="318" w:hanging="284"/>
              <w:contextualSpacing w:val="0"/>
              <w:rPr>
                <w:sz w:val="22"/>
                <w:szCs w:val="22"/>
              </w:rPr>
            </w:pPr>
            <w:r>
              <w:rPr>
                <w:sz w:val="22"/>
                <w:szCs w:val="22"/>
              </w:rPr>
              <w:t>High level relationship management skills</w:t>
            </w:r>
          </w:p>
        </w:tc>
      </w:tr>
      <w:tr w:rsidR="00474630" w:rsidRPr="00193477" w:rsidTr="00451E7B">
        <w:tc>
          <w:tcPr>
            <w:tcW w:w="5000" w:type="pct"/>
            <w:tcBorders>
              <w:top w:val="nil"/>
              <w:left w:val="nil"/>
              <w:bottom w:val="nil"/>
              <w:right w:val="nil"/>
            </w:tcBorders>
            <w:shd w:val="clear" w:color="auto" w:fill="FFFFFF" w:themeFill="background1"/>
            <w:hideMark/>
          </w:tcPr>
          <w:p w:rsidR="008E039A" w:rsidRDefault="008E039A" w:rsidP="008E039A">
            <w:pPr>
              <w:pStyle w:val="ListParagraph"/>
              <w:numPr>
                <w:ilvl w:val="0"/>
                <w:numId w:val="25"/>
              </w:numPr>
              <w:spacing w:after="60"/>
              <w:ind w:left="318" w:hanging="284"/>
              <w:contextualSpacing w:val="0"/>
              <w:rPr>
                <w:sz w:val="22"/>
                <w:szCs w:val="22"/>
              </w:rPr>
            </w:pPr>
            <w:r>
              <w:rPr>
                <w:sz w:val="22"/>
                <w:szCs w:val="22"/>
              </w:rPr>
              <w:t>Property and/or asset management qualifications</w:t>
            </w:r>
          </w:p>
          <w:p w:rsidR="008E039A" w:rsidRPr="003A1757" w:rsidRDefault="008E039A" w:rsidP="008E039A">
            <w:pPr>
              <w:pStyle w:val="ListParagraph"/>
              <w:numPr>
                <w:ilvl w:val="0"/>
                <w:numId w:val="25"/>
              </w:numPr>
              <w:spacing w:after="60"/>
              <w:ind w:left="318" w:hanging="284"/>
              <w:contextualSpacing w:val="0"/>
              <w:rPr>
                <w:sz w:val="22"/>
                <w:szCs w:val="22"/>
              </w:rPr>
            </w:pPr>
            <w:r w:rsidRPr="00C21791">
              <w:rPr>
                <w:rFonts w:asciiTheme="minorHAnsi" w:hAnsiTheme="minorHAnsi" w:cs="Arial"/>
                <w:bCs/>
                <w:sz w:val="22"/>
                <w:szCs w:val="22"/>
              </w:rPr>
              <w:t>Tertiary qualifications in Building Services, Property Management or a related field</w:t>
            </w:r>
          </w:p>
          <w:p w:rsidR="008E039A" w:rsidRDefault="008E039A" w:rsidP="008E039A">
            <w:pPr>
              <w:pStyle w:val="ListParagraph"/>
              <w:numPr>
                <w:ilvl w:val="0"/>
                <w:numId w:val="25"/>
              </w:numPr>
              <w:spacing w:after="60"/>
              <w:ind w:left="318" w:hanging="284"/>
              <w:contextualSpacing w:val="0"/>
              <w:rPr>
                <w:sz w:val="22"/>
                <w:szCs w:val="22"/>
              </w:rPr>
            </w:pPr>
            <w:r w:rsidRPr="00C21791">
              <w:rPr>
                <w:rFonts w:asciiTheme="minorHAnsi" w:hAnsiTheme="minorHAnsi" w:cs="Arial"/>
                <w:bCs/>
                <w:sz w:val="22"/>
                <w:szCs w:val="22"/>
              </w:rPr>
              <w:t>Senior Trade qualification</w:t>
            </w:r>
            <w:r>
              <w:rPr>
                <w:rFonts w:asciiTheme="minorHAnsi" w:hAnsiTheme="minorHAnsi" w:cs="Arial"/>
                <w:bCs/>
                <w:sz w:val="22"/>
                <w:szCs w:val="22"/>
              </w:rPr>
              <w:t xml:space="preserve"> and o</w:t>
            </w:r>
            <w:r w:rsidRPr="00325F15">
              <w:rPr>
                <w:rFonts w:asciiTheme="minorHAnsi" w:hAnsiTheme="minorHAnsi" w:cs="Arial"/>
                <w:bCs/>
                <w:sz w:val="22"/>
                <w:szCs w:val="22"/>
              </w:rPr>
              <w:t xml:space="preserve">ther </w:t>
            </w:r>
            <w:r>
              <w:rPr>
                <w:rFonts w:asciiTheme="minorHAnsi" w:hAnsiTheme="minorHAnsi" w:cs="Arial"/>
                <w:bCs/>
                <w:sz w:val="22"/>
                <w:szCs w:val="22"/>
              </w:rPr>
              <w:t xml:space="preserve">related </w:t>
            </w:r>
            <w:r w:rsidRPr="00325F15">
              <w:rPr>
                <w:rFonts w:asciiTheme="minorHAnsi" w:hAnsiTheme="minorHAnsi" w:cs="Arial"/>
                <w:bCs/>
                <w:sz w:val="22"/>
                <w:szCs w:val="22"/>
              </w:rPr>
              <w:t>tertiary qualifications</w:t>
            </w:r>
          </w:p>
          <w:p w:rsidR="009537C6" w:rsidRDefault="009537C6" w:rsidP="00E64B87">
            <w:pPr>
              <w:spacing w:before="40" w:after="60"/>
              <w:ind w:left="720" w:hanging="72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8E039A" w:rsidRDefault="008E039A" w:rsidP="008E039A">
            <w:pPr>
              <w:pStyle w:val="ListParagraph"/>
              <w:numPr>
                <w:ilvl w:val="0"/>
                <w:numId w:val="25"/>
              </w:numPr>
              <w:ind w:left="318"/>
              <w:rPr>
                <w:sz w:val="22"/>
                <w:szCs w:val="22"/>
              </w:rPr>
            </w:pPr>
            <w:r>
              <w:rPr>
                <w:sz w:val="22"/>
                <w:szCs w:val="22"/>
              </w:rPr>
              <w:lastRenderedPageBreak/>
              <w:t>S</w:t>
            </w:r>
            <w:r w:rsidRPr="00880B9D">
              <w:rPr>
                <w:sz w:val="22"/>
                <w:szCs w:val="22"/>
              </w:rPr>
              <w:t>uccessfully plan</w:t>
            </w:r>
            <w:r>
              <w:rPr>
                <w:sz w:val="22"/>
                <w:szCs w:val="22"/>
              </w:rPr>
              <w:t>ning</w:t>
            </w:r>
            <w:r w:rsidRPr="00880B9D">
              <w:rPr>
                <w:sz w:val="22"/>
                <w:szCs w:val="22"/>
              </w:rPr>
              <w:t xml:space="preserve"> for and execut</w:t>
            </w:r>
            <w:r>
              <w:rPr>
                <w:sz w:val="22"/>
                <w:szCs w:val="22"/>
              </w:rPr>
              <w:t>ing</w:t>
            </w:r>
            <w:r w:rsidRPr="00880B9D">
              <w:rPr>
                <w:sz w:val="22"/>
                <w:szCs w:val="22"/>
              </w:rPr>
              <w:t xml:space="preserve"> all asset maintenance</w:t>
            </w:r>
            <w:r>
              <w:rPr>
                <w:sz w:val="22"/>
                <w:szCs w:val="22"/>
              </w:rPr>
              <w:t xml:space="preserve"> activities</w:t>
            </w:r>
            <w:r w:rsidRPr="00880B9D">
              <w:rPr>
                <w:sz w:val="22"/>
                <w:szCs w:val="22"/>
              </w:rPr>
              <w:t>,</w:t>
            </w:r>
            <w:r>
              <w:rPr>
                <w:sz w:val="22"/>
                <w:szCs w:val="22"/>
              </w:rPr>
              <w:t xml:space="preserve"> within budget and resource restraints </w:t>
            </w:r>
            <w:r w:rsidRPr="00880B9D">
              <w:rPr>
                <w:sz w:val="22"/>
                <w:szCs w:val="22"/>
              </w:rPr>
              <w:t xml:space="preserve">while ensuring a safe and compliant </w:t>
            </w:r>
            <w:r>
              <w:rPr>
                <w:sz w:val="22"/>
                <w:szCs w:val="22"/>
              </w:rPr>
              <w:t>asset</w:t>
            </w:r>
            <w:r w:rsidRPr="00880B9D">
              <w:rPr>
                <w:sz w:val="22"/>
                <w:szCs w:val="22"/>
              </w:rPr>
              <w:t xml:space="preserve"> for our </w:t>
            </w:r>
            <w:r>
              <w:rPr>
                <w:sz w:val="22"/>
                <w:szCs w:val="22"/>
              </w:rPr>
              <w:t>clients, staff, and visitors.</w:t>
            </w:r>
          </w:p>
          <w:p w:rsidR="008E039A" w:rsidRPr="00880B9D" w:rsidRDefault="008E039A" w:rsidP="008E039A">
            <w:pPr>
              <w:pStyle w:val="ListParagraph"/>
              <w:numPr>
                <w:ilvl w:val="0"/>
                <w:numId w:val="25"/>
              </w:numPr>
              <w:ind w:left="318"/>
              <w:rPr>
                <w:sz w:val="22"/>
                <w:szCs w:val="22"/>
              </w:rPr>
            </w:pPr>
            <w:r>
              <w:rPr>
                <w:sz w:val="22"/>
                <w:szCs w:val="22"/>
              </w:rPr>
              <w:t xml:space="preserve">Procuring and managing a range of multi faceted property Consultants and Maintenance Contractors </w:t>
            </w:r>
          </w:p>
          <w:p w:rsidR="008E039A" w:rsidRPr="00880B9D" w:rsidRDefault="008E039A" w:rsidP="008E039A">
            <w:pPr>
              <w:pStyle w:val="ListParagraph"/>
              <w:numPr>
                <w:ilvl w:val="0"/>
                <w:numId w:val="25"/>
              </w:numPr>
              <w:ind w:left="318"/>
              <w:rPr>
                <w:sz w:val="22"/>
                <w:szCs w:val="22"/>
              </w:rPr>
            </w:pPr>
            <w:r w:rsidRPr="00880B9D">
              <w:rPr>
                <w:sz w:val="22"/>
                <w:szCs w:val="22"/>
              </w:rPr>
              <w:t xml:space="preserve">Managing </w:t>
            </w:r>
            <w:r>
              <w:rPr>
                <w:sz w:val="22"/>
              </w:rPr>
              <w:t xml:space="preserve">Consultants and Contractors </w:t>
            </w:r>
            <w:r w:rsidRPr="00880B9D">
              <w:rPr>
                <w:sz w:val="22"/>
                <w:szCs w:val="22"/>
              </w:rPr>
              <w:t>performance to contracted KPI’s and remediating poor performance.</w:t>
            </w:r>
          </w:p>
          <w:p w:rsidR="008E039A" w:rsidRPr="00880B9D" w:rsidRDefault="008E039A" w:rsidP="008E039A">
            <w:pPr>
              <w:pStyle w:val="ListParagraph"/>
              <w:numPr>
                <w:ilvl w:val="0"/>
                <w:numId w:val="25"/>
              </w:numPr>
              <w:ind w:left="318"/>
              <w:rPr>
                <w:sz w:val="22"/>
                <w:szCs w:val="22"/>
              </w:rPr>
            </w:pPr>
            <w:r>
              <w:rPr>
                <w:sz w:val="22"/>
                <w:szCs w:val="22"/>
              </w:rPr>
              <w:t>Managing a broad range of tasks with competing priorities</w:t>
            </w:r>
          </w:p>
          <w:p w:rsidR="00F143C4" w:rsidRPr="002D1B2B" w:rsidRDefault="00F143C4" w:rsidP="002D1B2B">
            <w:pPr>
              <w:spacing w:after="60"/>
              <w:rPr>
                <w:sz w:val="22"/>
                <w:szCs w:val="22"/>
              </w:rPr>
            </w:pPr>
          </w:p>
        </w:tc>
      </w:tr>
    </w:tbl>
    <w:p w:rsidR="007454A0" w:rsidRDefault="007454A0" w:rsidP="000B007D">
      <w:pPr>
        <w:ind w:left="720" w:hanging="1146"/>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1E060C">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1E060C">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1"/>
            <w14:checkedState w14:val="2612" w14:font="MS Gothic"/>
            <w14:uncheckedState w14:val="2610" w14:font="MS Gothic"/>
          </w14:checkbox>
        </w:sdtPr>
        <w:sdtEndPr/>
        <w:sdtContent>
          <w:r w:rsidR="001E060C">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1E060C">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rsidR="00B47289" w:rsidRDefault="00B47289" w:rsidP="000B007D">
      <w:pPr>
        <w:ind w:left="720" w:hanging="1146"/>
        <w:rPr>
          <w:b/>
          <w:color w:val="722D69"/>
          <w:sz w:val="28"/>
        </w:rPr>
      </w:pPr>
    </w:p>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8E039A" w:rsidP="00662039">
            <w:pPr>
              <w:ind w:left="720" w:hanging="720"/>
              <w:rPr>
                <w:sz w:val="22"/>
              </w:rPr>
            </w:pPr>
            <w:r w:rsidRPr="00E643DB">
              <w:rPr>
                <w:sz w:val="22"/>
              </w:rPr>
              <w:t>Andrew Layton</w:t>
            </w: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r>
        <w:t xml:space="preserve">         </w:t>
      </w:r>
      <w:r w:rsidR="005773BE">
        <w:t xml:space="preserve">                                                                                                                                                </w:t>
      </w:r>
      <w:r>
        <w:t xml:space="preserve">   </w:t>
      </w:r>
    </w:p>
    <w:sectPr w:rsidR="007117A1" w:rsidSect="000C425F">
      <w:headerReference w:type="default" r:id="rId10"/>
      <w:footerReference w:type="default" r:id="rId11"/>
      <w:footerReference w:type="first" r:id="rId12"/>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39" w:rsidRDefault="004B3A39" w:rsidP="00985745">
      <w:r>
        <w:separator/>
      </w:r>
    </w:p>
  </w:endnote>
  <w:endnote w:type="continuationSeparator" w:id="0">
    <w:p w:rsidR="004B3A39" w:rsidRDefault="004B3A39"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F6552F">
      <w:t>6</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39" w:rsidRDefault="004B3A39" w:rsidP="00985745">
      <w:r>
        <w:separator/>
      </w:r>
    </w:p>
  </w:footnote>
  <w:footnote w:type="continuationSeparator" w:id="0">
    <w:p w:rsidR="004B3A39" w:rsidRDefault="004B3A39"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18E3FA8"/>
    <w:multiLevelType w:val="hybridMultilevel"/>
    <w:tmpl w:val="9B00D800"/>
    <w:lvl w:ilvl="0" w:tplc="6440613A">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7">
    <w:nsid w:val="6D8C749F"/>
    <w:multiLevelType w:val="hybridMultilevel"/>
    <w:tmpl w:val="7D0A6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9"/>
  </w:num>
  <w:num w:numId="4">
    <w:abstractNumId w:val="10"/>
  </w:num>
  <w:num w:numId="5">
    <w:abstractNumId w:val="2"/>
  </w:num>
  <w:num w:numId="6">
    <w:abstractNumId w:val="3"/>
  </w:num>
  <w:num w:numId="7">
    <w:abstractNumId w:val="9"/>
  </w:num>
  <w:num w:numId="8">
    <w:abstractNumId w:val="23"/>
  </w:num>
  <w:num w:numId="9">
    <w:abstractNumId w:val="20"/>
  </w:num>
  <w:num w:numId="10">
    <w:abstractNumId w:val="14"/>
  </w:num>
  <w:num w:numId="11">
    <w:abstractNumId w:val="18"/>
  </w:num>
  <w:num w:numId="12">
    <w:abstractNumId w:val="22"/>
  </w:num>
  <w:num w:numId="13">
    <w:abstractNumId w:val="29"/>
  </w:num>
  <w:num w:numId="14">
    <w:abstractNumId w:val="1"/>
  </w:num>
  <w:num w:numId="15">
    <w:abstractNumId w:val="8"/>
  </w:num>
  <w:num w:numId="16">
    <w:abstractNumId w:val="11"/>
  </w:num>
  <w:num w:numId="17">
    <w:abstractNumId w:val="13"/>
  </w:num>
  <w:num w:numId="18">
    <w:abstractNumId w:val="12"/>
  </w:num>
  <w:num w:numId="19">
    <w:abstractNumId w:val="0"/>
  </w:num>
  <w:num w:numId="20">
    <w:abstractNumId w:val="15"/>
  </w:num>
  <w:num w:numId="21">
    <w:abstractNumId w:val="21"/>
  </w:num>
  <w:num w:numId="22">
    <w:abstractNumId w:val="4"/>
  </w:num>
  <w:num w:numId="23">
    <w:abstractNumId w:val="17"/>
  </w:num>
  <w:num w:numId="24">
    <w:abstractNumId w:val="28"/>
  </w:num>
  <w:num w:numId="25">
    <w:abstractNumId w:val="16"/>
  </w:num>
  <w:num w:numId="26">
    <w:abstractNumId w:val="6"/>
  </w:num>
  <w:num w:numId="27">
    <w:abstractNumId w:val="30"/>
  </w:num>
  <w:num w:numId="28">
    <w:abstractNumId w:val="7"/>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060C"/>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1B2B"/>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374"/>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D719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314E"/>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4A35"/>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6764D"/>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39A"/>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34AD"/>
    <w:rsid w:val="00DE4FA8"/>
    <w:rsid w:val="00DE603C"/>
    <w:rsid w:val="00DE70EB"/>
    <w:rsid w:val="00DF1411"/>
    <w:rsid w:val="00DF194E"/>
    <w:rsid w:val="00DF3D34"/>
    <w:rsid w:val="00DF6CD0"/>
    <w:rsid w:val="00E00E74"/>
    <w:rsid w:val="00E01B49"/>
    <w:rsid w:val="00E0282C"/>
    <w:rsid w:val="00E03C4C"/>
    <w:rsid w:val="00E03DA6"/>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EF722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6552F"/>
    <w:rsid w:val="00F72999"/>
    <w:rsid w:val="00F72D1D"/>
    <w:rsid w:val="00F73C8A"/>
    <w:rsid w:val="00F74B08"/>
    <w:rsid w:val="00F75F4A"/>
    <w:rsid w:val="00F76DD7"/>
    <w:rsid w:val="00F770FA"/>
    <w:rsid w:val="00F8052E"/>
    <w:rsid w:val="00F80EB2"/>
    <w:rsid w:val="00F82A10"/>
    <w:rsid w:val="00F83040"/>
    <w:rsid w:val="00F8330A"/>
    <w:rsid w:val="00F84051"/>
    <w:rsid w:val="00F84F97"/>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0426"/>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1">
    <w:name w:val="Style 1"/>
    <w:basedOn w:val="Normal"/>
    <w:rsid w:val="0076764D"/>
    <w:pPr>
      <w:tabs>
        <w:tab w:val="left" w:pos="4536"/>
        <w:tab w:val="left" w:pos="7371"/>
      </w:tabs>
      <w:spacing w:after="60"/>
      <w:ind w:left="425" w:hanging="425"/>
      <w:jc w:val="both"/>
    </w:pPr>
    <w:rPr>
      <w:rFonts w:ascii="Times New Roman" w:hAnsi="Times New Roman"/>
      <w:b/>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1">
    <w:name w:val="Style 1"/>
    <w:basedOn w:val="Normal"/>
    <w:rsid w:val="0076764D"/>
    <w:pPr>
      <w:tabs>
        <w:tab w:val="left" w:pos="4536"/>
        <w:tab w:val="left" w:pos="7371"/>
      </w:tabs>
      <w:spacing w:after="60"/>
      <w:ind w:left="425" w:hanging="425"/>
      <w:jc w:val="both"/>
    </w:pPr>
    <w:rPr>
      <w:rFonts w:ascii="Times New Roman" w:hAnsi="Times New Roman"/>
      <w:b/>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48B1-1B84-49E6-983A-D1E512BD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5</TotalTime>
  <Pages>6</Pages>
  <Words>1698</Words>
  <Characters>10739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12413</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Trisha Smith</cp:lastModifiedBy>
  <cp:revision>2</cp:revision>
  <cp:lastPrinted>2017-07-03T02:10:00Z</cp:lastPrinted>
  <dcterms:created xsi:type="dcterms:W3CDTF">2017-07-03T23:00:00Z</dcterms:created>
  <dcterms:modified xsi:type="dcterms:W3CDTF">2017-07-03T23:00:00Z</dcterms:modified>
</cp:coreProperties>
</file>