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61654BC1" wp14:editId="0618028F">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26C27">
                              <w:rPr>
                                <w:b/>
                                <w:color w:val="FFFFFF"/>
                              </w:rPr>
                              <w:t xml:space="preserve">Non </w:t>
                            </w:r>
                            <w:r>
                              <w:rPr>
                                <w:b/>
                                <w:color w:val="FFFFFF"/>
                              </w:rPr>
                              <w:t xml:space="preserve">People Leader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1654BC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26C27">
                        <w:rPr>
                          <w:b/>
                          <w:color w:val="FFFFFF"/>
                        </w:rPr>
                        <w:t xml:space="preserve">Non </w:t>
                      </w:r>
                      <w:r>
                        <w:rPr>
                          <w:b/>
                          <w:color w:val="FFFFFF"/>
                        </w:rPr>
                        <w:t xml:space="preserve">People Leader </w:t>
                      </w:r>
                    </w:p>
                  </w:txbxContent>
                </v:textbox>
              </v:shape>
            </w:pict>
          </mc:Fallback>
        </mc:AlternateContent>
      </w:r>
      <w:r w:rsidR="000C425F">
        <w:rPr>
          <w:noProof/>
        </w:rPr>
        <w:drawing>
          <wp:anchor distT="0" distB="0" distL="114300" distR="114300" simplePos="0" relativeHeight="251659264" behindDoc="1" locked="0" layoutInCell="1" allowOverlap="1" wp14:anchorId="6226DA73" wp14:editId="079757F4">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348"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985"/>
        <w:gridCol w:w="7653"/>
      </w:tblGrid>
      <w:tr w:rsidR="00D572CA" w:rsidTr="00C44A54">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C44A54">
        <w:tc>
          <w:tcPr>
            <w:tcW w:w="1030"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3970"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C44A54">
        <w:tc>
          <w:tcPr>
            <w:tcW w:w="1030"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3970"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C44A54">
        <w:tc>
          <w:tcPr>
            <w:tcW w:w="1030"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3970"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C44A54">
        <w:tc>
          <w:tcPr>
            <w:tcW w:w="1030"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3970"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C44A54">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F84051">
            <w:pPr>
              <w:rPr>
                <w:sz w:val="22"/>
              </w:rPr>
            </w:pPr>
            <w:r w:rsidRPr="009537C6">
              <w:rPr>
                <w:sz w:val="22"/>
              </w:rPr>
              <w:t>Position Title</w:t>
            </w:r>
            <w:r w:rsidR="00EA6E7A">
              <w:rPr>
                <w:sz w:val="22"/>
              </w:rPr>
              <w:t>:</w:t>
            </w:r>
            <w:r w:rsidR="00C44A54">
              <w:rPr>
                <w:sz w:val="22"/>
              </w:rPr>
              <w:t xml:space="preserve"> </w:t>
            </w:r>
            <w:r w:rsidR="00AD6710">
              <w:rPr>
                <w:sz w:val="22"/>
              </w:rPr>
              <w:t xml:space="preserve">               </w:t>
            </w:r>
            <w:r w:rsidR="00C44A54">
              <w:rPr>
                <w:sz w:val="22"/>
              </w:rPr>
              <w:t>Financial Counsellor</w:t>
            </w:r>
            <w:r w:rsidR="00653102">
              <w:rPr>
                <w:sz w:val="22"/>
              </w:rPr>
              <w:t xml:space="preserve">          </w:t>
            </w:r>
            <w:r w:rsidR="005E0924">
              <w:rPr>
                <w:sz w:val="22"/>
              </w:rPr>
              <w:t xml:space="preserve">  </w:t>
            </w:r>
            <w:r w:rsidR="00653102">
              <w:rPr>
                <w:sz w:val="22"/>
              </w:rPr>
              <w:t xml:space="preserve">  </w:t>
            </w:r>
            <w:r w:rsidR="005E0924">
              <w:rPr>
                <w:sz w:val="22"/>
              </w:rPr>
              <w:t xml:space="preserve">  </w:t>
            </w:r>
          </w:p>
        </w:tc>
      </w:tr>
      <w:tr w:rsidR="00472F91" w:rsidTr="00C44A54">
        <w:tc>
          <w:tcPr>
            <w:tcW w:w="1030"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3970" w:type="pct"/>
                <w:tcBorders>
                  <w:top w:val="single" w:sz="4" w:space="0" w:color="EC268C"/>
                  <w:left w:val="nil"/>
                  <w:bottom w:val="single" w:sz="4" w:space="0" w:color="EC268C"/>
                  <w:right w:val="nil"/>
                </w:tcBorders>
              </w:tcPr>
              <w:p w:rsidR="00472F91" w:rsidRPr="00B76B2D" w:rsidRDefault="0079523F" w:rsidP="00F223CF">
                <w:pPr>
                  <w:ind w:left="720" w:hanging="720"/>
                  <w:rPr>
                    <w:sz w:val="22"/>
                  </w:rPr>
                </w:pPr>
                <w:r>
                  <w:rPr>
                    <w:sz w:val="22"/>
                  </w:rPr>
                  <w:t>Community Services</w:t>
                </w:r>
              </w:p>
            </w:tc>
          </w:sdtContent>
        </w:sdt>
      </w:tr>
      <w:tr w:rsidR="00C805F7" w:rsidTr="00C44A54">
        <w:tc>
          <w:tcPr>
            <w:tcW w:w="1030" w:type="pct"/>
            <w:tcBorders>
              <w:top w:val="single" w:sz="4" w:space="0" w:color="EC268C"/>
              <w:left w:val="nil"/>
              <w:bottom w:val="single" w:sz="4" w:space="0" w:color="EC268C"/>
              <w:right w:val="nil"/>
            </w:tcBorders>
            <w:hideMark/>
          </w:tcPr>
          <w:p w:rsidR="00C805F7" w:rsidRPr="00B76B2D" w:rsidRDefault="00E5049B" w:rsidP="006820AE">
            <w:pPr>
              <w:ind w:right="-7620"/>
              <w:rPr>
                <w:sz w:val="22"/>
              </w:rPr>
            </w:pPr>
            <w:r>
              <w:rPr>
                <w:sz w:val="22"/>
              </w:rPr>
              <w:t>Report</w:t>
            </w:r>
            <w:r w:rsidR="009537C6">
              <w:rPr>
                <w:sz w:val="22"/>
              </w:rPr>
              <w:t>s</w:t>
            </w:r>
            <w:r>
              <w:rPr>
                <w:sz w:val="22"/>
              </w:rPr>
              <w:t xml:space="preserve"> t</w:t>
            </w:r>
            <w:r w:rsidR="00C805F7">
              <w:rPr>
                <w:sz w:val="22"/>
              </w:rPr>
              <w:t>o</w:t>
            </w:r>
            <w:r w:rsidR="006820AE">
              <w:rPr>
                <w:sz w:val="22"/>
              </w:rPr>
              <w:t>:</w:t>
            </w:r>
          </w:p>
        </w:tc>
        <w:tc>
          <w:tcPr>
            <w:tcW w:w="3810" w:type="pct"/>
            <w:tcBorders>
              <w:top w:val="single" w:sz="4" w:space="0" w:color="EC268C"/>
              <w:left w:val="nil"/>
              <w:bottom w:val="single" w:sz="4" w:space="0" w:color="EC268C"/>
              <w:right w:val="nil"/>
            </w:tcBorders>
            <w:hideMark/>
          </w:tcPr>
          <w:p w:rsidR="00C805F7" w:rsidRPr="00AD6710" w:rsidRDefault="00AD6710" w:rsidP="006820AE">
            <w:pPr>
              <w:rPr>
                <w:sz w:val="22"/>
              </w:rPr>
            </w:pPr>
            <w:r w:rsidRPr="00AD6710">
              <w:rPr>
                <w:sz w:val="22"/>
              </w:rPr>
              <w:t>Program Manager</w:t>
            </w:r>
          </w:p>
        </w:tc>
      </w:tr>
      <w:tr w:rsidR="00C805F7" w:rsidTr="00C44A54">
        <w:tc>
          <w:tcPr>
            <w:tcW w:w="1030" w:type="pct"/>
            <w:tcBorders>
              <w:top w:val="single" w:sz="4" w:space="0" w:color="EC268C"/>
              <w:left w:val="nil"/>
              <w:bottom w:val="single" w:sz="4" w:space="0" w:color="EC268C"/>
              <w:right w:val="nil"/>
            </w:tcBorders>
          </w:tcPr>
          <w:p w:rsidR="00AD6710" w:rsidRPr="00AD6710" w:rsidRDefault="00C805F7" w:rsidP="00AD6710">
            <w:pPr>
              <w:pStyle w:val="Heading2TOC"/>
              <w:rPr>
                <w:b w:val="0"/>
              </w:rPr>
            </w:pPr>
            <w:r w:rsidRPr="00AD6710">
              <w:rPr>
                <w:b w:val="0"/>
              </w:rPr>
              <w:t>Position Purpose</w:t>
            </w:r>
            <w:r w:rsidR="009537C6" w:rsidRPr="00AD6710">
              <w:rPr>
                <w:b w:val="0"/>
              </w:rPr>
              <w:t>:</w:t>
            </w:r>
          </w:p>
          <w:p w:rsidR="00AD6710" w:rsidRDefault="00AD6710" w:rsidP="00AD6710">
            <w:pPr>
              <w:rPr>
                <w:sz w:val="22"/>
              </w:rPr>
            </w:pPr>
          </w:p>
          <w:p w:rsidR="00893D21" w:rsidRDefault="00893D21" w:rsidP="00AD6710">
            <w:pPr>
              <w:rPr>
                <w:sz w:val="22"/>
              </w:rPr>
            </w:pPr>
          </w:p>
          <w:p w:rsidR="00893D21" w:rsidRDefault="00893D21" w:rsidP="00AD6710">
            <w:pPr>
              <w:rPr>
                <w:sz w:val="22"/>
              </w:rPr>
            </w:pPr>
          </w:p>
          <w:p w:rsidR="00893D21" w:rsidRDefault="00AD6710" w:rsidP="00AD6710">
            <w:pPr>
              <w:pStyle w:val="Heading2TOC"/>
              <w:rPr>
                <w:b w:val="0"/>
              </w:rPr>
            </w:pPr>
            <w:r w:rsidRPr="00AD6710">
              <w:rPr>
                <w:b w:val="0"/>
              </w:rPr>
              <w:t>Key Challenges:</w:t>
            </w:r>
          </w:p>
          <w:p w:rsidR="00893D21" w:rsidRPr="00893D21" w:rsidRDefault="00893D21" w:rsidP="00893D21"/>
          <w:p w:rsidR="00893D21" w:rsidRDefault="00893D21" w:rsidP="00893D21"/>
          <w:p w:rsidR="00893D21" w:rsidRDefault="00893D21" w:rsidP="00893D21">
            <w:pPr>
              <w:pStyle w:val="Heading2TOC"/>
              <w:rPr>
                <w:b w:val="0"/>
              </w:rPr>
            </w:pPr>
          </w:p>
          <w:p w:rsidR="0079523F" w:rsidRDefault="00893D21" w:rsidP="00893D21">
            <w:pPr>
              <w:pStyle w:val="Heading2TOC"/>
              <w:rPr>
                <w:b w:val="0"/>
              </w:rPr>
            </w:pPr>
            <w:r>
              <w:rPr>
                <w:b w:val="0"/>
              </w:rPr>
              <w:t xml:space="preserve">Key Result Areas: </w:t>
            </w:r>
          </w:p>
          <w:p w:rsidR="00AD6710" w:rsidRPr="0079523F" w:rsidRDefault="00AD6710" w:rsidP="0079523F"/>
        </w:tc>
        <w:tc>
          <w:tcPr>
            <w:tcW w:w="3970" w:type="pct"/>
            <w:tcBorders>
              <w:top w:val="single" w:sz="4" w:space="0" w:color="EC268C"/>
              <w:left w:val="nil"/>
              <w:bottom w:val="single" w:sz="4" w:space="0" w:color="EC268C"/>
              <w:right w:val="nil"/>
            </w:tcBorders>
          </w:tcPr>
          <w:p w:rsidR="00AD6710" w:rsidRDefault="00AD6710" w:rsidP="00893D21">
            <w:pPr>
              <w:pStyle w:val="StyleHeading3CenturyGothic14ptAfter6pt"/>
              <w:numPr>
                <w:ilvl w:val="0"/>
                <w:numId w:val="0"/>
              </w:numPr>
              <w:spacing w:before="60" w:after="0"/>
              <w:rPr>
                <w:rFonts w:asciiTheme="minorHAnsi" w:hAnsiTheme="minorHAnsi"/>
                <w:b w:val="0"/>
                <w:sz w:val="22"/>
                <w:szCs w:val="22"/>
              </w:rPr>
            </w:pPr>
            <w:r w:rsidRPr="00AD6710">
              <w:rPr>
                <w:rFonts w:asciiTheme="minorHAnsi" w:hAnsiTheme="minorHAnsi"/>
                <w:b w:val="0"/>
                <w:sz w:val="22"/>
                <w:szCs w:val="22"/>
              </w:rPr>
              <w:t>Financial Counselling aims to result in a client’s financial problem/s being partially or fully resolved; a client being able to make informed decisions on the best course of action to resolve their financial difficulties; and/or a client’s improved ability to manage their financial affairs in the future. Community education about problem gambling and financial issues aims to raise awareness of assistance and support provided by DSS (Department of Social Services).</w:t>
            </w:r>
          </w:p>
          <w:p w:rsidR="00893D21" w:rsidRPr="00893D21" w:rsidRDefault="00893D21" w:rsidP="00893D21">
            <w:pPr>
              <w:rPr>
                <w:lang w:val="en-US" w:eastAsia="en-US"/>
              </w:rPr>
            </w:pPr>
          </w:p>
          <w:p w:rsidR="00AD6710" w:rsidRPr="00893D21" w:rsidRDefault="00AD6710" w:rsidP="005C0507">
            <w:pPr>
              <w:pStyle w:val="ListParagraph"/>
              <w:numPr>
                <w:ilvl w:val="0"/>
                <w:numId w:val="16"/>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 xml:space="preserve">To provide face to face and telephone financial counseling to individual clients and families. </w:t>
            </w:r>
          </w:p>
          <w:p w:rsidR="00AD6710" w:rsidRPr="00893D21" w:rsidRDefault="00AD6710" w:rsidP="005C0507">
            <w:pPr>
              <w:pStyle w:val="ListParagraph"/>
              <w:numPr>
                <w:ilvl w:val="0"/>
                <w:numId w:val="16"/>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Individual and group advocacy and negotiations</w:t>
            </w:r>
          </w:p>
          <w:p w:rsidR="00AD6710" w:rsidRPr="00893D21" w:rsidRDefault="00AD6710" w:rsidP="005C0507">
            <w:pPr>
              <w:pStyle w:val="ListParagraph"/>
              <w:numPr>
                <w:ilvl w:val="0"/>
                <w:numId w:val="16"/>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Processes internal and external referrals</w:t>
            </w:r>
          </w:p>
          <w:p w:rsidR="00AD6710" w:rsidRPr="00893D21" w:rsidRDefault="00AD6710" w:rsidP="005C0507">
            <w:pPr>
              <w:pStyle w:val="ListParagraph"/>
              <w:keepNext/>
              <w:numPr>
                <w:ilvl w:val="0"/>
                <w:numId w:val="16"/>
              </w:numPr>
              <w:tabs>
                <w:tab w:val="left" w:pos="450"/>
              </w:tabs>
              <w:spacing w:before="60" w:after="0"/>
              <w:outlineLvl w:val="2"/>
              <w:rPr>
                <w:rFonts w:asciiTheme="minorHAnsi" w:hAnsiTheme="minorHAnsi"/>
                <w:bCs/>
                <w:sz w:val="22"/>
                <w:szCs w:val="22"/>
                <w:lang w:val="en-US" w:eastAsia="en-US"/>
              </w:rPr>
            </w:pPr>
            <w:r w:rsidRPr="00893D21">
              <w:rPr>
                <w:rFonts w:asciiTheme="minorHAnsi" w:hAnsiTheme="minorHAnsi"/>
                <w:bCs/>
                <w:sz w:val="22"/>
                <w:szCs w:val="22"/>
                <w:lang w:val="en-US" w:eastAsia="en-US"/>
              </w:rPr>
              <w:t>Community education and development</w:t>
            </w:r>
          </w:p>
          <w:p w:rsidR="00AD6710" w:rsidRPr="00AD6710" w:rsidRDefault="00AD6710" w:rsidP="00AD6710">
            <w:pPr>
              <w:rPr>
                <w:rFonts w:asciiTheme="minorHAnsi" w:hAnsiTheme="minorHAnsi"/>
                <w:sz w:val="22"/>
                <w:szCs w:val="22"/>
                <w:lang w:val="en-US" w:eastAsia="en-US"/>
              </w:rPr>
            </w:pPr>
          </w:p>
          <w:p w:rsidR="00893D21" w:rsidRPr="00893D21" w:rsidRDefault="00893D21" w:rsidP="005C0507">
            <w:pPr>
              <w:numPr>
                <w:ilvl w:val="0"/>
                <w:numId w:val="15"/>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Client Support</w:t>
            </w:r>
          </w:p>
          <w:p w:rsidR="00893D21" w:rsidRPr="00893D21" w:rsidRDefault="00893D21" w:rsidP="005C0507">
            <w:pPr>
              <w:numPr>
                <w:ilvl w:val="0"/>
                <w:numId w:val="15"/>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Compliance</w:t>
            </w:r>
          </w:p>
          <w:p w:rsidR="00893D21" w:rsidRPr="00893D21" w:rsidRDefault="00893D21" w:rsidP="005C0507">
            <w:pPr>
              <w:numPr>
                <w:ilvl w:val="0"/>
                <w:numId w:val="15"/>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 xml:space="preserve">Administration </w:t>
            </w:r>
          </w:p>
          <w:p w:rsidR="00893D21" w:rsidRPr="00893D21" w:rsidRDefault="00893D21" w:rsidP="005C0507">
            <w:pPr>
              <w:numPr>
                <w:ilvl w:val="0"/>
                <w:numId w:val="15"/>
              </w:numPr>
              <w:spacing w:after="0"/>
              <w:rPr>
                <w:rFonts w:asciiTheme="minorHAnsi" w:hAnsiTheme="minorHAnsi"/>
                <w:color w:val="000000"/>
                <w:sz w:val="22"/>
                <w:szCs w:val="22"/>
                <w:lang w:val="en-US" w:eastAsia="en-US"/>
              </w:rPr>
            </w:pPr>
            <w:r w:rsidRPr="00893D21">
              <w:rPr>
                <w:rFonts w:asciiTheme="minorHAnsi" w:hAnsiTheme="minorHAnsi"/>
                <w:sz w:val="22"/>
                <w:szCs w:val="22"/>
                <w:lang w:val="en-US" w:eastAsia="en-US"/>
              </w:rPr>
              <w:t>Community Education</w:t>
            </w:r>
          </w:p>
          <w:p w:rsidR="00C805F7" w:rsidRPr="0079523F" w:rsidRDefault="00893D21" w:rsidP="005C0507">
            <w:pPr>
              <w:pStyle w:val="ListParagraph"/>
              <w:numPr>
                <w:ilvl w:val="0"/>
                <w:numId w:val="15"/>
              </w:numPr>
              <w:rPr>
                <w:rFonts w:asciiTheme="minorHAnsi" w:hAnsiTheme="minorHAnsi"/>
                <w:color w:val="000000"/>
                <w:sz w:val="22"/>
                <w:szCs w:val="22"/>
                <w:lang w:val="en-US" w:eastAsia="en-US"/>
              </w:rPr>
            </w:pPr>
            <w:r w:rsidRPr="00893D21">
              <w:rPr>
                <w:rFonts w:asciiTheme="minorHAnsi" w:hAnsiTheme="minorHAnsi"/>
                <w:color w:val="000000"/>
                <w:sz w:val="22"/>
                <w:szCs w:val="22"/>
                <w:lang w:val="en-US" w:eastAsia="en-US"/>
              </w:rPr>
              <w:t>Professional Development &amp; Trainin</w:t>
            </w:r>
            <w:r w:rsidR="0079523F">
              <w:rPr>
                <w:rFonts w:asciiTheme="minorHAnsi" w:hAnsiTheme="minorHAnsi"/>
                <w:color w:val="000000"/>
                <w:sz w:val="22"/>
                <w:szCs w:val="22"/>
                <w:lang w:val="en-US" w:eastAsia="en-US"/>
              </w:rPr>
              <w:t>g</w:t>
            </w:r>
            <w:r w:rsidR="009537C6" w:rsidRPr="0079523F">
              <w:rPr>
                <w:sz w:val="22"/>
              </w:rPr>
              <w:t xml:space="preserve">    </w:t>
            </w:r>
          </w:p>
        </w:tc>
      </w:tr>
      <w:tr w:rsidR="00C805F7" w:rsidTr="00C44A54">
        <w:tc>
          <w:tcPr>
            <w:tcW w:w="1030" w:type="pct"/>
            <w:tcBorders>
              <w:top w:val="single" w:sz="4" w:space="0" w:color="EC268C"/>
              <w:left w:val="nil"/>
              <w:bottom w:val="nil"/>
              <w:right w:val="nil"/>
            </w:tcBorders>
          </w:tcPr>
          <w:p w:rsidR="00893D21" w:rsidRPr="00B76B2D" w:rsidRDefault="00893D21" w:rsidP="00222952">
            <w:pPr>
              <w:rPr>
                <w:sz w:val="22"/>
              </w:rPr>
            </w:pPr>
          </w:p>
        </w:tc>
        <w:tc>
          <w:tcPr>
            <w:tcW w:w="3970" w:type="pct"/>
            <w:tcBorders>
              <w:top w:val="single" w:sz="4" w:space="0" w:color="EC268C"/>
              <w:left w:val="nil"/>
              <w:bottom w:val="nil"/>
              <w:right w:val="nil"/>
            </w:tcBorders>
          </w:tcPr>
          <w:p w:rsidR="0079523F" w:rsidRDefault="0079523F" w:rsidP="0079523F">
            <w:pPr>
              <w:keepNext/>
              <w:keepLines/>
              <w:spacing w:before="480" w:after="0" w:line="276" w:lineRule="auto"/>
              <w:rPr>
                <w:rFonts w:eastAsia="MS Gothic" w:cs="Calibri"/>
                <w:b/>
                <w:bCs/>
                <w:color w:val="BD007B"/>
                <w:sz w:val="22"/>
                <w:szCs w:val="22"/>
                <w:lang w:val="en-US" w:eastAsia="ja-JP"/>
              </w:rPr>
            </w:pPr>
          </w:p>
          <w:p w:rsidR="00C805F7" w:rsidRPr="0079523F" w:rsidRDefault="00893D21" w:rsidP="0079523F">
            <w:pPr>
              <w:rPr>
                <w:rFonts w:eastAsia="MS Gothic"/>
                <w:b/>
                <w:bCs/>
                <w:color w:val="BD007B"/>
                <w:lang w:val="en-US" w:eastAsia="ja-JP"/>
              </w:rPr>
            </w:pPr>
            <w:r>
              <w:rPr>
                <w:rFonts w:eastAsia="MS Gothic"/>
                <w:lang w:val="en-US" w:eastAsia="ja-JP"/>
              </w:rPr>
              <w:tab/>
            </w:r>
            <w:r>
              <w:rPr>
                <w:rFonts w:eastAsia="MS Gothic"/>
                <w:lang w:val="en-US" w:eastAsia="ja-JP"/>
              </w:rPr>
              <w:tab/>
            </w:r>
            <w:r>
              <w:rPr>
                <w:rFonts w:eastAsia="MS Gothic"/>
                <w:lang w:val="en-US" w:eastAsia="ja-JP"/>
              </w:rPr>
              <w:tab/>
            </w:r>
            <w:r>
              <w:rPr>
                <w:rFonts w:eastAsia="MS Gothic"/>
                <w:lang w:val="en-US" w:eastAsia="ja-JP"/>
              </w:rPr>
              <w:tab/>
            </w:r>
            <w:r>
              <w:rPr>
                <w:rFonts w:eastAsia="MS Gothic"/>
                <w:lang w:val="en-US" w:eastAsia="ja-JP"/>
              </w:rPr>
              <w:tab/>
            </w:r>
            <w:r>
              <w:rPr>
                <w:rFonts w:eastAsia="MS Gothic"/>
                <w:lang w:val="en-US" w:eastAsia="ja-JP"/>
              </w:rPr>
              <w:tab/>
            </w:r>
            <w:r>
              <w:rPr>
                <w:rFonts w:eastAsia="MS Gothic"/>
                <w:lang w:val="en-US" w:eastAsia="ja-JP"/>
              </w:rPr>
              <w:tab/>
            </w:r>
          </w:p>
        </w:tc>
      </w:tr>
    </w:tbl>
    <w:p w:rsidR="00EA745B" w:rsidRDefault="00120E22" w:rsidP="000B007D">
      <w:pPr>
        <w:ind w:left="720" w:hanging="1004"/>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893D21" w:rsidP="0070562F">
                  <w:pPr>
                    <w:spacing w:before="40" w:after="60"/>
                    <w:rPr>
                      <w:b/>
                      <w:color w:val="522F8C"/>
                    </w:rPr>
                  </w:pPr>
                  <w:r>
                    <w:rPr>
                      <w:b/>
                      <w:color w:val="522F8C"/>
                    </w:rPr>
                    <w:t>Client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893D21" w:rsidRPr="00893D21" w:rsidRDefault="00893D21" w:rsidP="005C0507">
                  <w:pPr>
                    <w:numPr>
                      <w:ilvl w:val="0"/>
                      <w:numId w:val="17"/>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 xml:space="preserve">Provide individual, couple &amp; group counseling to clients both face to face and over the phone </w:t>
                  </w:r>
                </w:p>
                <w:p w:rsidR="00893D21" w:rsidRPr="00893D21" w:rsidRDefault="00893D21" w:rsidP="005C0507">
                  <w:pPr>
                    <w:numPr>
                      <w:ilvl w:val="0"/>
                      <w:numId w:val="17"/>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Develop and support an environment conducive to effective counseling and client support.</w:t>
                  </w:r>
                </w:p>
                <w:p w:rsidR="00893D21" w:rsidRPr="00893D21" w:rsidRDefault="00893D21" w:rsidP="005C0507">
                  <w:pPr>
                    <w:numPr>
                      <w:ilvl w:val="0"/>
                      <w:numId w:val="17"/>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Arrange appropriate referrals for clients within the service or to other services as required</w:t>
                  </w:r>
                </w:p>
                <w:p w:rsidR="00893D21" w:rsidRPr="00893D21" w:rsidRDefault="00893D21" w:rsidP="005C0507">
                  <w:pPr>
                    <w:numPr>
                      <w:ilvl w:val="0"/>
                      <w:numId w:val="17"/>
                    </w:numPr>
                    <w:spacing w:after="0"/>
                    <w:rPr>
                      <w:rFonts w:asciiTheme="minorHAnsi" w:hAnsiTheme="minorHAnsi"/>
                      <w:sz w:val="22"/>
                      <w:szCs w:val="22"/>
                      <w:lang w:val="en-US" w:eastAsia="en-US"/>
                    </w:rPr>
                  </w:pPr>
                  <w:r w:rsidRPr="00893D21">
                    <w:rPr>
                      <w:rFonts w:asciiTheme="minorHAnsi" w:hAnsiTheme="minorHAnsi"/>
                      <w:sz w:val="22"/>
                      <w:szCs w:val="22"/>
                      <w:lang w:val="en-US" w:eastAsia="en-US"/>
                    </w:rPr>
                    <w:t>Develop caring, supportive and professional relationships with clients</w:t>
                  </w:r>
                </w:p>
                <w:p w:rsidR="00B47289" w:rsidRPr="0079523F" w:rsidRDefault="00893D21" w:rsidP="005C0507">
                  <w:pPr>
                    <w:pStyle w:val="ListParagraph"/>
                    <w:numPr>
                      <w:ilvl w:val="0"/>
                      <w:numId w:val="17"/>
                    </w:numPr>
                    <w:rPr>
                      <w:b/>
                      <w:color w:val="522F8C"/>
                      <w:sz w:val="22"/>
                      <w:szCs w:val="22"/>
                    </w:rPr>
                  </w:pPr>
                  <w:r w:rsidRPr="0079523F">
                    <w:rPr>
                      <w:sz w:val="22"/>
                      <w:szCs w:val="22"/>
                      <w:lang w:val="en-US" w:eastAsia="en-US"/>
                    </w:rPr>
                    <w:t xml:space="preserve">Develop quality relationships with a range of key stakeholders including community </w:t>
                  </w:r>
                  <w:proofErr w:type="spellStart"/>
                  <w:r w:rsidRPr="0079523F">
                    <w:rPr>
                      <w:sz w:val="22"/>
                      <w:szCs w:val="22"/>
                      <w:lang w:val="en-US" w:eastAsia="en-US"/>
                    </w:rPr>
                    <w:t>organisations</w:t>
                  </w:r>
                  <w:proofErr w:type="spellEnd"/>
                  <w:r w:rsidRPr="0079523F">
                    <w:rPr>
                      <w:sz w:val="22"/>
                      <w:szCs w:val="22"/>
                      <w:lang w:val="en-US" w:eastAsia="en-US"/>
                    </w:rPr>
                    <w:t xml:space="preserve">, rehabilitation providers and other health professionals </w:t>
                  </w:r>
                  <w:r w:rsidRPr="0079523F">
                    <w:rPr>
                      <w:sz w:val="22"/>
                      <w:szCs w:val="22"/>
                    </w:rPr>
                    <w:t>to allow for the effective provision of support and information to clients</w:t>
                  </w:r>
                </w:p>
                <w:p w:rsidR="00422424" w:rsidRDefault="00422424" w:rsidP="0070562F">
                  <w:pPr>
                    <w:spacing w:before="40" w:after="60"/>
                    <w:rPr>
                      <w:b/>
                      <w:color w:val="522F8C"/>
                    </w:rPr>
                  </w:pPr>
                </w:p>
              </w:tc>
              <w:tc>
                <w:tcPr>
                  <w:tcW w:w="4826" w:type="dxa"/>
                </w:tcPr>
                <w:p w:rsidR="0079523F" w:rsidRPr="0079523F" w:rsidRDefault="0079523F" w:rsidP="005C0507">
                  <w:pPr>
                    <w:pStyle w:val="ListParagraph"/>
                    <w:numPr>
                      <w:ilvl w:val="0"/>
                      <w:numId w:val="20"/>
                    </w:numPr>
                    <w:spacing w:after="0"/>
                    <w:rPr>
                      <w:rFonts w:asciiTheme="minorHAnsi" w:hAnsiTheme="minorHAnsi"/>
                      <w:sz w:val="22"/>
                      <w:szCs w:val="22"/>
                      <w:lang w:val="en-US" w:eastAsia="en-US"/>
                    </w:rPr>
                  </w:pPr>
                  <w:r w:rsidRPr="0079523F">
                    <w:rPr>
                      <w:rFonts w:asciiTheme="minorHAnsi" w:hAnsiTheme="minorHAnsi"/>
                      <w:sz w:val="22"/>
                      <w:szCs w:val="22"/>
                      <w:lang w:val="en-US" w:eastAsia="en-US"/>
                    </w:rPr>
                    <w:t>Support is provided for clients in accordance with the funding body service specifications, with positive results and quality outcomes</w:t>
                  </w:r>
                </w:p>
                <w:p w:rsidR="0079523F" w:rsidRPr="0079523F" w:rsidRDefault="0079523F" w:rsidP="005C0507">
                  <w:pPr>
                    <w:pStyle w:val="ListParagraph"/>
                    <w:numPr>
                      <w:ilvl w:val="0"/>
                      <w:numId w:val="19"/>
                    </w:numPr>
                    <w:spacing w:after="0"/>
                    <w:rPr>
                      <w:rFonts w:asciiTheme="minorHAnsi" w:hAnsiTheme="minorHAnsi"/>
                      <w:sz w:val="22"/>
                      <w:szCs w:val="22"/>
                      <w:lang w:val="en-US" w:eastAsia="en-US"/>
                    </w:rPr>
                  </w:pPr>
                  <w:r w:rsidRPr="0079523F">
                    <w:rPr>
                      <w:rFonts w:asciiTheme="minorHAnsi" w:hAnsiTheme="minorHAnsi"/>
                      <w:sz w:val="22"/>
                      <w:szCs w:val="22"/>
                      <w:lang w:val="en-US" w:eastAsia="en-US"/>
                    </w:rPr>
                    <w:t>Appropriate referrals within the service or to other services are made for clients where needed</w:t>
                  </w:r>
                </w:p>
                <w:p w:rsidR="0079523F" w:rsidRPr="0079523F" w:rsidRDefault="0079523F" w:rsidP="005C0507">
                  <w:pPr>
                    <w:pStyle w:val="ListParagraph"/>
                    <w:numPr>
                      <w:ilvl w:val="0"/>
                      <w:numId w:val="18"/>
                    </w:numPr>
                    <w:spacing w:after="0"/>
                    <w:rPr>
                      <w:rFonts w:asciiTheme="minorHAnsi" w:hAnsiTheme="minorHAnsi"/>
                      <w:sz w:val="22"/>
                      <w:szCs w:val="22"/>
                      <w:lang w:val="en-US" w:eastAsia="en-US"/>
                    </w:rPr>
                  </w:pPr>
                  <w:r w:rsidRPr="0079523F">
                    <w:rPr>
                      <w:rFonts w:asciiTheme="minorHAnsi" w:hAnsiTheme="minorHAnsi"/>
                      <w:sz w:val="22"/>
                      <w:szCs w:val="22"/>
                      <w:lang w:val="en-US" w:eastAsia="en-US"/>
                    </w:rPr>
                    <w:t>Professional and supportive relationships are forged with clients in all situations</w:t>
                  </w:r>
                </w:p>
                <w:p w:rsidR="00422424" w:rsidRPr="0079523F" w:rsidRDefault="0079523F" w:rsidP="005C0507">
                  <w:pPr>
                    <w:pStyle w:val="ListParagraph"/>
                    <w:numPr>
                      <w:ilvl w:val="0"/>
                      <w:numId w:val="18"/>
                    </w:numPr>
                    <w:spacing w:before="40" w:after="60"/>
                    <w:rPr>
                      <w:rFonts w:asciiTheme="minorHAnsi" w:hAnsiTheme="minorHAnsi"/>
                      <w:b/>
                      <w:color w:val="522F8C"/>
                      <w:sz w:val="22"/>
                      <w:szCs w:val="22"/>
                    </w:rPr>
                  </w:pPr>
                  <w:r w:rsidRPr="0079523F">
                    <w:rPr>
                      <w:rFonts w:asciiTheme="minorHAnsi" w:hAnsiTheme="minorHAnsi"/>
                      <w:sz w:val="22"/>
                      <w:szCs w:val="22"/>
                      <w:lang w:val="en-US" w:eastAsia="en-US"/>
                    </w:rPr>
                    <w:t xml:space="preserve">Influential relationships are created with external bodies for the development of the service and advancement of needs of our clients </w:t>
                  </w:r>
                  <w:proofErr w:type="spellStart"/>
                  <w:r w:rsidRPr="0079523F">
                    <w:rPr>
                      <w:rFonts w:asciiTheme="minorHAnsi" w:hAnsiTheme="minorHAnsi"/>
                      <w:sz w:val="22"/>
                      <w:szCs w:val="22"/>
                      <w:lang w:val="en-US" w:eastAsia="en-US"/>
                    </w:rPr>
                    <w:t>eg</w:t>
                  </w:r>
                  <w:proofErr w:type="spellEnd"/>
                  <w:r w:rsidRPr="0079523F">
                    <w:rPr>
                      <w:rFonts w:asciiTheme="minorHAnsi" w:hAnsiTheme="minorHAnsi"/>
                      <w:sz w:val="22"/>
                      <w:szCs w:val="22"/>
                      <w:lang w:val="en-US" w:eastAsia="en-US"/>
                    </w:rPr>
                    <w:t>. Through active attendance and participation in local, relevant interagency meetings</w:t>
                  </w:r>
                </w:p>
                <w:p w:rsidR="00422424" w:rsidRDefault="00422424" w:rsidP="0070562F">
                  <w:pPr>
                    <w:spacing w:before="40" w:after="60"/>
                    <w:rPr>
                      <w:b/>
                      <w:color w:val="522F8C"/>
                    </w:rPr>
                  </w:pPr>
                </w:p>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522F8C"/>
                    </w:rPr>
                    <w:t>Key Result Area 2</w:t>
                  </w:r>
                </w:p>
              </w:tc>
              <w:tc>
                <w:tcPr>
                  <w:tcW w:w="4826" w:type="dxa"/>
                </w:tcPr>
                <w:p w:rsidR="00422424" w:rsidRDefault="007C464C" w:rsidP="0070562F">
                  <w:pPr>
                    <w:spacing w:before="40" w:after="60"/>
                    <w:rPr>
                      <w:b/>
                      <w:color w:val="522F8C"/>
                    </w:rPr>
                  </w:pPr>
                  <w:r>
                    <w:rPr>
                      <w:b/>
                      <w:color w:val="522F8C"/>
                    </w:rPr>
                    <w:t xml:space="preserve">Compliance </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79523F" w:rsidRPr="0079523F" w:rsidRDefault="007C464C" w:rsidP="005C0507">
                  <w:pPr>
                    <w:numPr>
                      <w:ilvl w:val="0"/>
                      <w:numId w:val="22"/>
                    </w:numPr>
                    <w:spacing w:after="0"/>
                    <w:rPr>
                      <w:rFonts w:asciiTheme="minorHAnsi" w:hAnsiTheme="minorHAnsi"/>
                      <w:sz w:val="22"/>
                      <w:szCs w:val="22"/>
                      <w:lang w:val="en-US" w:eastAsia="en-US"/>
                    </w:rPr>
                  </w:pPr>
                  <w:r>
                    <w:rPr>
                      <w:rFonts w:asciiTheme="minorHAnsi" w:hAnsiTheme="minorHAnsi"/>
                      <w:sz w:val="22"/>
                      <w:szCs w:val="22"/>
                      <w:lang w:val="en-US" w:eastAsia="en-US"/>
                    </w:rPr>
                    <w:t>Adhere to Mission Australia</w:t>
                  </w:r>
                  <w:r w:rsidR="0079523F" w:rsidRPr="0079523F">
                    <w:rPr>
                      <w:rFonts w:asciiTheme="minorHAnsi" w:hAnsiTheme="minorHAnsi"/>
                      <w:sz w:val="22"/>
                      <w:szCs w:val="22"/>
                      <w:lang w:val="en-US" w:eastAsia="en-US"/>
                    </w:rPr>
                    <w:t xml:space="preserve"> and external policy and procedures, statutory and contractual requirements including client confidentiality, duty of care and WHS</w:t>
                  </w:r>
                </w:p>
                <w:p w:rsidR="0079523F" w:rsidRPr="0079523F" w:rsidRDefault="0079523F" w:rsidP="005C0507">
                  <w:pPr>
                    <w:numPr>
                      <w:ilvl w:val="0"/>
                      <w:numId w:val="22"/>
                    </w:numPr>
                    <w:spacing w:after="0"/>
                    <w:rPr>
                      <w:rFonts w:asciiTheme="minorHAnsi" w:hAnsiTheme="minorHAnsi"/>
                      <w:sz w:val="22"/>
                      <w:szCs w:val="22"/>
                      <w:lang w:val="en-US" w:eastAsia="en-US"/>
                    </w:rPr>
                  </w:pPr>
                  <w:r w:rsidRPr="0079523F">
                    <w:rPr>
                      <w:rFonts w:asciiTheme="minorHAnsi" w:hAnsiTheme="minorHAnsi"/>
                      <w:sz w:val="22"/>
                      <w:szCs w:val="22"/>
                      <w:lang w:val="en-US" w:eastAsia="en-US"/>
                    </w:rPr>
                    <w:t>Maintain up to date, non-judgmental and complete client files, case notes and reports both in MACSIMS and hard copies</w:t>
                  </w:r>
                </w:p>
                <w:p w:rsidR="0079523F" w:rsidRPr="0079523F" w:rsidRDefault="0079523F" w:rsidP="005C0507">
                  <w:pPr>
                    <w:numPr>
                      <w:ilvl w:val="0"/>
                      <w:numId w:val="22"/>
                    </w:numPr>
                    <w:spacing w:after="0"/>
                    <w:rPr>
                      <w:rFonts w:asciiTheme="minorHAnsi" w:hAnsiTheme="minorHAnsi"/>
                      <w:sz w:val="22"/>
                      <w:szCs w:val="22"/>
                      <w:lang w:val="en-US" w:eastAsia="en-US"/>
                    </w:rPr>
                  </w:pPr>
                  <w:r w:rsidRPr="0079523F">
                    <w:rPr>
                      <w:rFonts w:asciiTheme="minorHAnsi" w:hAnsiTheme="minorHAnsi"/>
                      <w:sz w:val="22"/>
                      <w:szCs w:val="22"/>
                      <w:lang w:val="en-US" w:eastAsia="en-US"/>
                    </w:rPr>
                    <w:t>Complete all relevant tasks on Mission Australia CQI calendar by completing and submitting by due date, monthly CQI Activity Reports</w:t>
                  </w:r>
                </w:p>
                <w:p w:rsidR="0079523F" w:rsidRPr="0079523F" w:rsidRDefault="0079523F" w:rsidP="005C0507">
                  <w:pPr>
                    <w:numPr>
                      <w:ilvl w:val="0"/>
                      <w:numId w:val="22"/>
                    </w:numPr>
                    <w:spacing w:after="0"/>
                    <w:rPr>
                      <w:rFonts w:asciiTheme="minorHAnsi" w:hAnsiTheme="minorHAnsi"/>
                      <w:sz w:val="22"/>
                      <w:szCs w:val="22"/>
                      <w:lang w:val="en-US" w:eastAsia="en-US"/>
                    </w:rPr>
                  </w:pPr>
                  <w:r w:rsidRPr="0079523F">
                    <w:rPr>
                      <w:rFonts w:asciiTheme="minorHAnsi" w:hAnsiTheme="minorHAnsi"/>
                      <w:sz w:val="22"/>
                      <w:szCs w:val="22"/>
                      <w:lang w:val="en-US" w:eastAsia="en-US"/>
                    </w:rPr>
                    <w:t>Participate in all required professional assessment and development programs to ensure required professional standing is upheld</w:t>
                  </w:r>
                </w:p>
                <w:p w:rsidR="0079523F" w:rsidRPr="0079523F" w:rsidRDefault="0079523F" w:rsidP="00DE56E3">
                  <w:pPr>
                    <w:spacing w:after="0"/>
                    <w:ind w:left="360"/>
                    <w:rPr>
                      <w:rFonts w:asciiTheme="minorHAnsi" w:hAnsiTheme="minorHAnsi"/>
                      <w:sz w:val="22"/>
                      <w:szCs w:val="22"/>
                      <w:lang w:val="en-US" w:eastAsia="en-US"/>
                    </w:rPr>
                  </w:pPr>
                  <w:r w:rsidRPr="0079523F">
                    <w:rPr>
                      <w:rFonts w:asciiTheme="minorHAnsi" w:hAnsiTheme="minorHAnsi"/>
                      <w:sz w:val="22"/>
                      <w:szCs w:val="22"/>
                      <w:lang w:val="en-US" w:eastAsia="en-US"/>
                    </w:rPr>
                    <w:t>Have completed or willing to complete gambling units of competency:</w:t>
                  </w:r>
                </w:p>
                <w:p w:rsidR="0079523F" w:rsidRPr="007C464C" w:rsidRDefault="0079523F" w:rsidP="005C0507">
                  <w:pPr>
                    <w:pStyle w:val="ListParagraph"/>
                    <w:numPr>
                      <w:ilvl w:val="0"/>
                      <w:numId w:val="23"/>
                    </w:numPr>
                    <w:rPr>
                      <w:sz w:val="22"/>
                      <w:szCs w:val="22"/>
                      <w:lang w:val="en-US" w:eastAsia="en-US"/>
                    </w:rPr>
                  </w:pPr>
                  <w:r w:rsidRPr="007C464C">
                    <w:rPr>
                      <w:sz w:val="22"/>
                      <w:szCs w:val="22"/>
                      <w:lang w:val="en-US" w:eastAsia="en-US"/>
                    </w:rPr>
                    <w:t>CHCGMB501A – Work effectively in the problem gambling sector;</w:t>
                  </w:r>
                </w:p>
                <w:p w:rsidR="0079523F" w:rsidRPr="007C464C" w:rsidRDefault="0079523F" w:rsidP="005C0507">
                  <w:pPr>
                    <w:pStyle w:val="ListParagraph"/>
                    <w:numPr>
                      <w:ilvl w:val="0"/>
                      <w:numId w:val="23"/>
                    </w:numPr>
                    <w:rPr>
                      <w:sz w:val="22"/>
                      <w:szCs w:val="22"/>
                      <w:lang w:val="en-US" w:eastAsia="en-US"/>
                    </w:rPr>
                  </w:pPr>
                  <w:r w:rsidRPr="007C464C">
                    <w:rPr>
                      <w:sz w:val="22"/>
                      <w:szCs w:val="22"/>
                      <w:lang w:val="en-US" w:eastAsia="en-US"/>
                    </w:rPr>
                    <w:t>CHCGMB502A – Assess the needs of clients with problem gambling issues; and</w:t>
                  </w:r>
                </w:p>
                <w:p w:rsidR="00422424" w:rsidRPr="007C464C" w:rsidRDefault="0079523F" w:rsidP="005C0507">
                  <w:pPr>
                    <w:pStyle w:val="ListParagraph"/>
                    <w:numPr>
                      <w:ilvl w:val="0"/>
                      <w:numId w:val="23"/>
                    </w:numPr>
                    <w:rPr>
                      <w:b/>
                      <w:color w:val="522F8C"/>
                      <w:sz w:val="22"/>
                      <w:szCs w:val="22"/>
                    </w:rPr>
                  </w:pPr>
                  <w:r w:rsidRPr="007C464C">
                    <w:rPr>
                      <w:sz w:val="22"/>
                      <w:szCs w:val="22"/>
                      <w:lang w:val="en-US" w:eastAsia="en-US"/>
                    </w:rPr>
                    <w:t>CHCGMB503A – Provide counseling for clients with problem gambling issues.</w:t>
                  </w:r>
                </w:p>
              </w:tc>
              <w:tc>
                <w:tcPr>
                  <w:tcW w:w="4826" w:type="dxa"/>
                </w:tcPr>
                <w:p w:rsidR="007C464C" w:rsidRPr="007C464C" w:rsidRDefault="007C464C" w:rsidP="007C464C">
                  <w:pPr>
                    <w:pStyle w:val="StyleCenturyGothicAfter6pt"/>
                    <w:tabs>
                      <w:tab w:val="clear" w:pos="720"/>
                      <w:tab w:val="num" w:pos="360"/>
                    </w:tabs>
                    <w:ind w:left="360"/>
                    <w:rPr>
                      <w:rFonts w:asciiTheme="minorHAnsi" w:hAnsiTheme="minorHAnsi"/>
                      <w:sz w:val="22"/>
                      <w:szCs w:val="22"/>
                    </w:rPr>
                  </w:pPr>
                  <w:r w:rsidRPr="007C464C">
                    <w:rPr>
                      <w:rFonts w:asciiTheme="minorHAnsi" w:hAnsiTheme="minorHAnsi"/>
                      <w:sz w:val="22"/>
                      <w:szCs w:val="22"/>
                    </w:rPr>
                    <w:t>All relevant internal and external policies are adhered to at all times</w:t>
                  </w:r>
                </w:p>
                <w:p w:rsidR="007C464C" w:rsidRPr="007C464C" w:rsidRDefault="007C464C" w:rsidP="007C464C">
                  <w:pPr>
                    <w:pStyle w:val="StyleCenturyGothicAfter6pt"/>
                    <w:tabs>
                      <w:tab w:val="clear" w:pos="720"/>
                      <w:tab w:val="num" w:pos="360"/>
                    </w:tabs>
                    <w:ind w:left="360"/>
                    <w:rPr>
                      <w:rFonts w:asciiTheme="minorHAnsi" w:hAnsiTheme="minorHAnsi"/>
                      <w:sz w:val="22"/>
                      <w:szCs w:val="22"/>
                    </w:rPr>
                  </w:pPr>
                  <w:r w:rsidRPr="007C464C">
                    <w:rPr>
                      <w:rFonts w:asciiTheme="minorHAnsi" w:hAnsiTheme="minorHAnsi"/>
                      <w:sz w:val="22"/>
                      <w:szCs w:val="22"/>
                    </w:rPr>
                    <w:t>Case notes and client files meet MA policy guidelines, are up to date and complete at all times, with successful audits in all cases</w:t>
                  </w:r>
                </w:p>
                <w:p w:rsidR="007C464C" w:rsidRPr="007C464C" w:rsidRDefault="007C464C" w:rsidP="007C464C">
                  <w:pPr>
                    <w:pStyle w:val="StyleCenturyGothicAfter6pt"/>
                    <w:tabs>
                      <w:tab w:val="clear" w:pos="720"/>
                      <w:tab w:val="num" w:pos="360"/>
                    </w:tabs>
                    <w:ind w:left="360"/>
                    <w:rPr>
                      <w:rFonts w:asciiTheme="minorHAnsi" w:hAnsiTheme="minorHAnsi"/>
                      <w:sz w:val="22"/>
                      <w:szCs w:val="22"/>
                    </w:rPr>
                  </w:pPr>
                  <w:r w:rsidRPr="007C464C">
                    <w:rPr>
                      <w:rFonts w:asciiTheme="minorHAnsi" w:hAnsiTheme="minorHAnsi"/>
                      <w:sz w:val="22"/>
                      <w:szCs w:val="22"/>
                    </w:rPr>
                    <w:t>All monthly CQI Activity Reports are complete and submitted on time</w:t>
                  </w:r>
                </w:p>
                <w:p w:rsidR="007C464C" w:rsidRPr="007C464C" w:rsidRDefault="007C464C" w:rsidP="007C464C">
                  <w:pPr>
                    <w:pStyle w:val="StyleCenturyGothicAfter6pt"/>
                    <w:tabs>
                      <w:tab w:val="clear" w:pos="720"/>
                      <w:tab w:val="num" w:pos="360"/>
                    </w:tabs>
                    <w:ind w:left="360"/>
                    <w:rPr>
                      <w:rFonts w:asciiTheme="minorHAnsi" w:hAnsiTheme="minorHAnsi"/>
                      <w:sz w:val="22"/>
                      <w:szCs w:val="22"/>
                    </w:rPr>
                  </w:pPr>
                  <w:r w:rsidRPr="007C464C">
                    <w:rPr>
                      <w:rFonts w:asciiTheme="minorHAnsi" w:hAnsiTheme="minorHAnsi"/>
                      <w:sz w:val="22"/>
                      <w:szCs w:val="22"/>
                    </w:rPr>
                    <w:t>Professional standing is upheld and all relevant development activities are completed</w:t>
                  </w:r>
                </w:p>
                <w:p w:rsidR="00422424" w:rsidRDefault="00422424" w:rsidP="0070562F">
                  <w:pPr>
                    <w:spacing w:before="40" w:after="60"/>
                    <w:rPr>
                      <w:b/>
                      <w:color w:val="522F8C"/>
                    </w:rPr>
                  </w:pPr>
                </w:p>
              </w:tc>
            </w:tr>
            <w:tr w:rsidR="00422424" w:rsidTr="00FE7144">
              <w:tc>
                <w:tcPr>
                  <w:tcW w:w="4383" w:type="dxa"/>
                </w:tcPr>
                <w:p w:rsidR="00422424" w:rsidRDefault="00422424" w:rsidP="00422424">
                  <w:pPr>
                    <w:spacing w:before="40" w:after="60"/>
                    <w:rPr>
                      <w:b/>
                      <w:color w:val="522F8C"/>
                    </w:rPr>
                  </w:pPr>
                  <w:r>
                    <w:rPr>
                      <w:b/>
                      <w:color w:val="522F8C"/>
                    </w:rPr>
                    <w:lastRenderedPageBreak/>
                    <w:t>Key Result Area 3</w:t>
                  </w:r>
                </w:p>
              </w:tc>
              <w:tc>
                <w:tcPr>
                  <w:tcW w:w="4826" w:type="dxa"/>
                </w:tcPr>
                <w:p w:rsidR="00422424" w:rsidRDefault="00611CC4" w:rsidP="0070562F">
                  <w:pPr>
                    <w:spacing w:before="40" w:after="60"/>
                    <w:rPr>
                      <w:b/>
                      <w:color w:val="522F8C"/>
                    </w:rPr>
                  </w:pPr>
                  <w:r w:rsidRPr="00611CC4">
                    <w:rPr>
                      <w:b/>
                      <w:color w:val="522F8C"/>
                    </w:rPr>
                    <w:t>Administration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C35842" w:rsidRPr="00DE56E3" w:rsidRDefault="00C35842" w:rsidP="005C0507">
                  <w:pPr>
                    <w:pStyle w:val="ListParagraph"/>
                    <w:numPr>
                      <w:ilvl w:val="0"/>
                      <w:numId w:val="25"/>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Provide accurate and timely reports to management on activities and client progress as required</w:t>
                  </w:r>
                </w:p>
                <w:p w:rsidR="00C35842" w:rsidRPr="00DE56E3" w:rsidRDefault="00C35842" w:rsidP="005C0507">
                  <w:pPr>
                    <w:pStyle w:val="ListParagraph"/>
                    <w:numPr>
                      <w:ilvl w:val="0"/>
                      <w:numId w:val="25"/>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Maintain relevant statistics to provide an overview of client activity within the service – MACSIMS and Service Specific Reporting Data (SSRD) spread sheet</w:t>
                  </w:r>
                </w:p>
                <w:p w:rsidR="00C35842" w:rsidRPr="00DE56E3" w:rsidRDefault="00C35842" w:rsidP="005C0507">
                  <w:pPr>
                    <w:pStyle w:val="ListParagraph"/>
                    <w:numPr>
                      <w:ilvl w:val="0"/>
                      <w:numId w:val="25"/>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Contribute to team development activities, performance initiatives and service development activities as required</w:t>
                  </w:r>
                </w:p>
                <w:p w:rsidR="00422424" w:rsidRPr="00A77E03" w:rsidRDefault="00C35842" w:rsidP="0070562F">
                  <w:pPr>
                    <w:pStyle w:val="ListParagraph"/>
                    <w:numPr>
                      <w:ilvl w:val="0"/>
                      <w:numId w:val="25"/>
                    </w:numPr>
                    <w:spacing w:before="40" w:after="60"/>
                    <w:rPr>
                      <w:rFonts w:asciiTheme="minorHAnsi" w:hAnsiTheme="minorHAnsi"/>
                      <w:b/>
                      <w:color w:val="522F8C"/>
                      <w:sz w:val="22"/>
                      <w:szCs w:val="22"/>
                    </w:rPr>
                  </w:pPr>
                  <w:r w:rsidRPr="00DE56E3">
                    <w:rPr>
                      <w:rFonts w:asciiTheme="minorHAnsi" w:hAnsiTheme="minorHAnsi"/>
                      <w:sz w:val="22"/>
                      <w:szCs w:val="22"/>
                      <w:lang w:val="en-US" w:eastAsia="en-US"/>
                    </w:rPr>
                    <w:t>Complete a range of administrative tasks required for effective case/client management and the efficient running of the service</w:t>
                  </w:r>
                </w:p>
                <w:p w:rsidR="00422424" w:rsidRDefault="00422424" w:rsidP="0070562F">
                  <w:pPr>
                    <w:spacing w:before="40" w:after="60"/>
                    <w:rPr>
                      <w:b/>
                      <w:color w:val="522F8C"/>
                    </w:rPr>
                  </w:pPr>
                </w:p>
              </w:tc>
              <w:tc>
                <w:tcPr>
                  <w:tcW w:w="4826" w:type="dxa"/>
                </w:tcPr>
                <w:p w:rsidR="00C35842" w:rsidRPr="00DE56E3" w:rsidRDefault="00C35842" w:rsidP="005C0507">
                  <w:pPr>
                    <w:pStyle w:val="ListParagraph"/>
                    <w:numPr>
                      <w:ilvl w:val="0"/>
                      <w:numId w:val="25"/>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Reports are produced accurately and on time in all cases</w:t>
                  </w:r>
                </w:p>
                <w:p w:rsidR="00C35842" w:rsidRPr="00DE56E3" w:rsidRDefault="00C35842" w:rsidP="005C0507">
                  <w:pPr>
                    <w:pStyle w:val="ListParagraph"/>
                    <w:numPr>
                      <w:ilvl w:val="0"/>
                      <w:numId w:val="25"/>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Statistics are maintained accurately and reviewed as necessary</w:t>
                  </w:r>
                </w:p>
                <w:p w:rsidR="00C35842" w:rsidRPr="00DE56E3" w:rsidRDefault="00C35842" w:rsidP="005C0507">
                  <w:pPr>
                    <w:pStyle w:val="ListParagraph"/>
                    <w:numPr>
                      <w:ilvl w:val="0"/>
                      <w:numId w:val="25"/>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Input is made to all required development and performance initiatives</w:t>
                  </w:r>
                </w:p>
                <w:p w:rsidR="00422424" w:rsidRPr="00DE56E3" w:rsidRDefault="00C35842" w:rsidP="005C0507">
                  <w:pPr>
                    <w:pStyle w:val="ListParagraph"/>
                    <w:numPr>
                      <w:ilvl w:val="0"/>
                      <w:numId w:val="25"/>
                    </w:numPr>
                    <w:spacing w:before="40" w:after="60"/>
                    <w:rPr>
                      <w:b/>
                      <w:color w:val="522F8C"/>
                    </w:rPr>
                  </w:pPr>
                  <w:r w:rsidRPr="00DE56E3">
                    <w:rPr>
                      <w:rFonts w:asciiTheme="minorHAnsi" w:hAnsiTheme="minorHAnsi"/>
                      <w:sz w:val="22"/>
                      <w:szCs w:val="22"/>
                      <w:lang w:val="en-US" w:eastAsia="en-US"/>
                    </w:rPr>
                    <w:t>Administrative tasks are completed thoroughly, correctly and on time with successful audits in all cases</w:t>
                  </w:r>
                </w:p>
              </w:tc>
            </w:tr>
            <w:tr w:rsidR="00422424" w:rsidTr="00FE7144">
              <w:tc>
                <w:tcPr>
                  <w:tcW w:w="4383" w:type="dxa"/>
                </w:tcPr>
                <w:p w:rsidR="00422424" w:rsidRDefault="00422424" w:rsidP="00B47289">
                  <w:pPr>
                    <w:spacing w:before="40" w:after="60"/>
                    <w:rPr>
                      <w:b/>
                      <w:color w:val="522F8C"/>
                    </w:rPr>
                  </w:pPr>
                  <w:r>
                    <w:rPr>
                      <w:b/>
                      <w:color w:val="522F8C"/>
                    </w:rPr>
                    <w:t xml:space="preserve">Key Result Area </w:t>
                  </w:r>
                  <w:r w:rsidR="00B47289">
                    <w:rPr>
                      <w:b/>
                      <w:color w:val="522F8C"/>
                    </w:rPr>
                    <w:t>4</w:t>
                  </w:r>
                </w:p>
              </w:tc>
              <w:tc>
                <w:tcPr>
                  <w:tcW w:w="4826" w:type="dxa"/>
                </w:tcPr>
                <w:p w:rsidR="00422424" w:rsidRDefault="00611CC4" w:rsidP="0070562F">
                  <w:pPr>
                    <w:spacing w:before="40" w:after="60"/>
                    <w:rPr>
                      <w:b/>
                      <w:color w:val="522F8C"/>
                    </w:rPr>
                  </w:pPr>
                  <w:r w:rsidRPr="00611CC4">
                    <w:rPr>
                      <w:b/>
                      <w:color w:val="522F8C"/>
                    </w:rPr>
                    <w:t>Community Education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611CC4" w:rsidRPr="00DE56E3" w:rsidRDefault="00611CC4" w:rsidP="005C0507">
                  <w:pPr>
                    <w:pStyle w:val="ListParagraph"/>
                    <w:numPr>
                      <w:ilvl w:val="0"/>
                      <w:numId w:val="26"/>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Provide a range of community education activities on problem gambling issues and wider financial hardship issues</w:t>
                  </w:r>
                </w:p>
                <w:p w:rsidR="00611CC4" w:rsidRPr="00DE56E3" w:rsidRDefault="00611CC4" w:rsidP="005C0507">
                  <w:pPr>
                    <w:pStyle w:val="ListParagraph"/>
                    <w:numPr>
                      <w:ilvl w:val="0"/>
                      <w:numId w:val="26"/>
                    </w:numPr>
                    <w:spacing w:after="0"/>
                    <w:rPr>
                      <w:rFonts w:asciiTheme="minorHAnsi" w:hAnsiTheme="minorHAnsi"/>
                      <w:sz w:val="22"/>
                      <w:szCs w:val="22"/>
                      <w:lang w:val="en-US" w:eastAsia="en-US"/>
                    </w:rPr>
                  </w:pPr>
                  <w:r w:rsidRPr="00DE56E3">
                    <w:rPr>
                      <w:rFonts w:asciiTheme="minorHAnsi" w:hAnsiTheme="minorHAnsi"/>
                      <w:sz w:val="22"/>
                      <w:szCs w:val="22"/>
                      <w:lang w:val="en-US" w:eastAsia="en-US"/>
                    </w:rPr>
                    <w:t>Where appropriate co-facilitate with therapeutic gambling counselors to raise awareness on effective interventions for problem gamblers</w:t>
                  </w:r>
                </w:p>
                <w:p w:rsidR="00422424" w:rsidRPr="00A77E03" w:rsidRDefault="00611CC4" w:rsidP="0070562F">
                  <w:pPr>
                    <w:pStyle w:val="ListParagraph"/>
                    <w:numPr>
                      <w:ilvl w:val="0"/>
                      <w:numId w:val="26"/>
                    </w:numPr>
                    <w:spacing w:before="40" w:after="60"/>
                    <w:rPr>
                      <w:rFonts w:asciiTheme="minorHAnsi" w:hAnsiTheme="minorHAnsi"/>
                      <w:b/>
                      <w:sz w:val="22"/>
                      <w:szCs w:val="22"/>
                    </w:rPr>
                  </w:pPr>
                  <w:r w:rsidRPr="00DE56E3">
                    <w:rPr>
                      <w:rFonts w:asciiTheme="minorHAnsi" w:hAnsiTheme="minorHAnsi"/>
                      <w:sz w:val="22"/>
                      <w:szCs w:val="22"/>
                      <w:lang w:val="en-US" w:eastAsia="en-US"/>
                    </w:rPr>
                    <w:t>Participate in a range of activities to promote the issue of problem gambling across the community</w:t>
                  </w:r>
                </w:p>
                <w:p w:rsidR="00422424" w:rsidRDefault="00422424" w:rsidP="0070562F">
                  <w:pPr>
                    <w:spacing w:before="40" w:after="60"/>
                    <w:rPr>
                      <w:b/>
                      <w:color w:val="522F8C"/>
                    </w:rPr>
                  </w:pPr>
                </w:p>
              </w:tc>
              <w:tc>
                <w:tcPr>
                  <w:tcW w:w="4826" w:type="dxa"/>
                </w:tcPr>
                <w:p w:rsidR="00611CC4" w:rsidRPr="005C0507" w:rsidRDefault="00611CC4" w:rsidP="005C0507">
                  <w:pPr>
                    <w:pStyle w:val="ListParagraph"/>
                    <w:numPr>
                      <w:ilvl w:val="0"/>
                      <w:numId w:val="28"/>
                    </w:numPr>
                    <w:spacing w:after="0"/>
                    <w:rPr>
                      <w:rFonts w:asciiTheme="minorHAnsi" w:hAnsiTheme="minorHAnsi"/>
                      <w:sz w:val="22"/>
                      <w:szCs w:val="22"/>
                      <w:lang w:val="en-US" w:eastAsia="en-US"/>
                    </w:rPr>
                  </w:pPr>
                  <w:r w:rsidRPr="005C0507">
                    <w:rPr>
                      <w:rFonts w:asciiTheme="minorHAnsi" w:hAnsiTheme="minorHAnsi"/>
                      <w:sz w:val="22"/>
                      <w:szCs w:val="22"/>
                      <w:lang w:val="en-US" w:eastAsia="en-US"/>
                    </w:rPr>
                    <w:t>The community is provided with a range of activities aimed at increasing awareness of problem gambling</w:t>
                  </w:r>
                </w:p>
                <w:p w:rsidR="00611CC4" w:rsidRPr="005C0507" w:rsidRDefault="00611CC4" w:rsidP="005C0507">
                  <w:pPr>
                    <w:pStyle w:val="ListParagraph"/>
                    <w:numPr>
                      <w:ilvl w:val="0"/>
                      <w:numId w:val="28"/>
                    </w:numPr>
                    <w:spacing w:after="0"/>
                    <w:rPr>
                      <w:rFonts w:asciiTheme="minorHAnsi" w:hAnsiTheme="minorHAnsi"/>
                      <w:sz w:val="22"/>
                      <w:szCs w:val="22"/>
                      <w:lang w:val="en-US" w:eastAsia="en-US"/>
                    </w:rPr>
                  </w:pPr>
                  <w:r w:rsidRPr="005C0507">
                    <w:rPr>
                      <w:rFonts w:asciiTheme="minorHAnsi" w:hAnsiTheme="minorHAnsi"/>
                      <w:sz w:val="22"/>
                      <w:szCs w:val="22"/>
                      <w:lang w:val="en-US" w:eastAsia="en-US"/>
                    </w:rPr>
                    <w:t>A strong profile is developed and maintained within the community</w:t>
                  </w:r>
                </w:p>
                <w:p w:rsidR="00422424" w:rsidRPr="005C0507" w:rsidRDefault="00611CC4" w:rsidP="005C0507">
                  <w:pPr>
                    <w:pStyle w:val="ListParagraph"/>
                    <w:numPr>
                      <w:ilvl w:val="0"/>
                      <w:numId w:val="28"/>
                    </w:numPr>
                    <w:spacing w:before="40" w:after="60"/>
                    <w:rPr>
                      <w:b/>
                    </w:rPr>
                  </w:pPr>
                  <w:r w:rsidRPr="005C0507">
                    <w:rPr>
                      <w:rFonts w:asciiTheme="minorHAnsi" w:hAnsiTheme="minorHAnsi"/>
                      <w:sz w:val="22"/>
                      <w:szCs w:val="22"/>
                      <w:lang w:val="en-US" w:eastAsia="en-US"/>
                    </w:rPr>
                    <w:t>Relevant activities are attended and participation levels are high.</w:t>
                  </w:r>
                </w:p>
              </w:tc>
            </w:tr>
            <w:tr w:rsidR="00422424" w:rsidTr="00FE7144">
              <w:tc>
                <w:tcPr>
                  <w:tcW w:w="4383" w:type="dxa"/>
                </w:tcPr>
                <w:p w:rsidR="00422424" w:rsidRDefault="00422424" w:rsidP="0070562F">
                  <w:pPr>
                    <w:spacing w:before="40" w:after="60"/>
                    <w:rPr>
                      <w:b/>
                      <w:color w:val="522F8C"/>
                    </w:rPr>
                  </w:pPr>
                  <w:r>
                    <w:rPr>
                      <w:b/>
                      <w:color w:val="522F8C"/>
                    </w:rPr>
                    <w:t xml:space="preserve">Key Result Area </w:t>
                  </w:r>
                  <w:r w:rsidR="00B47289">
                    <w:rPr>
                      <w:b/>
                      <w:color w:val="522F8C"/>
                    </w:rPr>
                    <w:t>5</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B47289" w:rsidP="0070562F">
                  <w:pPr>
                    <w:spacing w:before="40" w:after="60"/>
                    <w:rPr>
                      <w:b/>
                      <w:color w:val="522F8C"/>
                    </w:rPr>
                  </w:pPr>
                  <w:r>
                    <w:rPr>
                      <w:b/>
                      <w:color w:val="BD1A8D"/>
                    </w:rPr>
                    <w:t>Key tasks</w:t>
                  </w:r>
                </w:p>
              </w:tc>
              <w:tc>
                <w:tcPr>
                  <w:tcW w:w="4826" w:type="dxa"/>
                </w:tcPr>
                <w:p w:rsidR="00422424" w:rsidRDefault="00B47289" w:rsidP="0070562F">
                  <w:pPr>
                    <w:spacing w:before="40" w:after="60"/>
                    <w:rPr>
                      <w:b/>
                      <w:color w:val="522F8C"/>
                    </w:rPr>
                  </w:pPr>
                  <w:r>
                    <w:rPr>
                      <w:b/>
                      <w:color w:val="BD1A8D"/>
                    </w:rPr>
                    <w:t>Position holder is successful when</w:t>
                  </w:r>
                </w:p>
              </w:tc>
            </w:tr>
            <w:tr w:rsidR="00422424" w:rsidTr="00FE7144">
              <w:tc>
                <w:tcPr>
                  <w:tcW w:w="4383" w:type="dxa"/>
                </w:tcPr>
                <w:p w:rsidR="00611CC4" w:rsidRPr="005C0507" w:rsidRDefault="00611CC4" w:rsidP="005C0507">
                  <w:pPr>
                    <w:pStyle w:val="ListParagraph"/>
                    <w:numPr>
                      <w:ilvl w:val="0"/>
                      <w:numId w:val="27"/>
                    </w:numPr>
                    <w:spacing w:after="0"/>
                    <w:rPr>
                      <w:rFonts w:asciiTheme="minorHAnsi" w:hAnsiTheme="minorHAnsi"/>
                      <w:sz w:val="22"/>
                      <w:szCs w:val="22"/>
                      <w:lang w:val="en-US" w:eastAsia="en-US"/>
                    </w:rPr>
                  </w:pPr>
                  <w:r w:rsidRPr="005C0507">
                    <w:rPr>
                      <w:rFonts w:asciiTheme="minorHAnsi" w:hAnsiTheme="minorHAnsi"/>
                      <w:sz w:val="22"/>
                      <w:szCs w:val="22"/>
                      <w:lang w:val="en-US" w:eastAsia="en-US"/>
                    </w:rPr>
                    <w:t>Participate in professional development to enhance skills and knowledge</w:t>
                  </w:r>
                </w:p>
                <w:p w:rsidR="00611CC4" w:rsidRPr="005C0507" w:rsidRDefault="00611CC4" w:rsidP="005C0507">
                  <w:pPr>
                    <w:pStyle w:val="ListParagraph"/>
                    <w:numPr>
                      <w:ilvl w:val="0"/>
                      <w:numId w:val="27"/>
                    </w:numPr>
                    <w:spacing w:after="0"/>
                    <w:rPr>
                      <w:rFonts w:ascii="Gill Sans MT" w:hAnsi="Gill Sans MT"/>
                      <w:szCs w:val="20"/>
                      <w:lang w:val="en-US" w:eastAsia="en-US"/>
                    </w:rPr>
                  </w:pPr>
                  <w:r w:rsidRPr="005C0507">
                    <w:rPr>
                      <w:rFonts w:asciiTheme="minorHAnsi" w:hAnsiTheme="minorHAnsi"/>
                      <w:sz w:val="22"/>
                      <w:szCs w:val="22"/>
                      <w:lang w:val="en-US" w:eastAsia="en-US"/>
                    </w:rPr>
                    <w:t>Participate in annual performance</w:t>
                  </w:r>
                  <w:r w:rsidRPr="005C0507">
                    <w:rPr>
                      <w:rFonts w:ascii="Gill Sans MT" w:hAnsi="Gill Sans MT"/>
                      <w:szCs w:val="20"/>
                      <w:lang w:val="en-US" w:eastAsia="en-US"/>
                    </w:rPr>
                    <w:t xml:space="preserve"> </w:t>
                  </w:r>
                  <w:r w:rsidRPr="005C0507">
                    <w:rPr>
                      <w:rFonts w:asciiTheme="minorHAnsi" w:hAnsiTheme="minorHAnsi"/>
                      <w:sz w:val="22"/>
                      <w:szCs w:val="22"/>
                      <w:lang w:val="en-US" w:eastAsia="en-US"/>
                    </w:rPr>
                    <w:t>reviews – identification of training needs and career goal setting</w:t>
                  </w:r>
                </w:p>
                <w:p w:rsidR="00422424" w:rsidRDefault="00422424" w:rsidP="0070562F">
                  <w:pPr>
                    <w:spacing w:before="40" w:after="60"/>
                    <w:rPr>
                      <w:b/>
                      <w:color w:val="522F8C"/>
                    </w:rPr>
                  </w:pPr>
                </w:p>
                <w:p w:rsidR="00B47289" w:rsidRDefault="00B47289" w:rsidP="0070562F">
                  <w:pPr>
                    <w:spacing w:before="40" w:after="60"/>
                    <w:rPr>
                      <w:b/>
                      <w:color w:val="522F8C"/>
                    </w:rPr>
                  </w:pPr>
                </w:p>
                <w:p w:rsidR="00B47289" w:rsidRDefault="00B47289" w:rsidP="0070562F">
                  <w:pPr>
                    <w:spacing w:before="40" w:after="60"/>
                    <w:rPr>
                      <w:b/>
                      <w:color w:val="522F8C"/>
                    </w:rPr>
                  </w:pPr>
                </w:p>
                <w:p w:rsidR="00B47289" w:rsidRDefault="00B47289" w:rsidP="0070562F">
                  <w:pPr>
                    <w:spacing w:before="40" w:after="60"/>
                    <w:rPr>
                      <w:b/>
                      <w:color w:val="522F8C"/>
                    </w:rPr>
                  </w:pPr>
                </w:p>
                <w:p w:rsidR="00B47289" w:rsidRDefault="00B47289" w:rsidP="0070562F">
                  <w:pPr>
                    <w:spacing w:before="40" w:after="60"/>
                    <w:rPr>
                      <w:b/>
                      <w:color w:val="522F8C"/>
                    </w:rPr>
                  </w:pPr>
                </w:p>
              </w:tc>
              <w:tc>
                <w:tcPr>
                  <w:tcW w:w="4826" w:type="dxa"/>
                </w:tcPr>
                <w:p w:rsidR="00611CC4" w:rsidRPr="005C0507" w:rsidRDefault="00611CC4" w:rsidP="005C0507">
                  <w:pPr>
                    <w:pStyle w:val="ListParagraph"/>
                    <w:numPr>
                      <w:ilvl w:val="0"/>
                      <w:numId w:val="27"/>
                    </w:numPr>
                    <w:spacing w:after="0"/>
                    <w:rPr>
                      <w:rFonts w:asciiTheme="minorHAnsi" w:hAnsiTheme="minorHAnsi"/>
                      <w:sz w:val="22"/>
                      <w:szCs w:val="22"/>
                      <w:lang w:val="en-US" w:eastAsia="en-US"/>
                    </w:rPr>
                  </w:pPr>
                  <w:r w:rsidRPr="005C0507">
                    <w:rPr>
                      <w:rFonts w:asciiTheme="minorHAnsi" w:hAnsiTheme="minorHAnsi"/>
                      <w:sz w:val="22"/>
                      <w:szCs w:val="22"/>
                      <w:lang w:val="en-US" w:eastAsia="en-US"/>
                    </w:rPr>
                    <w:t>Staff member undertakes minimum 20 hours of training required by FCAN/FC-ACT and participates in further training identified by self or</w:t>
                  </w:r>
                  <w:r w:rsidRPr="005C0507">
                    <w:rPr>
                      <w:rFonts w:ascii="Gill Sans MT" w:hAnsi="Gill Sans MT"/>
                      <w:szCs w:val="20"/>
                      <w:lang w:val="en-US" w:eastAsia="en-US"/>
                    </w:rPr>
                    <w:t xml:space="preserve"> </w:t>
                  </w:r>
                  <w:r w:rsidRPr="005C0507">
                    <w:rPr>
                      <w:rFonts w:asciiTheme="minorHAnsi" w:hAnsiTheme="minorHAnsi"/>
                      <w:sz w:val="22"/>
                      <w:szCs w:val="22"/>
                      <w:lang w:val="en-US" w:eastAsia="en-US"/>
                    </w:rPr>
                    <w:t xml:space="preserve">manager </w:t>
                  </w:r>
                </w:p>
                <w:p w:rsidR="00422424" w:rsidRDefault="00611CC4" w:rsidP="005C0507">
                  <w:pPr>
                    <w:pStyle w:val="StyleCenturyGothicAfter6pt"/>
                    <w:numPr>
                      <w:ilvl w:val="0"/>
                      <w:numId w:val="24"/>
                    </w:numPr>
                    <w:rPr>
                      <w:b/>
                      <w:color w:val="522F8C"/>
                    </w:rPr>
                  </w:pPr>
                  <w:r w:rsidRPr="004F4492">
                    <w:rPr>
                      <w:rFonts w:asciiTheme="minorHAnsi" w:hAnsiTheme="minorHAnsi"/>
                      <w:sz w:val="22"/>
                      <w:szCs w:val="22"/>
                    </w:rPr>
                    <w:t>Performance review is completed with active staff involvement</w:t>
                  </w:r>
                </w:p>
              </w:tc>
            </w:tr>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5C0507">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5C0507">
            <w:pPr>
              <w:pStyle w:val="ListParagraph"/>
              <w:numPr>
                <w:ilvl w:val="0"/>
                <w:numId w:val="12"/>
              </w:numPr>
              <w:spacing w:after="60"/>
              <w:contextualSpacing w:val="0"/>
              <w:rPr>
                <w:sz w:val="22"/>
              </w:rPr>
            </w:pPr>
            <w:r w:rsidRPr="00FB1B05">
              <w:rPr>
                <w:sz w:val="22"/>
              </w:rPr>
              <w:t>Ensure required workplace health and safety actions are completed as required</w:t>
            </w:r>
          </w:p>
          <w:p w:rsidR="00D26C27" w:rsidRPr="00FB1B05" w:rsidRDefault="00D26C27" w:rsidP="005C0507">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5C0507">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4F4492" w:rsidRDefault="00474630" w:rsidP="005C0507">
            <w:pPr>
              <w:pStyle w:val="ListParagraph"/>
              <w:numPr>
                <w:ilvl w:val="0"/>
                <w:numId w:val="12"/>
              </w:numPr>
              <w:spacing w:after="60"/>
              <w:rPr>
                <w:sz w:val="22"/>
                <w:szCs w:val="22"/>
              </w:rPr>
            </w:pPr>
            <w:r w:rsidRPr="004F4492">
              <w:rPr>
                <w:sz w:val="22"/>
                <w:szCs w:val="22"/>
              </w:rPr>
              <w:t>Actively support Mission Australia’s purpose and values;</w:t>
            </w:r>
          </w:p>
          <w:p w:rsidR="00474630" w:rsidRPr="004F4492" w:rsidRDefault="00474630" w:rsidP="005C0507">
            <w:pPr>
              <w:pStyle w:val="ListParagraph"/>
              <w:numPr>
                <w:ilvl w:val="0"/>
                <w:numId w:val="12"/>
              </w:numPr>
              <w:spacing w:after="60"/>
              <w:rPr>
                <w:sz w:val="22"/>
                <w:szCs w:val="22"/>
              </w:rPr>
            </w:pPr>
            <w:r w:rsidRPr="004F4492">
              <w:rPr>
                <w:sz w:val="22"/>
                <w:szCs w:val="22"/>
              </w:rPr>
              <w:t>Positively and constructively represent our organisation to external contacts at all opportunities;</w:t>
            </w:r>
          </w:p>
          <w:p w:rsidR="00474630" w:rsidRPr="004F4492" w:rsidRDefault="00474630" w:rsidP="005C0507">
            <w:pPr>
              <w:pStyle w:val="ListParagraph"/>
              <w:numPr>
                <w:ilvl w:val="0"/>
                <w:numId w:val="12"/>
              </w:numPr>
              <w:spacing w:after="60"/>
              <w:rPr>
                <w:sz w:val="22"/>
                <w:szCs w:val="22"/>
              </w:rPr>
            </w:pPr>
            <w:r w:rsidRPr="004F4492">
              <w:rPr>
                <w:sz w:val="22"/>
                <w:szCs w:val="22"/>
              </w:rPr>
              <w:t>Behave in a way that contributes to a workplace that is free of discrimination, harassment and bullying behaviour at all times;</w:t>
            </w:r>
          </w:p>
          <w:p w:rsidR="00474630" w:rsidRPr="004F4492" w:rsidRDefault="00474630" w:rsidP="005C0507">
            <w:pPr>
              <w:pStyle w:val="ListParagraph"/>
              <w:numPr>
                <w:ilvl w:val="0"/>
                <w:numId w:val="12"/>
              </w:numPr>
              <w:spacing w:after="60"/>
              <w:rPr>
                <w:sz w:val="22"/>
                <w:szCs w:val="22"/>
              </w:rPr>
            </w:pPr>
            <w:r w:rsidRPr="004F4492">
              <w:rPr>
                <w:sz w:val="22"/>
                <w:szCs w:val="22"/>
              </w:rPr>
              <w:t>Operate in line with Mission Australia policies and practices (EG:  financial, HR, etc.);</w:t>
            </w:r>
          </w:p>
          <w:p w:rsidR="00474630" w:rsidRPr="00DE56E3" w:rsidRDefault="00474630" w:rsidP="005C0507">
            <w:pPr>
              <w:pStyle w:val="ListParagraph"/>
              <w:numPr>
                <w:ilvl w:val="0"/>
                <w:numId w:val="12"/>
              </w:numPr>
              <w:spacing w:after="60"/>
              <w:rPr>
                <w:sz w:val="22"/>
                <w:szCs w:val="22"/>
              </w:rPr>
            </w:pPr>
            <w:r w:rsidRPr="00DE56E3">
              <w:rPr>
                <w:sz w:val="22"/>
                <w:szCs w:val="22"/>
              </w:rPr>
              <w:t>To help ensure the health, safety and welfare of self and others working in the business;</w:t>
            </w:r>
          </w:p>
          <w:p w:rsidR="00474630" w:rsidRPr="00DE56E3" w:rsidRDefault="00474630" w:rsidP="005C0507">
            <w:pPr>
              <w:pStyle w:val="ListParagraph"/>
              <w:numPr>
                <w:ilvl w:val="0"/>
                <w:numId w:val="12"/>
              </w:numPr>
              <w:spacing w:after="60"/>
              <w:rPr>
                <w:sz w:val="22"/>
                <w:szCs w:val="22"/>
              </w:rPr>
            </w:pPr>
            <w:r w:rsidRPr="00DE56E3">
              <w:rPr>
                <w:sz w:val="22"/>
                <w:szCs w:val="22"/>
              </w:rPr>
              <w:t>Follow reasonable directions given by the company in relation to Work Health and Safety.</w:t>
            </w:r>
          </w:p>
          <w:p w:rsidR="00F143C4" w:rsidRPr="00DE56E3" w:rsidRDefault="00F143C4" w:rsidP="005C0507">
            <w:pPr>
              <w:pStyle w:val="ListParagraph"/>
              <w:numPr>
                <w:ilvl w:val="0"/>
                <w:numId w:val="12"/>
              </w:numPr>
              <w:spacing w:after="60"/>
              <w:rPr>
                <w:sz w:val="22"/>
                <w:szCs w:val="22"/>
              </w:rPr>
            </w:pPr>
            <w:r w:rsidRPr="00DE56E3">
              <w:rPr>
                <w:sz w:val="22"/>
                <w:szCs w:val="22"/>
              </w:rPr>
              <w:t>Follow procedures to assist Mission Australia in reducing illness and injury including early reporting of incidents/illness and injuries</w:t>
            </w:r>
          </w:p>
          <w:p w:rsidR="00474630" w:rsidRPr="00DE56E3" w:rsidRDefault="00474630" w:rsidP="005C0507">
            <w:pPr>
              <w:pStyle w:val="ListParagraph"/>
              <w:numPr>
                <w:ilvl w:val="0"/>
                <w:numId w:val="12"/>
              </w:numPr>
              <w:spacing w:after="60"/>
              <w:rPr>
                <w:sz w:val="22"/>
                <w:szCs w:val="22"/>
              </w:rPr>
            </w:pPr>
            <w:r w:rsidRPr="00DE56E3">
              <w:rPr>
                <w:sz w:val="22"/>
                <w:szCs w:val="22"/>
              </w:rPr>
              <w:t>Promote and work within Mission Australia's client service delivery principles, ethics, policies and practice standards</w:t>
            </w:r>
          </w:p>
          <w:p w:rsidR="00474630" w:rsidRPr="00DE56E3" w:rsidRDefault="00474630" w:rsidP="005C0507">
            <w:pPr>
              <w:pStyle w:val="ListParagraph"/>
              <w:numPr>
                <w:ilvl w:val="0"/>
                <w:numId w:val="12"/>
              </w:numPr>
              <w:spacing w:after="60"/>
              <w:rPr>
                <w:sz w:val="22"/>
              </w:rPr>
            </w:pPr>
            <w:r w:rsidRPr="00DE56E3">
              <w:rPr>
                <w:sz w:val="22"/>
                <w:szCs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611CC4" w:rsidRPr="004F4492" w:rsidRDefault="00611CC4" w:rsidP="005C0507">
            <w:pPr>
              <w:pStyle w:val="ListParagraph"/>
              <w:numPr>
                <w:ilvl w:val="0"/>
                <w:numId w:val="13"/>
              </w:numPr>
              <w:spacing w:after="60"/>
              <w:rPr>
                <w:sz w:val="22"/>
                <w:szCs w:val="22"/>
              </w:rPr>
            </w:pPr>
            <w:r w:rsidRPr="004F4492">
              <w:rPr>
                <w:sz w:val="22"/>
                <w:szCs w:val="22"/>
              </w:rPr>
              <w:t>Personal effectiveness</w:t>
            </w:r>
          </w:p>
          <w:p w:rsidR="00611CC4" w:rsidRPr="004F4492" w:rsidRDefault="00611CC4" w:rsidP="005C0507">
            <w:pPr>
              <w:pStyle w:val="ListParagraph"/>
              <w:numPr>
                <w:ilvl w:val="0"/>
                <w:numId w:val="13"/>
              </w:numPr>
              <w:spacing w:after="60"/>
              <w:rPr>
                <w:sz w:val="22"/>
                <w:szCs w:val="22"/>
              </w:rPr>
            </w:pPr>
            <w:r w:rsidRPr="004F4492">
              <w:rPr>
                <w:sz w:val="22"/>
                <w:szCs w:val="22"/>
              </w:rPr>
              <w:t xml:space="preserve">Team building </w:t>
            </w:r>
          </w:p>
          <w:p w:rsidR="00611CC4" w:rsidRPr="004F4492" w:rsidRDefault="00611CC4" w:rsidP="005C0507">
            <w:pPr>
              <w:pStyle w:val="ListParagraph"/>
              <w:numPr>
                <w:ilvl w:val="0"/>
                <w:numId w:val="13"/>
              </w:numPr>
              <w:spacing w:after="60"/>
              <w:rPr>
                <w:sz w:val="22"/>
                <w:szCs w:val="22"/>
              </w:rPr>
            </w:pPr>
            <w:r w:rsidRPr="004F4492">
              <w:rPr>
                <w:sz w:val="22"/>
                <w:szCs w:val="22"/>
              </w:rPr>
              <w:t xml:space="preserve">Relationship management </w:t>
            </w:r>
          </w:p>
          <w:p w:rsidR="00611CC4" w:rsidRPr="004F4492" w:rsidRDefault="00611CC4" w:rsidP="005C0507">
            <w:pPr>
              <w:pStyle w:val="ListParagraph"/>
              <w:numPr>
                <w:ilvl w:val="0"/>
                <w:numId w:val="13"/>
              </w:numPr>
              <w:spacing w:after="60"/>
              <w:rPr>
                <w:sz w:val="22"/>
                <w:szCs w:val="22"/>
              </w:rPr>
            </w:pPr>
            <w:r w:rsidRPr="004F4492">
              <w:rPr>
                <w:sz w:val="22"/>
                <w:szCs w:val="22"/>
              </w:rPr>
              <w:t>Working within a cross cultural context</w:t>
            </w:r>
          </w:p>
          <w:p w:rsidR="00611CC4" w:rsidRPr="004F4492" w:rsidRDefault="00611CC4" w:rsidP="005C0507">
            <w:pPr>
              <w:pStyle w:val="ListParagraph"/>
              <w:numPr>
                <w:ilvl w:val="0"/>
                <w:numId w:val="13"/>
              </w:numPr>
              <w:spacing w:after="60"/>
              <w:rPr>
                <w:sz w:val="22"/>
                <w:szCs w:val="22"/>
              </w:rPr>
            </w:pPr>
            <w:r w:rsidRPr="004F4492">
              <w:rPr>
                <w:sz w:val="22"/>
                <w:szCs w:val="22"/>
              </w:rPr>
              <w:t>Organisational awareness</w:t>
            </w:r>
          </w:p>
          <w:p w:rsidR="00611CC4" w:rsidRPr="004F4492" w:rsidRDefault="00611CC4" w:rsidP="005C0507">
            <w:pPr>
              <w:pStyle w:val="ListParagraph"/>
              <w:numPr>
                <w:ilvl w:val="0"/>
                <w:numId w:val="13"/>
              </w:numPr>
              <w:spacing w:after="60"/>
              <w:rPr>
                <w:sz w:val="22"/>
                <w:szCs w:val="22"/>
              </w:rPr>
            </w:pPr>
            <w:r w:rsidRPr="004F4492">
              <w:rPr>
                <w:sz w:val="22"/>
                <w:szCs w:val="22"/>
              </w:rPr>
              <w:t>Ethical, legal and professional awareness</w:t>
            </w:r>
          </w:p>
          <w:p w:rsidR="00611CC4" w:rsidRPr="004F4492" w:rsidRDefault="00611CC4" w:rsidP="005C0507">
            <w:pPr>
              <w:pStyle w:val="ListParagraph"/>
              <w:numPr>
                <w:ilvl w:val="0"/>
                <w:numId w:val="13"/>
              </w:numPr>
              <w:spacing w:after="60"/>
              <w:rPr>
                <w:sz w:val="22"/>
                <w:szCs w:val="22"/>
              </w:rPr>
            </w:pPr>
            <w:r w:rsidRPr="004F4492">
              <w:rPr>
                <w:sz w:val="22"/>
                <w:szCs w:val="22"/>
              </w:rPr>
              <w:t>Results orientation</w:t>
            </w:r>
          </w:p>
          <w:p w:rsidR="00F143C4" w:rsidRPr="00F143C4" w:rsidRDefault="00611CC4" w:rsidP="005C0507">
            <w:pPr>
              <w:pStyle w:val="ListParagraph"/>
              <w:numPr>
                <w:ilvl w:val="0"/>
                <w:numId w:val="13"/>
              </w:numPr>
              <w:spacing w:after="60"/>
              <w:contextualSpacing w:val="0"/>
              <w:rPr>
                <w:sz w:val="22"/>
                <w:szCs w:val="22"/>
              </w:rPr>
            </w:pPr>
            <w:r w:rsidRPr="004F4492">
              <w:rPr>
                <w:sz w:val="22"/>
                <w:szCs w:val="22"/>
              </w:rPr>
              <w:t>Values alignment</w:t>
            </w:r>
          </w:p>
        </w:tc>
      </w:tr>
      <w:tr w:rsidR="00474630" w:rsidRPr="00193477" w:rsidTr="00451E7B">
        <w:tc>
          <w:tcPr>
            <w:tcW w:w="5000" w:type="pct"/>
            <w:tcBorders>
              <w:top w:val="nil"/>
              <w:left w:val="nil"/>
              <w:bottom w:val="nil"/>
              <w:right w:val="nil"/>
            </w:tcBorders>
            <w:shd w:val="clear" w:color="auto" w:fill="FFFFFF" w:themeFill="background1"/>
            <w:hideMark/>
          </w:tcPr>
          <w:p w:rsidR="009537C6" w:rsidRDefault="009537C6" w:rsidP="00611CC4">
            <w:pPr>
              <w:spacing w:before="40" w:after="6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611CC4" w:rsidRPr="00611CC4" w:rsidRDefault="00611CC4" w:rsidP="005C0507">
            <w:pPr>
              <w:pStyle w:val="ListParagraph"/>
              <w:numPr>
                <w:ilvl w:val="0"/>
                <w:numId w:val="13"/>
              </w:numPr>
              <w:spacing w:after="60"/>
              <w:rPr>
                <w:sz w:val="22"/>
                <w:szCs w:val="22"/>
              </w:rPr>
            </w:pPr>
            <w:r w:rsidRPr="00611CC4">
              <w:rPr>
                <w:sz w:val="22"/>
                <w:szCs w:val="22"/>
              </w:rPr>
              <w:t xml:space="preserve">To provide face to face and telephone financial </w:t>
            </w:r>
            <w:r w:rsidR="00A77CF1" w:rsidRPr="00611CC4">
              <w:rPr>
                <w:sz w:val="22"/>
                <w:szCs w:val="22"/>
              </w:rPr>
              <w:t>counselling</w:t>
            </w:r>
            <w:r w:rsidRPr="00611CC4">
              <w:rPr>
                <w:sz w:val="22"/>
                <w:szCs w:val="22"/>
              </w:rPr>
              <w:t xml:space="preserve"> to individual clients and families. </w:t>
            </w:r>
          </w:p>
          <w:p w:rsidR="00611CC4" w:rsidRPr="00611CC4" w:rsidRDefault="00611CC4" w:rsidP="005C0507">
            <w:pPr>
              <w:pStyle w:val="ListParagraph"/>
              <w:numPr>
                <w:ilvl w:val="0"/>
                <w:numId w:val="13"/>
              </w:numPr>
              <w:spacing w:after="60"/>
              <w:rPr>
                <w:sz w:val="22"/>
                <w:szCs w:val="22"/>
              </w:rPr>
            </w:pPr>
            <w:r w:rsidRPr="00611CC4">
              <w:rPr>
                <w:sz w:val="22"/>
                <w:szCs w:val="22"/>
              </w:rPr>
              <w:t>Individual and group advocacy and negotiations</w:t>
            </w:r>
          </w:p>
          <w:p w:rsidR="00611CC4" w:rsidRPr="00611CC4" w:rsidRDefault="00611CC4" w:rsidP="005C0507">
            <w:pPr>
              <w:pStyle w:val="ListParagraph"/>
              <w:numPr>
                <w:ilvl w:val="0"/>
                <w:numId w:val="13"/>
              </w:numPr>
              <w:spacing w:after="60"/>
              <w:rPr>
                <w:sz w:val="22"/>
                <w:szCs w:val="22"/>
              </w:rPr>
            </w:pPr>
            <w:r w:rsidRPr="00611CC4">
              <w:rPr>
                <w:sz w:val="22"/>
                <w:szCs w:val="22"/>
              </w:rPr>
              <w:t>Referral, both internal and external</w:t>
            </w:r>
          </w:p>
          <w:p w:rsidR="00F143C4" w:rsidRDefault="00611CC4" w:rsidP="005C0507">
            <w:pPr>
              <w:pStyle w:val="ListParagraph"/>
              <w:numPr>
                <w:ilvl w:val="0"/>
                <w:numId w:val="13"/>
              </w:numPr>
              <w:spacing w:after="60"/>
              <w:rPr>
                <w:sz w:val="22"/>
                <w:szCs w:val="22"/>
              </w:rPr>
            </w:pPr>
            <w:r w:rsidRPr="00611CC4">
              <w:rPr>
                <w:sz w:val="22"/>
                <w:szCs w:val="22"/>
              </w:rPr>
              <w:t>Community education and development</w:t>
            </w:r>
          </w:p>
          <w:p w:rsidR="00A77CF1" w:rsidRDefault="00A77CF1" w:rsidP="00A77CF1">
            <w:pPr>
              <w:spacing w:after="60"/>
              <w:rPr>
                <w:b/>
                <w:color w:val="522F8C"/>
              </w:rPr>
            </w:pPr>
            <w:r>
              <w:rPr>
                <w:b/>
                <w:color w:val="522F8C"/>
              </w:rPr>
              <w:t xml:space="preserve">Competences </w:t>
            </w:r>
          </w:p>
          <w:p w:rsidR="00A77CF1" w:rsidRPr="00A77CF1" w:rsidRDefault="00A77CF1" w:rsidP="005C0507">
            <w:pPr>
              <w:pStyle w:val="ListParagraph"/>
              <w:numPr>
                <w:ilvl w:val="0"/>
                <w:numId w:val="13"/>
              </w:numPr>
              <w:spacing w:after="60"/>
              <w:rPr>
                <w:sz w:val="22"/>
                <w:szCs w:val="22"/>
              </w:rPr>
            </w:pPr>
            <w:r w:rsidRPr="00A77CF1">
              <w:rPr>
                <w:sz w:val="22"/>
                <w:szCs w:val="22"/>
                <w:lang w:val="en-US"/>
              </w:rPr>
              <w:t>Ability to deliver presentations on financial and problem gambling issues to individuals, couples and groups</w:t>
            </w:r>
          </w:p>
          <w:p w:rsidR="00A77CF1" w:rsidRPr="00A77CF1" w:rsidRDefault="00A77CF1" w:rsidP="005C0507">
            <w:pPr>
              <w:pStyle w:val="ListParagraph"/>
              <w:numPr>
                <w:ilvl w:val="0"/>
                <w:numId w:val="13"/>
              </w:numPr>
              <w:spacing w:after="60"/>
              <w:rPr>
                <w:sz w:val="22"/>
                <w:szCs w:val="22"/>
                <w:lang w:val="en-US"/>
              </w:rPr>
            </w:pPr>
            <w:r w:rsidRPr="00A77CF1">
              <w:rPr>
                <w:sz w:val="22"/>
                <w:szCs w:val="22"/>
              </w:rPr>
              <w:t>Experience in the provision of general counselling in a community service focused environment.</w:t>
            </w:r>
          </w:p>
          <w:p w:rsidR="00A77CF1" w:rsidRPr="00A77CF1" w:rsidRDefault="00A77CF1" w:rsidP="005C0507">
            <w:pPr>
              <w:pStyle w:val="ListParagraph"/>
              <w:numPr>
                <w:ilvl w:val="0"/>
                <w:numId w:val="13"/>
              </w:numPr>
              <w:spacing w:after="60"/>
              <w:rPr>
                <w:sz w:val="22"/>
                <w:szCs w:val="22"/>
              </w:rPr>
            </w:pPr>
            <w:r w:rsidRPr="00A77CF1">
              <w:rPr>
                <w:sz w:val="22"/>
                <w:szCs w:val="22"/>
              </w:rPr>
              <w:lastRenderedPageBreak/>
              <w:t>A valid and current driver</w:t>
            </w:r>
            <w:r w:rsidRPr="00A77CF1">
              <w:rPr>
                <w:rFonts w:hint="eastAsia"/>
                <w:sz w:val="22"/>
                <w:szCs w:val="22"/>
              </w:rPr>
              <w:t>’</w:t>
            </w:r>
            <w:r w:rsidRPr="00A77CF1">
              <w:rPr>
                <w:sz w:val="22"/>
                <w:szCs w:val="22"/>
              </w:rPr>
              <w:t>s license</w:t>
            </w:r>
          </w:p>
        </w:tc>
      </w:tr>
      <w:tr w:rsidR="00A77CF1" w:rsidRPr="000B007D" w:rsidTr="00451E7B">
        <w:tc>
          <w:tcPr>
            <w:tcW w:w="5000" w:type="pct"/>
            <w:tcBorders>
              <w:top w:val="nil"/>
              <w:left w:val="nil"/>
              <w:bottom w:val="nil"/>
              <w:right w:val="nil"/>
            </w:tcBorders>
            <w:shd w:val="clear" w:color="auto" w:fill="FFFFFF" w:themeFill="background1"/>
          </w:tcPr>
          <w:p w:rsidR="00A77CF1" w:rsidRPr="00A77CF1" w:rsidRDefault="00A77CF1" w:rsidP="00A77CF1">
            <w:pPr>
              <w:spacing w:after="60"/>
              <w:rPr>
                <w:sz w:val="22"/>
                <w:szCs w:val="22"/>
              </w:rPr>
            </w:pPr>
          </w:p>
        </w:tc>
      </w:tr>
    </w:tbl>
    <w:p w:rsidR="007454A0" w:rsidRDefault="007454A0" w:rsidP="00611CC4">
      <w:pPr>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A533A1" w:rsidP="00662039">
            <w:pPr>
              <w:ind w:left="720" w:hanging="720"/>
              <w:rPr>
                <w:sz w:val="22"/>
              </w:rPr>
            </w:pPr>
            <w:r w:rsidRPr="00A533A1">
              <w:rPr>
                <w:sz w:val="22"/>
              </w:rPr>
              <w:t>Ludmila Klianev</w:t>
            </w: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5773BE">
        <w:t xml:space="preserve">                                                                                                                                                </w:t>
      </w:r>
      <w:r>
        <w:t xml:space="preserve">   </w:t>
      </w:r>
    </w:p>
    <w:sectPr w:rsidR="007117A1" w:rsidSect="007C464C">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A4" w:rsidRDefault="00603FA4" w:rsidP="00985745">
      <w:r>
        <w:separator/>
      </w:r>
    </w:p>
  </w:endnote>
  <w:endnote w:type="continuationSeparator" w:id="0">
    <w:p w:rsidR="00603FA4" w:rsidRDefault="00603FA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2EB4F579" wp14:editId="6F39E292">
          <wp:simplePos x="0" y="0"/>
          <wp:positionH relativeFrom="column">
            <wp:posOffset>-227330</wp:posOffset>
          </wp:positionH>
          <wp:positionV relativeFrom="paragraph">
            <wp:posOffset>6985</wp:posOffset>
          </wp:positionV>
          <wp:extent cx="935355" cy="420370"/>
          <wp:effectExtent l="0" t="0" r="0" b="0"/>
          <wp:wrapNone/>
          <wp:docPr id="8"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953722">
      <w:t>5</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A4" w:rsidRDefault="00603FA4" w:rsidP="00985745">
      <w:r>
        <w:separator/>
      </w:r>
    </w:p>
  </w:footnote>
  <w:footnote w:type="continuationSeparator" w:id="0">
    <w:p w:rsidR="00603FA4" w:rsidRDefault="00603FA4"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0C3003C" wp14:editId="73ECC44D">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5D33BB40" wp14:editId="24A37B11">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D33BB40"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E05"/>
    <w:multiLevelType w:val="hybridMultilevel"/>
    <w:tmpl w:val="FA9256EA"/>
    <w:lvl w:ilvl="0" w:tplc="D9680A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A780D"/>
    <w:multiLevelType w:val="hybridMultilevel"/>
    <w:tmpl w:val="9ECA4D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FF3C26"/>
    <w:multiLevelType w:val="hybridMultilevel"/>
    <w:tmpl w:val="6290AE4C"/>
    <w:lvl w:ilvl="0" w:tplc="CA385F00">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3B51132"/>
    <w:multiLevelType w:val="hybridMultilevel"/>
    <w:tmpl w:val="D9F8A038"/>
    <w:lvl w:ilvl="0" w:tplc="2E6AEEB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791915"/>
    <w:multiLevelType w:val="hybridMultilevel"/>
    <w:tmpl w:val="FAD0A340"/>
    <w:lvl w:ilvl="0" w:tplc="601A41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4257F"/>
    <w:multiLevelType w:val="hybridMultilevel"/>
    <w:tmpl w:val="8B0E258E"/>
    <w:lvl w:ilvl="0" w:tplc="2E6AEEB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764CE6"/>
    <w:multiLevelType w:val="hybridMultilevel"/>
    <w:tmpl w:val="B7EA0B42"/>
    <w:lvl w:ilvl="0" w:tplc="2E6AEEB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F14232"/>
    <w:multiLevelType w:val="hybridMultilevel"/>
    <w:tmpl w:val="1A08FCB6"/>
    <w:lvl w:ilvl="0" w:tplc="2E6AEEB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5861B36"/>
    <w:multiLevelType w:val="hybridMultilevel"/>
    <w:tmpl w:val="34F6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531678"/>
    <w:multiLevelType w:val="hybridMultilevel"/>
    <w:tmpl w:val="1DF48844"/>
    <w:lvl w:ilvl="0" w:tplc="2E6AEEB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894594"/>
    <w:multiLevelType w:val="hybridMultilevel"/>
    <w:tmpl w:val="72A4997C"/>
    <w:lvl w:ilvl="0" w:tplc="BD8299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6C625FA"/>
    <w:multiLevelType w:val="hybridMultilevel"/>
    <w:tmpl w:val="49C6C8A6"/>
    <w:lvl w:ilvl="0" w:tplc="2C3ECF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0074E9"/>
    <w:multiLevelType w:val="hybridMultilevel"/>
    <w:tmpl w:val="63C01CBA"/>
    <w:lvl w:ilvl="0" w:tplc="FB86D9EA">
      <w:start w:val="1"/>
      <w:numFmt w:val="bullet"/>
      <w:pStyle w:val="StyleCenturyGothicAfter6p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C2772C3"/>
    <w:multiLevelType w:val="hybridMultilevel"/>
    <w:tmpl w:val="7066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F20719"/>
    <w:multiLevelType w:val="hybridMultilevel"/>
    <w:tmpl w:val="2BBE7378"/>
    <w:lvl w:ilvl="0" w:tplc="1F9045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B1768F"/>
    <w:multiLevelType w:val="hybridMultilevel"/>
    <w:tmpl w:val="3E501410"/>
    <w:lvl w:ilvl="0" w:tplc="CA385F00">
      <w:start w:val="1"/>
      <w:numFmt w:val="bullet"/>
      <w:lvlText w:val=""/>
      <w:lvlJc w:val="left"/>
      <w:pPr>
        <w:tabs>
          <w:tab w:val="num" w:pos="360"/>
        </w:tabs>
        <w:ind w:left="36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9"/>
  </w:num>
  <w:num w:numId="4">
    <w:abstractNumId w:val="11"/>
  </w:num>
  <w:num w:numId="5">
    <w:abstractNumId w:val="2"/>
  </w:num>
  <w:num w:numId="6">
    <w:abstractNumId w:val="4"/>
  </w:num>
  <w:num w:numId="7">
    <w:abstractNumId w:val="10"/>
  </w:num>
  <w:num w:numId="8">
    <w:abstractNumId w:val="23"/>
  </w:num>
  <w:num w:numId="9">
    <w:abstractNumId w:val="20"/>
  </w:num>
  <w:num w:numId="10">
    <w:abstractNumId w:val="16"/>
  </w:num>
  <w:num w:numId="11">
    <w:abstractNumId w:val="18"/>
  </w:num>
  <w:num w:numId="12">
    <w:abstractNumId w:val="21"/>
  </w:num>
  <w:num w:numId="13">
    <w:abstractNumId w:val="17"/>
  </w:num>
  <w:num w:numId="14">
    <w:abstractNumId w:val="5"/>
  </w:num>
  <w:num w:numId="15">
    <w:abstractNumId w:val="13"/>
  </w:num>
  <w:num w:numId="16">
    <w:abstractNumId w:val="9"/>
  </w:num>
  <w:num w:numId="17">
    <w:abstractNumId w:val="3"/>
  </w:num>
  <w:num w:numId="18">
    <w:abstractNumId w:val="15"/>
  </w:num>
  <w:num w:numId="19">
    <w:abstractNumId w:val="12"/>
  </w:num>
  <w:num w:numId="20">
    <w:abstractNumId w:val="6"/>
  </w:num>
  <w:num w:numId="21">
    <w:abstractNumId w:val="22"/>
  </w:num>
  <w:num w:numId="22">
    <w:abstractNumId w:val="27"/>
  </w:num>
  <w:num w:numId="23">
    <w:abstractNumId w:val="1"/>
  </w:num>
  <w:num w:numId="24">
    <w:abstractNumId w:val="26"/>
  </w:num>
  <w:num w:numId="25">
    <w:abstractNumId w:val="25"/>
  </w:num>
  <w:num w:numId="26">
    <w:abstractNumId w:val="14"/>
  </w:num>
  <w:num w:numId="27">
    <w:abstractNumId w:val="8"/>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203B"/>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4492"/>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050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3FA4"/>
    <w:rsid w:val="00604025"/>
    <w:rsid w:val="006048A3"/>
    <w:rsid w:val="00604B57"/>
    <w:rsid w:val="00604DC9"/>
    <w:rsid w:val="00605904"/>
    <w:rsid w:val="00606F8A"/>
    <w:rsid w:val="00607524"/>
    <w:rsid w:val="006079C1"/>
    <w:rsid w:val="00607FB4"/>
    <w:rsid w:val="00610442"/>
    <w:rsid w:val="0061129F"/>
    <w:rsid w:val="00611CC4"/>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20AE"/>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9523F"/>
    <w:rsid w:val="00796D88"/>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64C"/>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54C"/>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3D21"/>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0EC5"/>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22"/>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3A1"/>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CF1"/>
    <w:rsid w:val="00A77E03"/>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6710"/>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5842"/>
    <w:rsid w:val="00C3652A"/>
    <w:rsid w:val="00C402CE"/>
    <w:rsid w:val="00C422AF"/>
    <w:rsid w:val="00C42B33"/>
    <w:rsid w:val="00C44117"/>
    <w:rsid w:val="00C44375"/>
    <w:rsid w:val="00C44A54"/>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889"/>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56E3"/>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Heading3CenturyGothic14ptAfter6pt">
    <w:name w:val="Style Heading 3 + Century Gothic 14 pt After:  6 pt"/>
    <w:basedOn w:val="Heading3"/>
    <w:next w:val="Normal"/>
    <w:rsid w:val="00AD6710"/>
    <w:pPr>
      <w:keepNext/>
      <w:keepLines w:val="0"/>
      <w:numPr>
        <w:numId w:val="14"/>
      </w:numPr>
      <w:tabs>
        <w:tab w:val="left" w:pos="450"/>
      </w:tabs>
      <w:spacing w:before="0" w:after="120"/>
    </w:pPr>
    <w:rPr>
      <w:rFonts w:ascii="Gill Sans MT" w:eastAsia="Times New Roman" w:hAnsi="Gill Sans MT"/>
      <w:b/>
      <w:sz w:val="28"/>
      <w:szCs w:val="20"/>
      <w:lang w:val="en-US" w:eastAsia="en-US"/>
    </w:rPr>
  </w:style>
  <w:style w:type="paragraph" w:customStyle="1" w:styleId="StyleCenturyGothicAfter6pt">
    <w:name w:val="Style Century Gothic After:  6 pt"/>
    <w:basedOn w:val="Normal"/>
    <w:link w:val="StyleCenturyGothicAfter6ptChar"/>
    <w:rsid w:val="0079523F"/>
    <w:pPr>
      <w:numPr>
        <w:numId w:val="2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C464C"/>
    <w:rPr>
      <w:rFonts w:ascii="Gill Sans MT" w:hAnsi="Gill Sans MT"/>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Heading3CenturyGothic14ptAfter6pt">
    <w:name w:val="Style Heading 3 + Century Gothic 14 pt After:  6 pt"/>
    <w:basedOn w:val="Heading3"/>
    <w:next w:val="Normal"/>
    <w:rsid w:val="00AD6710"/>
    <w:pPr>
      <w:keepNext/>
      <w:keepLines w:val="0"/>
      <w:numPr>
        <w:numId w:val="14"/>
      </w:numPr>
      <w:tabs>
        <w:tab w:val="left" w:pos="450"/>
      </w:tabs>
      <w:spacing w:before="0" w:after="120"/>
    </w:pPr>
    <w:rPr>
      <w:rFonts w:ascii="Gill Sans MT" w:eastAsia="Times New Roman" w:hAnsi="Gill Sans MT"/>
      <w:b/>
      <w:sz w:val="28"/>
      <w:szCs w:val="20"/>
      <w:lang w:val="en-US" w:eastAsia="en-US"/>
    </w:rPr>
  </w:style>
  <w:style w:type="paragraph" w:customStyle="1" w:styleId="StyleCenturyGothicAfter6pt">
    <w:name w:val="Style Century Gothic After:  6 pt"/>
    <w:basedOn w:val="Normal"/>
    <w:link w:val="StyleCenturyGothicAfter6ptChar"/>
    <w:rsid w:val="0079523F"/>
    <w:pPr>
      <w:numPr>
        <w:numId w:val="2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C464C"/>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 w:val="00E01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81F9-10F8-4629-8C40-C0EA15EF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9107</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Trisha Smith</cp:lastModifiedBy>
  <cp:revision>2</cp:revision>
  <cp:lastPrinted>2014-03-03T01:31:00Z</cp:lastPrinted>
  <dcterms:created xsi:type="dcterms:W3CDTF">2018-02-26T00:03:00Z</dcterms:created>
  <dcterms:modified xsi:type="dcterms:W3CDTF">2018-02-26T00:03:00Z</dcterms:modified>
</cp:coreProperties>
</file>