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46613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42250"/>
                  </w:textInput>
                </w:ffData>
              </w:fldChar>
            </w:r>
            <w:bookmarkStart w:id="1"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50142250</w:t>
            </w:r>
            <w:r>
              <w:rPr>
                <w:rFonts w:ascii="Calibri" w:hAnsi="Calibri" w:cs="Arial"/>
                <w:color w:val="000000"/>
                <w:sz w:val="22"/>
                <w:szCs w:val="22"/>
                <w:lang w:val="en-AU"/>
              </w:rPr>
              <w:fldChar w:fldCharType="end"/>
            </w:r>
            <w:bookmarkEnd w:id="1"/>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6613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2"/>
                  <w:enabled/>
                  <w:calcOnExit w:val="0"/>
                  <w:textInput>
                    <w:default w:val="Economics and Finance"/>
                  </w:textInput>
                </w:ffData>
              </w:fldChar>
            </w:r>
            <w:bookmarkStart w:id="2" w:name="Text2"/>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Economics and Finance</w:t>
            </w:r>
            <w:r>
              <w:rPr>
                <w:rFonts w:ascii="Calibri" w:hAnsi="Calibri" w:cs="Arial"/>
                <w:color w:val="000000"/>
                <w:sz w:val="22"/>
                <w:szCs w:val="22"/>
                <w:lang w:val="en-AU"/>
              </w:rPr>
              <w:fldChar w:fldCharType="end"/>
            </w:r>
            <w:bookmarkEnd w:id="2"/>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6613D" w:rsidP="007011D4">
            <w:pPr>
              <w:rPr>
                <w:rFonts w:ascii="Calibri" w:hAnsi="Calibri" w:cs="Arial"/>
                <w:color w:val="000000"/>
                <w:sz w:val="22"/>
                <w:szCs w:val="22"/>
                <w:lang w:val="en-AU"/>
              </w:rPr>
            </w:pPr>
            <w:r>
              <w:rPr>
                <w:rFonts w:ascii="Calibri" w:hAnsi="Calibri" w:cs="Arial"/>
                <w:color w:val="000000"/>
                <w:sz w:val="22"/>
                <w:szCs w:val="22"/>
                <w:lang w:val="en-AU"/>
              </w:rPr>
              <w:t>La Trobe Business School</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6613D" w:rsidP="007011D4">
            <w:pPr>
              <w:rPr>
                <w:rFonts w:ascii="Calibri" w:hAnsi="Calibri" w:cs="Arial"/>
                <w:color w:val="000000"/>
                <w:sz w:val="22"/>
                <w:szCs w:val="22"/>
                <w:lang w:val="en-AU"/>
              </w:rPr>
            </w:pPr>
            <w:r>
              <w:rPr>
                <w:rFonts w:ascii="Calibri" w:hAnsi="Calibri" w:cs="Arial"/>
                <w:color w:val="000000"/>
                <w:sz w:val="22"/>
                <w:szCs w:val="22"/>
                <w:lang w:val="en-AU"/>
              </w:rPr>
              <w:t>Melbourne (Bundoora)</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6613D" w:rsidP="007011D4">
            <w:pPr>
              <w:rPr>
                <w:rFonts w:ascii="Calibri" w:hAnsi="Calibri" w:cs="Arial"/>
                <w:color w:val="000000"/>
                <w:sz w:val="22"/>
                <w:szCs w:val="22"/>
                <w:lang w:val="en-AU"/>
              </w:rPr>
            </w:pPr>
            <w:r>
              <w:rPr>
                <w:rFonts w:ascii="Calibri" w:hAnsi="Calibri" w:cs="Arial"/>
                <w:color w:val="000000"/>
                <w:sz w:val="22"/>
                <w:szCs w:val="22"/>
                <w:lang w:val="en-AU"/>
              </w:rPr>
              <w:t>Continuing, Full Time</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9B5533" w:rsidP="007011D4">
            <w:pPr>
              <w:rPr>
                <w:rFonts w:ascii="Calibri" w:hAnsi="Calibri" w:cs="Arial"/>
                <w:color w:val="000000"/>
                <w:sz w:val="22"/>
                <w:szCs w:val="22"/>
                <w:lang w:val="en-AU"/>
              </w:rPr>
            </w:pPr>
            <w:r>
              <w:rPr>
                <w:rFonts w:ascii="Calibri" w:hAnsi="Calibri" w:cs="Arial"/>
                <w:color w:val="000000"/>
                <w:sz w:val="22"/>
                <w:szCs w:val="22"/>
                <w:lang w:val="en-AU"/>
              </w:rPr>
              <w:t>Head of Department</w:t>
            </w:r>
          </w:p>
          <w:p w:rsidR="00A64A18" w:rsidRPr="00830506" w:rsidRDefault="009B5533" w:rsidP="007011D4">
            <w:pPr>
              <w:rPr>
                <w:rFonts w:ascii="Calibri" w:hAnsi="Calibri" w:cs="Arial"/>
                <w:color w:val="000000"/>
                <w:sz w:val="22"/>
                <w:szCs w:val="22"/>
                <w:lang w:val="en-AU"/>
              </w:rPr>
            </w:pPr>
            <w:r>
              <w:rPr>
                <w:rFonts w:ascii="Calibri" w:hAnsi="Calibri" w:cs="Arial"/>
                <w:color w:val="000000"/>
                <w:sz w:val="22"/>
                <w:szCs w:val="22"/>
                <w:lang w:val="en-AU"/>
              </w:rPr>
              <w:t>020102</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00438D"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9B5533" w:rsidP="00A60F34">
      <w:pPr>
        <w:outlineLvl w:val="0"/>
        <w:rPr>
          <w:rFonts w:ascii="Calibri" w:hAnsi="Calibri" w:cs="Arial"/>
          <w:sz w:val="22"/>
          <w:szCs w:val="22"/>
        </w:rPr>
      </w:pPr>
      <w:r>
        <w:rPr>
          <w:rFonts w:ascii="Calibri" w:hAnsi="Calibri" w:cs="Arial"/>
          <w:sz w:val="22"/>
          <w:szCs w:val="22"/>
        </w:rPr>
        <w:t>La Trobe Business School</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Pr>
          <w:rFonts w:ascii="Calibri" w:hAnsi="Calibri" w:cs="Arial"/>
          <w:sz w:val="22"/>
          <w:szCs w:val="22"/>
        </w:rPr>
        <w:t>business</w:t>
      </w:r>
      <w:r w:rsidR="00E42ADC" w:rsidRPr="00830506">
        <w:rPr>
          <w:rFonts w:ascii="Calibri" w:hAnsi="Calibri" w:cs="Arial"/>
          <w:sz w:val="22"/>
          <w:szCs w:val="22"/>
        </w:rPr>
        <w:t xml:space="preserve"> </w:t>
      </w:r>
    </w:p>
    <w:p w:rsidR="00E42ADC" w:rsidRPr="00830506" w:rsidRDefault="00E42ADC" w:rsidP="00E42ADC">
      <w:pPr>
        <w:rPr>
          <w:rFonts w:ascii="Calibri" w:hAnsi="Calibri" w:cs="Arial"/>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DF0FF4" id="Line 1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9B5533" w:rsidP="00BC0265">
      <w:pPr>
        <w:rPr>
          <w:rFonts w:ascii="Calibri" w:hAnsi="Calibri" w:cs="Arial"/>
          <w:sz w:val="22"/>
          <w:szCs w:val="22"/>
        </w:rPr>
      </w:pPr>
      <w:r>
        <w:rPr>
          <w:rFonts w:ascii="Calibri" w:hAnsi="Calibri" w:cs="Arial"/>
          <w:sz w:val="22"/>
          <w:szCs w:val="22"/>
        </w:rPr>
        <w:t>Mr Greg Jamieson</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 xml:space="preserve">(03) 9479 </w:t>
      </w:r>
      <w:proofErr w:type="gramStart"/>
      <w:r>
        <w:rPr>
          <w:rFonts w:ascii="Calibri" w:hAnsi="Calibri" w:cs="Arial"/>
          <w:sz w:val="22"/>
          <w:szCs w:val="22"/>
        </w:rPr>
        <w:t>1514</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Pr>
          <w:rFonts w:ascii="Calibri" w:hAnsi="Calibri"/>
          <w:sz w:val="22"/>
          <w:szCs w:val="22"/>
        </w:rPr>
        <w:t>g.jamieson</w:t>
      </w:r>
      <w:r w:rsidR="00BC0265" w:rsidRPr="00830506">
        <w:rPr>
          <w:rFonts w:ascii="Calibri" w:hAnsi="Calibri" w:cs="Arial"/>
          <w:sz w:val="22"/>
          <w:szCs w:val="22"/>
        </w:rPr>
        <w:t>@latrobe.edu.au</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DD4712" w:rsidRDefault="00DE7D17" w:rsidP="00DE7D17">
      <w:pPr>
        <w:pStyle w:val="Default"/>
        <w:rPr>
          <w:b/>
          <w:bCs/>
          <w:sz w:val="22"/>
          <w:szCs w:val="22"/>
        </w:rPr>
      </w:pPr>
      <w:r w:rsidRPr="00DD4712">
        <w:rPr>
          <w:b/>
          <w:bCs/>
          <w:sz w:val="22"/>
          <w:szCs w:val="22"/>
        </w:rPr>
        <w:t xml:space="preserve">Level B – Lecturer </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rsidR="00043BFD" w:rsidRPr="00DD4712" w:rsidRDefault="00043BFD"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Position Context </w:t>
      </w:r>
    </w:p>
    <w:p w:rsidR="00B33A77" w:rsidRDefault="00B33A77" w:rsidP="009B5533">
      <w:pPr>
        <w:pStyle w:val="Default"/>
        <w:spacing w:after="120"/>
        <w:rPr>
          <w:sz w:val="22"/>
          <w:szCs w:val="22"/>
        </w:rPr>
      </w:pPr>
    </w:p>
    <w:p w:rsidR="00B33A77" w:rsidRDefault="009B5533" w:rsidP="009B5533">
      <w:pPr>
        <w:pStyle w:val="Default"/>
        <w:spacing w:after="120"/>
        <w:rPr>
          <w:sz w:val="22"/>
          <w:szCs w:val="22"/>
        </w:rPr>
      </w:pPr>
      <w:r>
        <w:rPr>
          <w:sz w:val="22"/>
          <w:szCs w:val="22"/>
        </w:rPr>
        <w:t>The Department of Economics and Finance is one of four departments in La Trobe Business School</w:t>
      </w:r>
      <w:r w:rsidR="006915C3" w:rsidRPr="006915C3">
        <w:rPr>
          <w:sz w:val="22"/>
          <w:szCs w:val="22"/>
        </w:rPr>
        <w:t xml:space="preserve"> </w:t>
      </w:r>
      <w:r w:rsidR="006915C3">
        <w:rPr>
          <w:sz w:val="22"/>
          <w:szCs w:val="22"/>
        </w:rPr>
        <w:t>committed to a</w:t>
      </w:r>
      <w:r w:rsidR="00B33A77">
        <w:rPr>
          <w:sz w:val="22"/>
          <w:szCs w:val="22"/>
        </w:rPr>
        <w:t>ctively engaging with business</w:t>
      </w:r>
      <w:r w:rsidR="006915C3">
        <w:rPr>
          <w:sz w:val="22"/>
          <w:szCs w:val="22"/>
        </w:rPr>
        <w:t>, policy-makers</w:t>
      </w:r>
      <w:r w:rsidR="00B33A77">
        <w:rPr>
          <w:sz w:val="22"/>
          <w:szCs w:val="22"/>
        </w:rPr>
        <w:t xml:space="preserve">, </w:t>
      </w:r>
      <w:r w:rsidR="006915C3">
        <w:rPr>
          <w:sz w:val="22"/>
          <w:szCs w:val="22"/>
        </w:rPr>
        <w:t>the professions</w:t>
      </w:r>
      <w:r w:rsidR="00B33A77">
        <w:rPr>
          <w:sz w:val="22"/>
          <w:szCs w:val="22"/>
        </w:rPr>
        <w:t xml:space="preserve"> and the communities in which we live,</w:t>
      </w:r>
      <w:r w:rsidR="006915C3">
        <w:rPr>
          <w:sz w:val="22"/>
          <w:szCs w:val="22"/>
        </w:rPr>
        <w:t xml:space="preserve"> in the pursuit of </w:t>
      </w:r>
      <w:r w:rsidR="00B33A77">
        <w:rPr>
          <w:sz w:val="22"/>
          <w:szCs w:val="22"/>
        </w:rPr>
        <w:t>innovative, responsible</w:t>
      </w:r>
      <w:r w:rsidR="006915C3">
        <w:rPr>
          <w:sz w:val="22"/>
          <w:szCs w:val="22"/>
        </w:rPr>
        <w:t xml:space="preserve"> and impactful research</w:t>
      </w:r>
      <w:r w:rsidR="00B33A77">
        <w:rPr>
          <w:sz w:val="22"/>
          <w:szCs w:val="22"/>
        </w:rPr>
        <w:t>,</w:t>
      </w:r>
      <w:r w:rsidR="006915C3">
        <w:rPr>
          <w:sz w:val="22"/>
          <w:szCs w:val="22"/>
        </w:rPr>
        <w:t xml:space="preserve"> and the delivery of business education</w:t>
      </w:r>
      <w:r>
        <w:rPr>
          <w:sz w:val="22"/>
          <w:szCs w:val="22"/>
        </w:rPr>
        <w:t xml:space="preserve">. </w:t>
      </w:r>
    </w:p>
    <w:p w:rsidR="0009706D" w:rsidRDefault="009B5533" w:rsidP="009B5533">
      <w:pPr>
        <w:pStyle w:val="Default"/>
        <w:spacing w:after="120"/>
        <w:rPr>
          <w:sz w:val="22"/>
          <w:szCs w:val="22"/>
        </w:rPr>
      </w:pPr>
      <w:r>
        <w:rPr>
          <w:sz w:val="22"/>
          <w:szCs w:val="22"/>
        </w:rPr>
        <w:t xml:space="preserve">Combining high quality research, teaching and business and community engagement, the Finance discipline has strengths in areas including, but not limited to, corporate finance and governance, market microstructure and </w:t>
      </w:r>
      <w:r w:rsidR="001B20DF">
        <w:rPr>
          <w:sz w:val="22"/>
          <w:szCs w:val="22"/>
        </w:rPr>
        <w:t>behavioural</w:t>
      </w:r>
      <w:r>
        <w:rPr>
          <w:sz w:val="22"/>
          <w:szCs w:val="22"/>
        </w:rPr>
        <w:t xml:space="preserve"> finance, financial econometrics and quantitative analysis, asset and derivative pricing and investment theory, and information discovery and asymmetry modelling. The Economics discipline has particular research strengths in industrial organisation and innovation, applied economics (in particular, educational, health and welfare economics), environmental and resource economics, macroeconomic policy analysis and sports economics. </w:t>
      </w:r>
    </w:p>
    <w:p w:rsidR="0009706D" w:rsidRDefault="009B5533" w:rsidP="009B5533">
      <w:pPr>
        <w:pStyle w:val="Default"/>
        <w:spacing w:after="120"/>
        <w:rPr>
          <w:sz w:val="22"/>
          <w:szCs w:val="22"/>
        </w:rPr>
      </w:pPr>
      <w:r>
        <w:rPr>
          <w:sz w:val="22"/>
          <w:szCs w:val="22"/>
        </w:rPr>
        <w:t xml:space="preserve">Both discipline areas engage with the University research focus areas (RFAs), and particularly the Transforming Human Societies, Securing Food, Water and the Environment and Sport, Exercise and Rehabilitation RFAs, as well as various external research centres, and private, public and not-for-profit agencies and organisations. </w:t>
      </w:r>
    </w:p>
    <w:p w:rsidR="009B5533" w:rsidRDefault="009B5533" w:rsidP="009B5533">
      <w:pPr>
        <w:pStyle w:val="Default"/>
        <w:spacing w:after="120"/>
        <w:rPr>
          <w:sz w:val="22"/>
          <w:szCs w:val="22"/>
        </w:rPr>
      </w:pPr>
      <w:r>
        <w:rPr>
          <w:sz w:val="22"/>
          <w:szCs w:val="22"/>
        </w:rPr>
        <w:t xml:space="preserve">In the most recent ERA assessment, the Finance discipline was ranked equal third in Australia and the Economics discipline was ranked equal seventh, and both disciplines are in the Top 300 in the QS World rankings. </w:t>
      </w:r>
    </w:p>
    <w:p w:rsidR="00523A35" w:rsidRDefault="00523A35" w:rsidP="009B5533">
      <w:pPr>
        <w:pStyle w:val="Default"/>
        <w:spacing w:after="120"/>
        <w:rPr>
          <w:sz w:val="22"/>
          <w:szCs w:val="22"/>
        </w:rPr>
      </w:pPr>
      <w:r>
        <w:rPr>
          <w:sz w:val="22"/>
          <w:szCs w:val="22"/>
        </w:rPr>
        <w:t xml:space="preserve">The Department of Economics and Finance is responsible for delivering foundation subjects at both the undergraduate and postgraduate level in </w:t>
      </w:r>
      <w:r w:rsidR="006915C3">
        <w:rPr>
          <w:sz w:val="22"/>
          <w:szCs w:val="22"/>
        </w:rPr>
        <w:t>four</w:t>
      </w:r>
      <w:r>
        <w:rPr>
          <w:sz w:val="22"/>
          <w:szCs w:val="22"/>
        </w:rPr>
        <w:t xml:space="preserve"> disciplines: </w:t>
      </w:r>
      <w:r w:rsidR="006915C3">
        <w:rPr>
          <w:sz w:val="22"/>
          <w:szCs w:val="22"/>
        </w:rPr>
        <w:t xml:space="preserve">accounting, </w:t>
      </w:r>
      <w:r>
        <w:rPr>
          <w:sz w:val="22"/>
          <w:szCs w:val="22"/>
        </w:rPr>
        <w:t>economics, finance, and statistics.  These foundation subjects are taken by most undergraduate and postgraduate business students and so require high</w:t>
      </w:r>
      <w:r w:rsidR="006915C3">
        <w:rPr>
          <w:sz w:val="22"/>
          <w:szCs w:val="22"/>
        </w:rPr>
        <w:t>er</w:t>
      </w:r>
      <w:r>
        <w:rPr>
          <w:sz w:val="22"/>
          <w:szCs w:val="22"/>
        </w:rPr>
        <w:t xml:space="preserve"> order teaching and coordination skills.</w:t>
      </w:r>
    </w:p>
    <w:p w:rsidR="009B5533" w:rsidRDefault="009B5533" w:rsidP="009B5533">
      <w:pPr>
        <w:pStyle w:val="Default"/>
        <w:spacing w:after="120"/>
        <w:rPr>
          <w:sz w:val="22"/>
          <w:szCs w:val="22"/>
        </w:rPr>
      </w:pPr>
      <w:r>
        <w:rPr>
          <w:sz w:val="22"/>
          <w:szCs w:val="22"/>
        </w:rPr>
        <w:t xml:space="preserve">It is within this context that the Head, Department of Economics and Finance wishes to appoint a full-time continuing Level B Lecturer. The position is located at the Melbourne campus, but teaching may also be required at other campuses of the University or off-shore. </w:t>
      </w:r>
    </w:p>
    <w:p w:rsidR="006915C3" w:rsidRDefault="006915C3" w:rsidP="009B5533">
      <w:pPr>
        <w:pStyle w:val="Default"/>
        <w:spacing w:after="120"/>
        <w:rPr>
          <w:sz w:val="22"/>
          <w:szCs w:val="22"/>
        </w:rPr>
      </w:pPr>
      <w:r>
        <w:rPr>
          <w:sz w:val="22"/>
          <w:szCs w:val="22"/>
        </w:rPr>
        <w:t>A key requirement of the position will be to coordinate and deliver a foundation subject in, finance or in statistical methods, along with other potential teaching and subject management roles</w:t>
      </w:r>
      <w:r w:rsidRPr="006915C3">
        <w:rPr>
          <w:sz w:val="22"/>
          <w:szCs w:val="22"/>
        </w:rPr>
        <w:t xml:space="preserve"> </w:t>
      </w:r>
      <w:r>
        <w:rPr>
          <w:sz w:val="22"/>
          <w:szCs w:val="22"/>
        </w:rPr>
        <w:t xml:space="preserve">as determined by the Head of the Department. </w:t>
      </w:r>
    </w:p>
    <w:p w:rsidR="00523A35" w:rsidRPr="006915C3" w:rsidRDefault="006915C3" w:rsidP="006915C3">
      <w:pPr>
        <w:pStyle w:val="Default"/>
        <w:spacing w:after="120"/>
        <w:rPr>
          <w:sz w:val="22"/>
          <w:szCs w:val="22"/>
        </w:rPr>
      </w:pPr>
      <w:r>
        <w:rPr>
          <w:sz w:val="22"/>
          <w:szCs w:val="22"/>
        </w:rPr>
        <w:t xml:space="preserve">The appointee will be expected to foster excellence in teaching and learning in finance or statistics, </w:t>
      </w:r>
      <w:r w:rsidR="009B5533">
        <w:rPr>
          <w:sz w:val="22"/>
          <w:szCs w:val="22"/>
        </w:rPr>
        <w:t xml:space="preserve">contribute to the development of the research culture of the School, facilitate links between the School and industry, and participate in administrative and service activities as appropriate. </w:t>
      </w:r>
      <w:r w:rsidR="00523A35">
        <w:rPr>
          <w:b/>
          <w:bCs/>
          <w:sz w:val="22"/>
          <w:szCs w:val="22"/>
        </w:rPr>
        <w:br w:type="page"/>
      </w:r>
    </w:p>
    <w:p w:rsidR="00DE7D17" w:rsidRPr="00DD4712" w:rsidRDefault="00DE7D17" w:rsidP="00DE7D17">
      <w:pPr>
        <w:pStyle w:val="Default"/>
        <w:rPr>
          <w:b/>
          <w:bCs/>
          <w:sz w:val="22"/>
          <w:szCs w:val="22"/>
        </w:rPr>
      </w:pPr>
      <w:r w:rsidRPr="00DD4712">
        <w:rPr>
          <w:b/>
          <w:bCs/>
          <w:sz w:val="22"/>
          <w:szCs w:val="22"/>
        </w:rPr>
        <w:lastRenderedPageBreak/>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rsidR="00DE7D17" w:rsidRPr="00DD4712" w:rsidRDefault="00DE7D17" w:rsidP="00255958">
      <w:pPr>
        <w:pStyle w:val="Default"/>
        <w:spacing w:before="240"/>
        <w:rPr>
          <w:b/>
          <w:bCs/>
          <w:sz w:val="22"/>
          <w:szCs w:val="22"/>
        </w:rPr>
      </w:pPr>
      <w:r w:rsidRPr="00DD4712">
        <w:rPr>
          <w:b/>
          <w:bCs/>
          <w:sz w:val="22"/>
          <w:szCs w:val="22"/>
        </w:rPr>
        <w:t xml:space="preserve">Key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09706D" w:rsidRPr="0009706D" w:rsidRDefault="00523A35" w:rsidP="0009706D">
      <w:pPr>
        <w:pStyle w:val="Default"/>
        <w:numPr>
          <w:ilvl w:val="0"/>
          <w:numId w:val="24"/>
        </w:numPr>
      </w:pPr>
      <w:r w:rsidRPr="0009706D">
        <w:rPr>
          <w:sz w:val="22"/>
          <w:szCs w:val="22"/>
        </w:rPr>
        <w:t xml:space="preserve">Completion (or substantial completion) of a PhD in Finance (or cognate area), or a relevant </w:t>
      </w:r>
      <w:proofErr w:type="spellStart"/>
      <w:r w:rsidRPr="0009706D">
        <w:rPr>
          <w:sz w:val="22"/>
          <w:szCs w:val="22"/>
        </w:rPr>
        <w:t>Masters</w:t>
      </w:r>
      <w:proofErr w:type="spellEnd"/>
      <w:r w:rsidRPr="0009706D">
        <w:rPr>
          <w:sz w:val="22"/>
          <w:szCs w:val="22"/>
        </w:rPr>
        <w:t xml:space="preserve"> </w:t>
      </w:r>
      <w:proofErr w:type="gramStart"/>
      <w:r w:rsidRPr="0009706D">
        <w:rPr>
          <w:sz w:val="22"/>
          <w:szCs w:val="22"/>
        </w:rPr>
        <w:t>degree</w:t>
      </w:r>
      <w:proofErr w:type="gramEnd"/>
      <w:r w:rsidRPr="0009706D">
        <w:rPr>
          <w:sz w:val="22"/>
          <w:szCs w:val="22"/>
        </w:rPr>
        <w:t xml:space="preserve"> and relevant extensive professional experience and/or professional registration. </w:t>
      </w:r>
    </w:p>
    <w:p w:rsidR="0009706D" w:rsidRDefault="0009706D" w:rsidP="0009706D">
      <w:pPr>
        <w:pStyle w:val="Default"/>
        <w:numPr>
          <w:ilvl w:val="0"/>
          <w:numId w:val="24"/>
        </w:numPr>
        <w:rPr>
          <w:sz w:val="22"/>
          <w:szCs w:val="22"/>
        </w:rPr>
      </w:pPr>
      <w:r>
        <w:rPr>
          <w:sz w:val="22"/>
          <w:szCs w:val="22"/>
        </w:rPr>
        <w:t xml:space="preserve">Demonstrated effectiveness in curriculum development and in teaching in finance or statistics, with a commitment to excellence in teaching and student learning. </w:t>
      </w:r>
    </w:p>
    <w:p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rsidR="0009706D" w:rsidRPr="0009706D" w:rsidRDefault="0009706D" w:rsidP="0009706D">
      <w:pPr>
        <w:pStyle w:val="Default"/>
        <w:numPr>
          <w:ilvl w:val="0"/>
          <w:numId w:val="24"/>
        </w:numPr>
        <w:spacing w:after="68"/>
        <w:rPr>
          <w:sz w:val="22"/>
          <w:szCs w:val="22"/>
        </w:rPr>
      </w:pPr>
      <w:r>
        <w:rPr>
          <w:sz w:val="22"/>
          <w:szCs w:val="22"/>
        </w:rPr>
        <w:t>Demonstrated ability</w:t>
      </w:r>
      <w:r w:rsidR="00E30A7F" w:rsidRPr="00830506">
        <w:rPr>
          <w:sz w:val="22"/>
          <w:szCs w:val="22"/>
        </w:rPr>
        <w:t xml:space="preserve"> to supervise, or co-supervise, honours and postgraduate students. </w:t>
      </w:r>
    </w:p>
    <w:p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rsidR="00DE7D17" w:rsidRPr="00DD4712" w:rsidRDefault="00DE7D17" w:rsidP="00DE7D17">
      <w:pPr>
        <w:pStyle w:val="Default"/>
        <w:rPr>
          <w:sz w:val="22"/>
          <w:szCs w:val="22"/>
        </w:rPr>
      </w:pPr>
    </w:p>
    <w:p w:rsidR="0009706D" w:rsidRDefault="0009706D">
      <w:pPr>
        <w:widowControl/>
        <w:rPr>
          <w:rFonts w:ascii="Calibri" w:hAnsi="Calibri" w:cs="Calibri"/>
          <w:b/>
          <w:bCs/>
          <w:snapToGrid/>
          <w:color w:val="000000"/>
          <w:sz w:val="22"/>
          <w:szCs w:val="22"/>
          <w:lang w:val="en-AU" w:eastAsia="en-AU"/>
        </w:rPr>
      </w:pPr>
      <w:r>
        <w:rPr>
          <w:b/>
          <w:bCs/>
          <w:sz w:val="22"/>
          <w:szCs w:val="22"/>
        </w:rPr>
        <w:br w:type="page"/>
      </w: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rsidR="00A84E11" w:rsidRDefault="00DE7D17" w:rsidP="00A84E11">
      <w:pPr>
        <w:pStyle w:val="Default"/>
        <w:numPr>
          <w:ilvl w:val="0"/>
          <w:numId w:val="24"/>
        </w:numPr>
        <w:spacing w:after="68"/>
        <w:rPr>
          <w:sz w:val="22"/>
          <w:szCs w:val="22"/>
        </w:rPr>
      </w:pPr>
      <w:r w:rsidRPr="00DD4712">
        <w:rPr>
          <w:sz w:val="22"/>
          <w:szCs w:val="22"/>
        </w:rPr>
        <w:t>Graduate Certificate in Higher Education or similar evidence of professio</w:t>
      </w:r>
      <w:r w:rsidR="0009706D">
        <w:rPr>
          <w:sz w:val="22"/>
          <w:szCs w:val="22"/>
        </w:rPr>
        <w:t xml:space="preserve">nal preparation for </w:t>
      </w:r>
      <w:proofErr w:type="gramStart"/>
      <w:r w:rsidR="0009706D">
        <w:rPr>
          <w:sz w:val="22"/>
          <w:szCs w:val="22"/>
        </w:rPr>
        <w:t>HE</w:t>
      </w:r>
      <w:proofErr w:type="gramEnd"/>
      <w:r w:rsidR="0009706D">
        <w:rPr>
          <w:sz w:val="22"/>
          <w:szCs w:val="22"/>
        </w:rPr>
        <w:t xml:space="preserve"> teaching.</w:t>
      </w:r>
    </w:p>
    <w:p w:rsidR="0009706D" w:rsidRPr="0009706D" w:rsidRDefault="0009706D" w:rsidP="0009706D">
      <w:pPr>
        <w:pStyle w:val="Default"/>
        <w:numPr>
          <w:ilvl w:val="0"/>
          <w:numId w:val="24"/>
        </w:numPr>
        <w:spacing w:after="68"/>
        <w:rPr>
          <w:sz w:val="22"/>
          <w:szCs w:val="22"/>
        </w:rPr>
      </w:pPr>
      <w:r w:rsidRPr="0009706D">
        <w:rPr>
          <w:sz w:val="22"/>
          <w:szCs w:val="22"/>
        </w:rPr>
        <w:t>Knowledge of the accounting field and ability to teach into introductory accounting areas.</w:t>
      </w:r>
    </w:p>
    <w:p w:rsidR="0009706D" w:rsidRPr="0009706D" w:rsidRDefault="0009706D" w:rsidP="0009706D">
      <w:pPr>
        <w:pStyle w:val="Default"/>
        <w:numPr>
          <w:ilvl w:val="0"/>
          <w:numId w:val="24"/>
        </w:numPr>
        <w:spacing w:after="68"/>
        <w:rPr>
          <w:sz w:val="22"/>
          <w:szCs w:val="22"/>
        </w:rPr>
      </w:pPr>
      <w:r w:rsidRPr="0009706D">
        <w:rPr>
          <w:sz w:val="22"/>
          <w:szCs w:val="22"/>
        </w:rPr>
        <w:t>Research synergies with current Department or School research agendas.</w:t>
      </w:r>
    </w:p>
    <w:p w:rsidR="0009706D" w:rsidRDefault="0009706D" w:rsidP="0009706D">
      <w:pPr>
        <w:pStyle w:val="Default"/>
        <w:numPr>
          <w:ilvl w:val="0"/>
          <w:numId w:val="24"/>
        </w:numPr>
        <w:spacing w:after="68"/>
        <w:rPr>
          <w:sz w:val="22"/>
          <w:szCs w:val="22"/>
        </w:rPr>
      </w:pPr>
      <w:r w:rsidRPr="0009706D">
        <w:rPr>
          <w:sz w:val="22"/>
          <w:szCs w:val="22"/>
        </w:rPr>
        <w:t>Capacity to build sustainable relationships with a range of industry partners and to promote research and other links with outside organisations/agencies.</w:t>
      </w:r>
    </w:p>
    <w:p w:rsidR="00A84E11" w:rsidRDefault="00A84E11" w:rsidP="00A84E11">
      <w:pPr>
        <w:pStyle w:val="Default"/>
        <w:spacing w:after="68"/>
        <w:rPr>
          <w:sz w:val="22"/>
          <w:szCs w:val="22"/>
        </w:rPr>
      </w:pPr>
    </w:p>
    <w:p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rsidR="0009706D" w:rsidRPr="0009706D" w:rsidRDefault="0009706D" w:rsidP="00A84E11">
      <w:pPr>
        <w:pStyle w:val="Default"/>
        <w:spacing w:after="68"/>
        <w:rPr>
          <w:b/>
          <w:bCs/>
          <w:sz w:val="22"/>
          <w:szCs w:val="22"/>
        </w:rPr>
      </w:pPr>
    </w:p>
    <w:p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A62A57" w:rsidRDefault="00A62A57" w:rsidP="00A62A57">
      <w:pPr>
        <w:pStyle w:val="Default"/>
        <w:jc w:val="both"/>
        <w:rPr>
          <w:b/>
          <w:bCs/>
          <w:sz w:val="22"/>
          <w:szCs w:val="22"/>
        </w:rPr>
      </w:pPr>
    </w:p>
    <w:p w:rsidR="00A62A57" w:rsidRPr="00A62A57" w:rsidRDefault="00A62A57" w:rsidP="00A62A57">
      <w:pPr>
        <w:pStyle w:val="Default"/>
        <w:jc w:val="both"/>
        <w:rPr>
          <w:b/>
          <w:bCs/>
          <w:sz w:val="22"/>
          <w:szCs w:val="22"/>
        </w:rPr>
      </w:pPr>
      <w:r w:rsidRPr="00A62A57">
        <w:rPr>
          <w:b/>
          <w:bCs/>
          <w:sz w:val="22"/>
          <w:szCs w:val="22"/>
        </w:rPr>
        <w:t>Essential Compliance Requirements</w:t>
      </w:r>
    </w:p>
    <w:p w:rsidR="00A62A57" w:rsidRPr="00A62A57" w:rsidRDefault="00A62A57" w:rsidP="00A62A57">
      <w:pPr>
        <w:pStyle w:val="Default"/>
        <w:jc w:val="both"/>
        <w:rPr>
          <w:b/>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BD" w:rsidRDefault="00B149BD">
      <w:r>
        <w:separator/>
      </w:r>
    </w:p>
  </w:endnote>
  <w:endnote w:type="continuationSeparator" w:id="0">
    <w:p w:rsidR="00B149BD" w:rsidRDefault="00B1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BD" w:rsidRDefault="00B149BD">
      <w:r>
        <w:separator/>
      </w:r>
    </w:p>
  </w:footnote>
  <w:footnote w:type="continuationSeparator" w:id="0">
    <w:p w:rsidR="00B149BD" w:rsidRDefault="00B1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0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0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3D"/>
    <w:rsid w:val="0000438D"/>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9706D"/>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20DF"/>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B2020"/>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6613D"/>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3A35"/>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915C3"/>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21E4"/>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B5533"/>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149BD"/>
    <w:rsid w:val="00B20918"/>
    <w:rsid w:val="00B20CFC"/>
    <w:rsid w:val="00B220E8"/>
    <w:rsid w:val="00B33A77"/>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5E68009-47F2-C64E-92A6-FEB946BE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NormalWeb">
    <w:name w:val="Normal (Web)"/>
    <w:basedOn w:val="Normal"/>
    <w:uiPriority w:val="99"/>
    <w:semiHidden/>
    <w:unhideWhenUsed/>
    <w:rsid w:val="007821E4"/>
    <w:pPr>
      <w:widowControl/>
      <w:spacing w:before="100" w:beforeAutospacing="1" w:after="100" w:afterAutospacing="1"/>
    </w:pPr>
    <w:rPr>
      <w:rFonts w:ascii="Times New Roman" w:eastAsiaTheme="minorEastAsia"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8707</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Greg Jamieson</dc:creator>
  <cp:keywords/>
  <cp:lastModifiedBy>Deborah Dare</cp:lastModifiedBy>
  <cp:revision>2</cp:revision>
  <cp:lastPrinted>2017-12-19T05:07:00Z</cp:lastPrinted>
  <dcterms:created xsi:type="dcterms:W3CDTF">2018-05-24T23:51:00Z</dcterms:created>
  <dcterms:modified xsi:type="dcterms:W3CDTF">2018-05-24T23:51:00Z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