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D" w:rsidRDefault="000231BD" w:rsidP="000231BD">
      <w:bookmarkStart w:id="0" w:name="_GoBack"/>
      <w:bookmarkEnd w:id="0"/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753C66"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A8570C" w:rsidP="00B81C5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Case Manager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6E0009" w:rsidP="00C05C33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 Manager</w:t>
            </w:r>
            <w:r w:rsidR="00C05C33">
              <w:rPr>
                <w:sz w:val="22"/>
              </w:rPr>
              <w:t xml:space="preserve"> – Stuart Lodge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A8570C" w:rsidP="00A8570C">
            <w:pPr>
              <w:rPr>
                <w:sz w:val="22"/>
              </w:rPr>
            </w:pPr>
            <w:r w:rsidRPr="00A8570C">
              <w:rPr>
                <w:sz w:val="22"/>
              </w:rPr>
              <w:t xml:space="preserve">To provide assistance to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 xml:space="preserve">s in the provision of Welfare support services and supporting </w:t>
            </w:r>
            <w:r>
              <w:rPr>
                <w:sz w:val="22"/>
              </w:rPr>
              <w:t xml:space="preserve">Family Support Workers </w:t>
            </w:r>
            <w:r w:rsidRPr="00A8570C">
              <w:rPr>
                <w:sz w:val="22"/>
              </w:rPr>
              <w:t>to do the same</w:t>
            </w:r>
            <w:r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Pathways for life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Our vision is to see a fairer Australia by enabling people in need find pathways to a better life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A8570C" w:rsidP="006E0009">
            <w:pPr>
              <w:rPr>
                <w:sz w:val="22"/>
              </w:rPr>
            </w:pPr>
            <w:r w:rsidRPr="00A8570C">
              <w:rPr>
                <w:sz w:val="22"/>
              </w:rPr>
              <w:t xml:space="preserve">To support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 and other staff in the provision of welfare support, in particular the provision of services to face homelessness and other related issues.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A8570C" w:rsidP="00036BC8">
            <w:pPr>
              <w:ind w:left="884" w:hanging="884"/>
              <w:rPr>
                <w:sz w:val="22"/>
              </w:rPr>
            </w:pPr>
            <w:r w:rsidRPr="00A8570C">
              <w:rPr>
                <w:sz w:val="22"/>
              </w:rPr>
              <w:t xml:space="preserve">The ability to work with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 who are facing challenging and multiple barriers</w:t>
            </w:r>
            <w:r>
              <w:rPr>
                <w:sz w:val="22"/>
              </w:rPr>
              <w:t>.</w:t>
            </w: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8570C" w:rsidRPr="00A8570C" w:rsidRDefault="009B22A9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Participant</w:t>
            </w:r>
            <w:r w:rsidR="00A8570C" w:rsidRPr="00A8570C">
              <w:rPr>
                <w:color w:val="000000"/>
                <w:sz w:val="22"/>
                <w:szCs w:val="22"/>
              </w:rPr>
              <w:t xml:space="preserve"> Support</w:t>
            </w:r>
          </w:p>
          <w:p w:rsidR="00A8570C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>Relationship management</w:t>
            </w:r>
          </w:p>
          <w:p w:rsidR="006E0009" w:rsidRPr="00A8570C" w:rsidRDefault="00F962DB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Program Management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:rsidR="00753C66" w:rsidRDefault="00753C66" w:rsidP="002E6D88">
      <w:pPr>
        <w:keepNext/>
        <w:keepLines/>
        <w:spacing w:before="480" w:after="0" w:line="276" w:lineRule="auto"/>
        <w:ind w:left="720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 </w:t>
      </w:r>
    </w:p>
    <w:p w:rsidR="00F223CF" w:rsidRPr="00BF4CC4" w:rsidRDefault="00DB1DED" w:rsidP="004B05C4">
      <w:pPr>
        <w:pStyle w:val="x6MAdiagramFuchia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1880E1A1" wp14:editId="235C8F9E">
                <wp:simplePos x="0" y="0"/>
                <wp:positionH relativeFrom="column">
                  <wp:posOffset>4175124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28.75pt;margin-top:19.8pt;width:0;height:18.6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" strokecolor="#ec268c"/>
            </w:pict>
          </mc:Fallback>
        </mc:AlternateContent>
      </w:r>
      <w:r w:rsidR="00A32E7E">
        <w:t xml:space="preserve">Housing </w:t>
      </w:r>
      <w:r w:rsidR="00C342BE">
        <w:t xml:space="preserve">Program </w:t>
      </w:r>
      <w:r w:rsidR="00F223CF" w:rsidRPr="00BF4CC4">
        <w:t xml:space="preserve">Manager </w:t>
      </w:r>
      <w:r w:rsidR="00F223CF" w:rsidRPr="00BF4CC4">
        <w:br/>
      </w:r>
    </w:p>
    <w:p w:rsidR="00F223CF" w:rsidRPr="003321D9" w:rsidRDefault="00A8570C" w:rsidP="004B05C4">
      <w:pPr>
        <w:pStyle w:val="x6MAdiagramplum"/>
        <w:rPr>
          <w:u w:val="single"/>
        </w:rPr>
      </w:pPr>
      <w:r w:rsidRPr="003321D9">
        <w:rPr>
          <w:noProof/>
          <w:u w:val="single"/>
        </w:rPr>
        <w:t>Case Manager</w:t>
      </w:r>
      <w:r w:rsidR="005F71CC" w:rsidRPr="003321D9">
        <w:rPr>
          <w:u w:val="single"/>
        </w:rPr>
        <w:t xml:space="preserve"> </w:t>
      </w:r>
      <w:r w:rsidR="00F223CF" w:rsidRPr="003321D9">
        <w:rPr>
          <w:u w:val="single"/>
        </w:rPr>
        <w:br/>
      </w:r>
    </w:p>
    <w:p w:rsidR="00EA745B" w:rsidRPr="00EA745B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5F71CC" w:rsidP="005F71CC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9B22A9" w:rsidP="005F71CC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Participant</w:t>
            </w:r>
            <w:r w:rsidR="00A8570C">
              <w:rPr>
                <w:b/>
                <w:color w:val="FFFFFF" w:themeColor="background1"/>
              </w:rPr>
              <w:t xml:space="preserve"> Support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A8570C" w:rsidRPr="00A8570C" w:rsidRDefault="00A8570C" w:rsidP="00A8570C">
            <w:pPr>
              <w:ind w:left="460" w:hanging="460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 xml:space="preserve">Respond to referrals of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 to the service from internal and external support services and conduct over-the-phone and formal face-to-face assessments of suitability for support.</w:t>
            </w:r>
          </w:p>
          <w:p w:rsidR="00A8570C" w:rsidRPr="00A8570C" w:rsidRDefault="00A8570C" w:rsidP="00A8570C">
            <w:pPr>
              <w:ind w:left="460" w:hanging="460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 xml:space="preserve">Undertake initial registrations for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s, including all necessary paperwork and application forms.</w:t>
            </w:r>
          </w:p>
          <w:p w:rsidR="00A8570C" w:rsidRPr="00A8570C" w:rsidRDefault="00A8570C" w:rsidP="00A8570C">
            <w:pPr>
              <w:ind w:left="460" w:hanging="460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 xml:space="preserve">Work with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 xml:space="preserve">s </w:t>
            </w:r>
            <w:r w:rsidR="001D2724">
              <w:rPr>
                <w:sz w:val="22"/>
              </w:rPr>
              <w:t>to create individualized case</w:t>
            </w:r>
            <w:r w:rsidRPr="00A8570C">
              <w:rPr>
                <w:sz w:val="22"/>
              </w:rPr>
              <w:t xml:space="preserve"> plans including referral to supplementary services as needed.</w:t>
            </w:r>
          </w:p>
          <w:p w:rsidR="00A8570C" w:rsidRPr="00A8570C" w:rsidRDefault="00A8570C" w:rsidP="00A8570C">
            <w:pPr>
              <w:ind w:left="460" w:hanging="460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>Provide intensive ongoing case management sessions (f</w:t>
            </w:r>
            <w:r w:rsidR="009B22A9">
              <w:rPr>
                <w:sz w:val="22"/>
              </w:rPr>
              <w:t>ormal and informal) with participants</w:t>
            </w:r>
            <w:r w:rsidRPr="00A8570C">
              <w:rPr>
                <w:sz w:val="22"/>
              </w:rPr>
              <w:t xml:space="preserve"> and review progression against case plans and provide informal counselling as required.</w:t>
            </w:r>
          </w:p>
          <w:p w:rsidR="00A8570C" w:rsidRPr="00A8570C" w:rsidRDefault="00A8570C" w:rsidP="00A8570C">
            <w:pPr>
              <w:ind w:left="460" w:hanging="460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</w:r>
            <w:r w:rsidR="00332F2E" w:rsidRPr="00A8570C">
              <w:rPr>
                <w:sz w:val="22"/>
              </w:rPr>
              <w:t xml:space="preserve">Assist </w:t>
            </w:r>
            <w:r w:rsidR="009B22A9">
              <w:rPr>
                <w:sz w:val="22"/>
              </w:rPr>
              <w:t>participant</w:t>
            </w:r>
            <w:r w:rsidR="00332F2E" w:rsidRPr="00A8570C">
              <w:rPr>
                <w:sz w:val="22"/>
              </w:rPr>
              <w:t>s</w:t>
            </w:r>
            <w:r w:rsidRPr="00A8570C">
              <w:rPr>
                <w:sz w:val="22"/>
              </w:rPr>
              <w:t xml:space="preserve"> whilst at the service through brief intervention and referral to suitable services. </w:t>
            </w:r>
          </w:p>
          <w:p w:rsidR="00A8570C" w:rsidRPr="00A8570C" w:rsidRDefault="00A8570C" w:rsidP="00A8570C">
            <w:pPr>
              <w:ind w:left="460" w:hanging="460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 xml:space="preserve">Assist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 in the process of transition out of the service into independence or other services.</w:t>
            </w:r>
          </w:p>
          <w:p w:rsidR="005F71CC" w:rsidRDefault="00A8570C" w:rsidP="00A8570C">
            <w:pPr>
              <w:spacing w:after="0"/>
              <w:ind w:left="460" w:hanging="460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 xml:space="preserve">Conduct group case management sessions for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 where necessary and appropriate such as living skills, budgeting etc.</w:t>
            </w:r>
          </w:p>
          <w:p w:rsidR="00561CFE" w:rsidRDefault="00561CFE" w:rsidP="00561CFE">
            <w:pPr>
              <w:spacing w:after="0"/>
              <w:rPr>
                <w:sz w:val="22"/>
              </w:rPr>
            </w:pPr>
          </w:p>
          <w:p w:rsidR="00561CFE" w:rsidRDefault="00561CFE" w:rsidP="00561CFE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rPr>
                <w:sz w:val="22"/>
              </w:rPr>
            </w:pPr>
            <w:r>
              <w:rPr>
                <w:sz w:val="22"/>
              </w:rPr>
              <w:t xml:space="preserve">  Other duties as directed</w:t>
            </w:r>
          </w:p>
          <w:p w:rsidR="00561CFE" w:rsidRPr="00561CFE" w:rsidRDefault="00561CFE" w:rsidP="00561CFE">
            <w:pPr>
              <w:pStyle w:val="ListParagraph"/>
              <w:spacing w:after="0"/>
              <w:ind w:left="357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8570C" w:rsidRPr="00A8570C" w:rsidRDefault="00A8570C" w:rsidP="00A8570C">
            <w:pPr>
              <w:spacing w:after="360"/>
              <w:ind w:left="459" w:hanging="459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 xml:space="preserve">All referrals are responded to and appropriate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 are selected for the program.</w:t>
            </w:r>
          </w:p>
          <w:p w:rsidR="00A8570C" w:rsidRPr="00A8570C" w:rsidRDefault="00A8570C" w:rsidP="00A8570C">
            <w:pPr>
              <w:ind w:left="459" w:hanging="459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>Thorough registrations are conducted and all required paperwork is completed and put on file</w:t>
            </w:r>
            <w:r>
              <w:rPr>
                <w:sz w:val="22"/>
              </w:rPr>
              <w:t>.</w:t>
            </w:r>
          </w:p>
          <w:p w:rsidR="00A8570C" w:rsidRPr="00A8570C" w:rsidRDefault="00A8570C" w:rsidP="00A8570C">
            <w:pPr>
              <w:ind w:left="459" w:hanging="459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 are thoroughly indicted into the service and are fully aware of their rights and responsibilities.</w:t>
            </w:r>
          </w:p>
          <w:p w:rsidR="00A8570C" w:rsidRPr="00A8570C" w:rsidRDefault="00A8570C" w:rsidP="00A8570C">
            <w:pPr>
              <w:ind w:left="459" w:hanging="459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 xml:space="preserve">Support plans are created for all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 in line with Mission Australia best practice.</w:t>
            </w:r>
          </w:p>
          <w:p w:rsidR="00A8570C" w:rsidRPr="00A8570C" w:rsidRDefault="00A8570C" w:rsidP="00A8570C">
            <w:pPr>
              <w:spacing w:after="360"/>
              <w:ind w:left="459" w:hanging="459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 xml:space="preserve">Ongoing support is provided for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 xml:space="preserve"> that meets their individual needs and situation.</w:t>
            </w:r>
          </w:p>
          <w:p w:rsidR="00A8570C" w:rsidRPr="00A8570C" w:rsidRDefault="00332F2E" w:rsidP="00A8570C">
            <w:pPr>
              <w:ind w:left="459" w:hanging="459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</w:t>
            </w:r>
            <w:r w:rsidR="00A8570C" w:rsidRPr="00A8570C">
              <w:rPr>
                <w:sz w:val="22"/>
              </w:rPr>
              <w:t xml:space="preserve"> are supported whilst at the service and offered appropriate referral to other services. </w:t>
            </w:r>
          </w:p>
          <w:p w:rsidR="00A8570C" w:rsidRPr="00A8570C" w:rsidRDefault="00A8570C" w:rsidP="00A8570C">
            <w:pPr>
              <w:spacing w:after="0"/>
              <w:ind w:left="459" w:hanging="459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 are effectively transitioned out of the service where appropriate and offered ongoing support from internal services.</w:t>
            </w:r>
          </w:p>
          <w:p w:rsidR="008A0472" w:rsidRPr="00B76B2D" w:rsidRDefault="00A8570C" w:rsidP="00A8570C">
            <w:pPr>
              <w:spacing w:before="240" w:after="480"/>
              <w:ind w:left="459" w:hanging="459"/>
              <w:rPr>
                <w:sz w:val="22"/>
              </w:rPr>
            </w:pPr>
            <w:r w:rsidRPr="00A8570C">
              <w:rPr>
                <w:sz w:val="22"/>
              </w:rPr>
              <w:t>•</w:t>
            </w:r>
            <w:r w:rsidRPr="00A8570C">
              <w:rPr>
                <w:sz w:val="22"/>
              </w:rPr>
              <w:tab/>
              <w:t xml:space="preserve">Group sessions are conducted for </w:t>
            </w:r>
            <w:r w:rsidR="009B22A9">
              <w:rPr>
                <w:sz w:val="22"/>
              </w:rPr>
              <w:t>participant</w:t>
            </w:r>
            <w:r w:rsidRPr="00A8570C">
              <w:rPr>
                <w:sz w:val="22"/>
              </w:rPr>
              <w:t>s as appropriate.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A8570C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Relationship Management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8570C" w:rsidRPr="00E55F43" w:rsidRDefault="00A8570C" w:rsidP="00A8570C">
            <w:pPr>
              <w:ind w:left="460" w:hanging="460"/>
              <w:rPr>
                <w:sz w:val="22"/>
              </w:rPr>
            </w:pPr>
            <w:r w:rsidRPr="00E55F43">
              <w:rPr>
                <w:sz w:val="22"/>
              </w:rPr>
              <w:t>•</w:t>
            </w:r>
            <w:r w:rsidRPr="00E55F43">
              <w:rPr>
                <w:sz w:val="22"/>
              </w:rPr>
              <w:tab/>
              <w:t xml:space="preserve">Develop strong internal relationships with </w:t>
            </w:r>
            <w:r w:rsidR="009B22A9" w:rsidRPr="00E55F43">
              <w:rPr>
                <w:sz w:val="22"/>
              </w:rPr>
              <w:t>participant</w:t>
            </w:r>
            <w:r w:rsidRPr="00E55F43">
              <w:rPr>
                <w:sz w:val="22"/>
              </w:rPr>
              <w:t>s and other staff to contribute to the effective functioning of the service and improved outcomes.</w:t>
            </w:r>
          </w:p>
          <w:p w:rsidR="004C0591" w:rsidRPr="00E55F43" w:rsidRDefault="00A8570C" w:rsidP="004C0591">
            <w:pPr>
              <w:ind w:left="460" w:hanging="460"/>
              <w:rPr>
                <w:sz w:val="22"/>
              </w:rPr>
            </w:pPr>
            <w:r w:rsidRPr="00E55F43">
              <w:rPr>
                <w:sz w:val="22"/>
              </w:rPr>
              <w:t xml:space="preserve">•       Develop strong relationships with key external stakeholders including other service providers, community service workers, government agencies etc. to assist in the receipt of information and referral of </w:t>
            </w:r>
            <w:r w:rsidR="009B22A9" w:rsidRPr="00E55F43">
              <w:rPr>
                <w:sz w:val="22"/>
              </w:rPr>
              <w:t>participant</w:t>
            </w:r>
            <w:r w:rsidRPr="00E55F43">
              <w:rPr>
                <w:sz w:val="22"/>
              </w:rPr>
              <w:t>s.</w:t>
            </w:r>
          </w:p>
          <w:p w:rsidR="004C0591" w:rsidRPr="00E55F43" w:rsidRDefault="004C0591" w:rsidP="004C0591">
            <w:pPr>
              <w:ind w:left="460" w:hanging="460"/>
              <w:rPr>
                <w:sz w:val="22"/>
              </w:rPr>
            </w:pPr>
            <w:r w:rsidRPr="00E55F43">
              <w:rPr>
                <w:sz w:val="22"/>
              </w:rPr>
              <w:t>•       Be accountable for the health, safety and well-being of staff by demonstrating compliance and internal policies and procedures related to WHS.</w:t>
            </w:r>
          </w:p>
          <w:p w:rsidR="002A03C5" w:rsidRPr="00E55F43" w:rsidRDefault="002A03C5" w:rsidP="004C0591">
            <w:pPr>
              <w:ind w:left="460" w:hanging="460"/>
              <w:rPr>
                <w:sz w:val="22"/>
              </w:rPr>
            </w:pPr>
            <w:r w:rsidRPr="00E55F43">
              <w:rPr>
                <w:sz w:val="22"/>
              </w:rPr>
              <w:t>•       Performance reviews and evaluations are conducted with encouragement and developmental coaching and counselling as required.</w:t>
            </w:r>
          </w:p>
          <w:p w:rsidR="002A03C5" w:rsidRPr="00E55F43" w:rsidRDefault="002A03C5" w:rsidP="004C0591">
            <w:pPr>
              <w:ind w:left="460" w:hanging="460"/>
              <w:rPr>
                <w:sz w:val="22"/>
              </w:rPr>
            </w:pPr>
            <w:r w:rsidRPr="00E55F43">
              <w:rPr>
                <w:sz w:val="22"/>
              </w:rPr>
              <w:t>•      Identify and support staff training and development needs.</w:t>
            </w:r>
          </w:p>
          <w:p w:rsidR="002A03C5" w:rsidRPr="00E55F43" w:rsidRDefault="002A03C5" w:rsidP="004C0591">
            <w:pPr>
              <w:ind w:left="460" w:hanging="460"/>
              <w:rPr>
                <w:sz w:val="22"/>
              </w:rPr>
            </w:pPr>
            <w:r w:rsidRPr="00E55F43">
              <w:rPr>
                <w:sz w:val="22"/>
              </w:rPr>
              <w:t>•      Thoroughly induct and train new and exis</w:t>
            </w:r>
            <w:r w:rsidR="00883787" w:rsidRPr="00E55F43">
              <w:rPr>
                <w:sz w:val="22"/>
              </w:rPr>
              <w:t xml:space="preserve">ting members of staff to ensure </w:t>
            </w:r>
            <w:r w:rsidRPr="00E55F43">
              <w:rPr>
                <w:sz w:val="22"/>
              </w:rPr>
              <w:t>appropriate knowledge of the organisation, work practices and governing internal and external policies and procedures.</w:t>
            </w:r>
          </w:p>
          <w:p w:rsidR="002A03C5" w:rsidRPr="00E55F43" w:rsidRDefault="002A03C5" w:rsidP="004C0591">
            <w:pPr>
              <w:ind w:left="460" w:hanging="460"/>
              <w:rPr>
                <w:rFonts w:ascii="Symbol" w:hAnsi="Symbol"/>
                <w:sz w:val="22"/>
              </w:rPr>
            </w:pPr>
            <w:r w:rsidRPr="00E55F43">
              <w:rPr>
                <w:sz w:val="22"/>
              </w:rPr>
              <w:t>•       Demonstrates leadership of the team and is responsible for the effective people management and development of direct reports.</w:t>
            </w:r>
          </w:p>
          <w:p w:rsidR="005F71CC" w:rsidRPr="00E55F43" w:rsidRDefault="00561CFE" w:rsidP="00561CFE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sz w:val="22"/>
              </w:rPr>
            </w:pPr>
            <w:r w:rsidRPr="00E55F43">
              <w:rPr>
                <w:sz w:val="22"/>
              </w:rPr>
              <w:t>Other duties as directed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6F2D" w:rsidRPr="00E55F43" w:rsidRDefault="00756F2D" w:rsidP="00756F2D">
            <w:pPr>
              <w:spacing w:after="360"/>
              <w:ind w:left="459" w:hanging="459"/>
              <w:rPr>
                <w:sz w:val="22"/>
              </w:rPr>
            </w:pPr>
            <w:r w:rsidRPr="00E55F43">
              <w:rPr>
                <w:sz w:val="22"/>
              </w:rPr>
              <w:t>•</w:t>
            </w:r>
            <w:r w:rsidRPr="00E55F43">
              <w:rPr>
                <w:sz w:val="22"/>
              </w:rPr>
              <w:tab/>
              <w:t xml:space="preserve"> Strong internal relationships are developed resulting in improved service functioning and service outcomes. </w:t>
            </w:r>
          </w:p>
          <w:p w:rsidR="005F71CC" w:rsidRPr="00E55F43" w:rsidRDefault="00756F2D" w:rsidP="00756F2D">
            <w:pPr>
              <w:ind w:left="459" w:hanging="459"/>
              <w:rPr>
                <w:sz w:val="22"/>
              </w:rPr>
            </w:pPr>
            <w:r w:rsidRPr="00E55F43">
              <w:rPr>
                <w:sz w:val="22"/>
              </w:rPr>
              <w:t>•</w:t>
            </w:r>
            <w:r w:rsidRPr="00E55F43">
              <w:rPr>
                <w:sz w:val="22"/>
              </w:rPr>
              <w:tab/>
              <w:t xml:space="preserve">Strong external relationships result in effective interaction with service and appropriate referral of </w:t>
            </w:r>
            <w:r w:rsidR="009B22A9" w:rsidRPr="00E55F43">
              <w:rPr>
                <w:sz w:val="22"/>
              </w:rPr>
              <w:t>participant</w:t>
            </w:r>
            <w:r w:rsidRPr="00E55F43">
              <w:rPr>
                <w:sz w:val="22"/>
              </w:rPr>
              <w:t>s.</w:t>
            </w:r>
          </w:p>
          <w:p w:rsidR="002A03C5" w:rsidRPr="00E55F43" w:rsidRDefault="002A03C5" w:rsidP="00756F2D">
            <w:pPr>
              <w:ind w:left="459" w:hanging="459"/>
              <w:rPr>
                <w:sz w:val="22"/>
              </w:rPr>
            </w:pPr>
          </w:p>
          <w:p w:rsidR="002A03C5" w:rsidRPr="00E55F43" w:rsidRDefault="002A03C5" w:rsidP="002A03C5">
            <w:pPr>
              <w:ind w:left="459" w:hanging="459"/>
              <w:rPr>
                <w:sz w:val="22"/>
              </w:rPr>
            </w:pPr>
            <w:r w:rsidRPr="00E55F43">
              <w:rPr>
                <w:sz w:val="22"/>
              </w:rPr>
              <w:t xml:space="preserve">•       </w:t>
            </w:r>
            <w:r w:rsidR="00E55F43" w:rsidRPr="00E55F43">
              <w:rPr>
                <w:sz w:val="22"/>
              </w:rPr>
              <w:t>Staff</w:t>
            </w:r>
            <w:r w:rsidRPr="00E55F43">
              <w:rPr>
                <w:sz w:val="22"/>
              </w:rPr>
              <w:t xml:space="preserve"> </w:t>
            </w:r>
            <w:r w:rsidR="00FF705A" w:rsidRPr="00E55F43">
              <w:rPr>
                <w:sz w:val="22"/>
              </w:rPr>
              <w:t>is</w:t>
            </w:r>
            <w:r w:rsidRPr="00E55F43">
              <w:rPr>
                <w:sz w:val="22"/>
              </w:rPr>
              <w:t xml:space="preserve"> aware of safety procedures in line with internal policy and procedure.    </w:t>
            </w:r>
          </w:p>
          <w:p w:rsidR="002A03C5" w:rsidRPr="00E55F43" w:rsidRDefault="002A03C5" w:rsidP="002A03C5">
            <w:pPr>
              <w:ind w:left="459" w:hanging="459"/>
              <w:rPr>
                <w:sz w:val="22"/>
              </w:rPr>
            </w:pPr>
          </w:p>
          <w:p w:rsidR="002A03C5" w:rsidRPr="00E55F43" w:rsidRDefault="002A03C5" w:rsidP="002A03C5">
            <w:pPr>
              <w:ind w:left="459" w:hanging="459"/>
              <w:rPr>
                <w:sz w:val="22"/>
              </w:rPr>
            </w:pPr>
            <w:r w:rsidRPr="00E55F43">
              <w:rPr>
                <w:sz w:val="22"/>
              </w:rPr>
              <w:t>•       Annual performance reviews are inducted and evaluate includes new staff members under probation.</w:t>
            </w:r>
          </w:p>
          <w:p w:rsidR="002A03C5" w:rsidRPr="00E55F43" w:rsidRDefault="002A03C5" w:rsidP="002A03C5">
            <w:pPr>
              <w:ind w:left="459" w:hanging="459"/>
              <w:rPr>
                <w:sz w:val="22"/>
              </w:rPr>
            </w:pPr>
          </w:p>
          <w:p w:rsidR="002A03C5" w:rsidRPr="00E55F43" w:rsidRDefault="002A03C5" w:rsidP="002A03C5">
            <w:pPr>
              <w:ind w:left="459" w:hanging="459"/>
              <w:rPr>
                <w:sz w:val="22"/>
              </w:rPr>
            </w:pPr>
            <w:r w:rsidRPr="00E55F43">
              <w:rPr>
                <w:sz w:val="22"/>
              </w:rPr>
              <w:t>•       Provide support and training to both new and existing staff members</w:t>
            </w:r>
          </w:p>
          <w:p w:rsidR="002A03C5" w:rsidRPr="00E55F43" w:rsidRDefault="002A03C5" w:rsidP="002A03C5">
            <w:pPr>
              <w:ind w:left="459" w:hanging="459"/>
              <w:rPr>
                <w:sz w:val="22"/>
              </w:rPr>
            </w:pPr>
            <w:r w:rsidRPr="00E55F43">
              <w:rPr>
                <w:sz w:val="22"/>
              </w:rPr>
              <w:t>•       Staffs are provided with updated of changes within the organisation and are familiar with internal and external policies and procedures.</w:t>
            </w:r>
          </w:p>
          <w:p w:rsidR="002A03C5" w:rsidRPr="00E55F43" w:rsidRDefault="002A03C5" w:rsidP="002A03C5">
            <w:pPr>
              <w:ind w:left="459" w:hanging="459"/>
              <w:rPr>
                <w:sz w:val="22"/>
              </w:rPr>
            </w:pPr>
          </w:p>
          <w:p w:rsidR="002A03C5" w:rsidRPr="00E55F43" w:rsidRDefault="002A03C5" w:rsidP="002A03C5">
            <w:pPr>
              <w:ind w:left="459" w:hanging="459"/>
              <w:rPr>
                <w:sz w:val="22"/>
              </w:rPr>
            </w:pPr>
            <w:r w:rsidRPr="00E55F43">
              <w:rPr>
                <w:sz w:val="22"/>
              </w:rPr>
              <w:t xml:space="preserve">•       </w:t>
            </w:r>
            <w:r w:rsidR="00000B29" w:rsidRPr="00E55F43">
              <w:rPr>
                <w:sz w:val="22"/>
              </w:rPr>
              <w:t>Leading the team in the delivery of program requirements to participants, as per the agreed operating procedures and guidelines.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440A13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 Management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6F2D" w:rsidRPr="00756F2D" w:rsidRDefault="00756F2D" w:rsidP="00756F2D">
            <w:pPr>
              <w:ind w:left="460" w:hanging="460"/>
              <w:rPr>
                <w:sz w:val="22"/>
              </w:rPr>
            </w:pPr>
            <w:r w:rsidRPr="00756F2D">
              <w:rPr>
                <w:sz w:val="22"/>
              </w:rPr>
              <w:t>•</w:t>
            </w:r>
            <w:r w:rsidRPr="00756F2D">
              <w:rPr>
                <w:sz w:val="22"/>
              </w:rPr>
              <w:tab/>
              <w:t xml:space="preserve">Create and update individualized case management files for all </w:t>
            </w:r>
            <w:r w:rsidR="009B22A9">
              <w:rPr>
                <w:sz w:val="22"/>
              </w:rPr>
              <w:t>participant</w:t>
            </w:r>
            <w:r w:rsidRPr="00756F2D">
              <w:rPr>
                <w:sz w:val="22"/>
              </w:rPr>
              <w:t>s in line with Mission Australia protocols.</w:t>
            </w:r>
          </w:p>
          <w:p w:rsidR="00756F2D" w:rsidRPr="00756F2D" w:rsidRDefault="00756F2D" w:rsidP="00756F2D">
            <w:pPr>
              <w:ind w:left="460" w:hanging="460"/>
              <w:rPr>
                <w:sz w:val="22"/>
              </w:rPr>
            </w:pPr>
            <w:r w:rsidRPr="00756F2D">
              <w:rPr>
                <w:sz w:val="22"/>
              </w:rPr>
              <w:t>•</w:t>
            </w:r>
            <w:r w:rsidRPr="00756F2D">
              <w:rPr>
                <w:sz w:val="22"/>
              </w:rPr>
              <w:tab/>
              <w:t xml:space="preserve">Ensure that all required internal and external </w:t>
            </w:r>
            <w:r w:rsidR="009B22A9">
              <w:rPr>
                <w:sz w:val="22"/>
              </w:rPr>
              <w:t>participant</w:t>
            </w:r>
            <w:r w:rsidRPr="00756F2D">
              <w:rPr>
                <w:sz w:val="22"/>
              </w:rPr>
              <w:t xml:space="preserve"> paperwork is completed and copies kept on file.</w:t>
            </w:r>
          </w:p>
          <w:p w:rsidR="00756F2D" w:rsidRPr="00756F2D" w:rsidRDefault="00756F2D" w:rsidP="00756F2D">
            <w:pPr>
              <w:ind w:left="460" w:hanging="460"/>
              <w:rPr>
                <w:sz w:val="22"/>
              </w:rPr>
            </w:pPr>
            <w:r w:rsidRPr="00756F2D">
              <w:rPr>
                <w:sz w:val="22"/>
              </w:rPr>
              <w:t>•</w:t>
            </w:r>
            <w:r w:rsidRPr="00756F2D">
              <w:rPr>
                <w:sz w:val="22"/>
              </w:rPr>
              <w:tab/>
              <w:t xml:space="preserve">Undertake a range of case management duties to support the development of </w:t>
            </w:r>
            <w:r w:rsidR="009B22A9">
              <w:rPr>
                <w:sz w:val="22"/>
              </w:rPr>
              <w:t>participant</w:t>
            </w:r>
            <w:r w:rsidRPr="00756F2D">
              <w:rPr>
                <w:sz w:val="22"/>
              </w:rPr>
              <w:t>s including referrals and support letter, interaction with other service providers, appointment setting and advocacy internally and externally</w:t>
            </w:r>
          </w:p>
          <w:p w:rsidR="00756F2D" w:rsidRPr="00756F2D" w:rsidRDefault="00756F2D" w:rsidP="00756F2D">
            <w:pPr>
              <w:ind w:left="460" w:hanging="460"/>
              <w:rPr>
                <w:sz w:val="22"/>
              </w:rPr>
            </w:pPr>
            <w:r w:rsidRPr="00756F2D">
              <w:rPr>
                <w:sz w:val="22"/>
              </w:rPr>
              <w:t>•</w:t>
            </w:r>
            <w:r w:rsidRPr="00756F2D">
              <w:rPr>
                <w:sz w:val="22"/>
              </w:rPr>
              <w:tab/>
              <w:t xml:space="preserve">Complete a range of internal and external reports relating to </w:t>
            </w:r>
            <w:r w:rsidR="009B22A9">
              <w:rPr>
                <w:sz w:val="22"/>
              </w:rPr>
              <w:t>participant</w:t>
            </w:r>
            <w:r w:rsidRPr="00756F2D">
              <w:rPr>
                <w:sz w:val="22"/>
              </w:rPr>
              <w:t xml:space="preserve">s including case management statistics, feedback summaries and yearly outcomes reports. </w:t>
            </w:r>
          </w:p>
          <w:p w:rsidR="005F71CC" w:rsidRDefault="00756F2D" w:rsidP="00756F2D">
            <w:pPr>
              <w:ind w:left="460" w:hanging="460"/>
              <w:rPr>
                <w:sz w:val="22"/>
              </w:rPr>
            </w:pPr>
            <w:r w:rsidRPr="00756F2D">
              <w:rPr>
                <w:sz w:val="22"/>
              </w:rPr>
              <w:t>•</w:t>
            </w:r>
            <w:r w:rsidRPr="00756F2D">
              <w:rPr>
                <w:sz w:val="22"/>
              </w:rPr>
              <w:tab/>
              <w:t>Complete a range of other administrative duties for the efficient running of the service including statistics, reports, referral letters, goals plans etc.</w:t>
            </w:r>
          </w:p>
          <w:p w:rsidR="00561CFE" w:rsidRPr="00561CFE" w:rsidRDefault="00561CFE" w:rsidP="00561CFE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sz w:val="22"/>
              </w:rPr>
            </w:pPr>
            <w:r w:rsidRPr="00561CFE">
              <w:rPr>
                <w:sz w:val="22"/>
              </w:rPr>
              <w:t>Other duties as directed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6F2D" w:rsidRPr="00756F2D" w:rsidRDefault="00756F2D" w:rsidP="00756F2D">
            <w:pPr>
              <w:ind w:left="459" w:hanging="459"/>
              <w:rPr>
                <w:sz w:val="22"/>
              </w:rPr>
            </w:pPr>
            <w:r w:rsidRPr="00756F2D">
              <w:rPr>
                <w:sz w:val="22"/>
              </w:rPr>
              <w:t>•</w:t>
            </w:r>
            <w:r w:rsidRPr="00756F2D">
              <w:rPr>
                <w:sz w:val="22"/>
              </w:rPr>
              <w:tab/>
              <w:t>Case management files are created in required standard and updated regularly.</w:t>
            </w:r>
          </w:p>
          <w:p w:rsidR="00756F2D" w:rsidRPr="00756F2D" w:rsidRDefault="00756F2D" w:rsidP="00756F2D">
            <w:pPr>
              <w:spacing w:after="360"/>
              <w:ind w:left="459" w:hanging="459"/>
              <w:rPr>
                <w:sz w:val="22"/>
              </w:rPr>
            </w:pPr>
            <w:r w:rsidRPr="00756F2D">
              <w:rPr>
                <w:sz w:val="22"/>
              </w:rPr>
              <w:t>•</w:t>
            </w:r>
            <w:r w:rsidRPr="00756F2D">
              <w:rPr>
                <w:sz w:val="22"/>
              </w:rPr>
              <w:tab/>
              <w:t>All paperwork is completed and correct and kept as required.</w:t>
            </w:r>
          </w:p>
          <w:p w:rsidR="00756F2D" w:rsidRPr="00756F2D" w:rsidRDefault="00756F2D" w:rsidP="00756F2D">
            <w:pPr>
              <w:spacing w:after="480"/>
              <w:ind w:left="459" w:hanging="459"/>
              <w:rPr>
                <w:sz w:val="22"/>
              </w:rPr>
            </w:pPr>
            <w:r w:rsidRPr="00756F2D">
              <w:rPr>
                <w:sz w:val="22"/>
              </w:rPr>
              <w:t>•</w:t>
            </w:r>
            <w:r w:rsidRPr="00756F2D">
              <w:rPr>
                <w:sz w:val="22"/>
              </w:rPr>
              <w:tab/>
            </w:r>
            <w:r w:rsidR="009B22A9">
              <w:rPr>
                <w:sz w:val="22"/>
              </w:rPr>
              <w:t>Participant</w:t>
            </w:r>
            <w:r w:rsidRPr="00756F2D">
              <w:rPr>
                <w:sz w:val="22"/>
              </w:rPr>
              <w:t>s are provided with practical case management support to meet the individual needs</w:t>
            </w:r>
          </w:p>
          <w:p w:rsidR="00756F2D" w:rsidRPr="00756F2D" w:rsidRDefault="00756F2D" w:rsidP="00756F2D">
            <w:pPr>
              <w:spacing w:before="840" w:after="600"/>
              <w:ind w:left="459" w:hanging="459"/>
              <w:rPr>
                <w:sz w:val="22"/>
              </w:rPr>
            </w:pPr>
            <w:r w:rsidRPr="00756F2D">
              <w:rPr>
                <w:sz w:val="22"/>
              </w:rPr>
              <w:t>•</w:t>
            </w:r>
            <w:r w:rsidRPr="00756F2D">
              <w:rPr>
                <w:sz w:val="22"/>
              </w:rPr>
              <w:tab/>
              <w:t>All required reports are prepared correct and on time.</w:t>
            </w:r>
          </w:p>
          <w:p w:rsidR="005F71CC" w:rsidRDefault="00756F2D" w:rsidP="00756F2D">
            <w:pPr>
              <w:ind w:left="459" w:hanging="459"/>
              <w:rPr>
                <w:sz w:val="22"/>
              </w:rPr>
            </w:pPr>
            <w:r w:rsidRPr="00756F2D">
              <w:rPr>
                <w:sz w:val="22"/>
              </w:rPr>
              <w:t>•</w:t>
            </w:r>
            <w:r w:rsidRPr="00756F2D">
              <w:rPr>
                <w:sz w:val="22"/>
              </w:rPr>
              <w:tab/>
              <w:t>All required administration tasks are completed accurately and in a timely manner.</w:t>
            </w:r>
          </w:p>
          <w:p w:rsidR="00DB1DED" w:rsidRPr="00B76B2D" w:rsidRDefault="00DB1DED" w:rsidP="00756F2D">
            <w:pPr>
              <w:ind w:left="459" w:hanging="459"/>
              <w:rPr>
                <w:sz w:val="22"/>
              </w:rPr>
            </w:pPr>
            <w:r w:rsidRPr="00DB1DED">
              <w:rPr>
                <w:sz w:val="22"/>
              </w:rPr>
              <w:t>•</w:t>
            </w:r>
            <w:r w:rsidRPr="00DB1DED">
              <w:rPr>
                <w:sz w:val="22"/>
              </w:rPr>
              <w:tab/>
              <w:t>Carry out other duties as directed by Mission Management staff.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40233" w:rsidRPr="00A40233" w:rsidRDefault="00A40233" w:rsidP="00A40233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  <w:t>Actively support Mission Australia’s purpose and values;</w:t>
            </w:r>
          </w:p>
          <w:p w:rsidR="00A40233" w:rsidRPr="00A40233" w:rsidRDefault="00A40233" w:rsidP="00A40233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A40233" w:rsidRPr="00A40233" w:rsidRDefault="00A40233" w:rsidP="00A40233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A40233" w:rsidRPr="00A40233" w:rsidRDefault="00A40233" w:rsidP="00A40233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  <w:t xml:space="preserve">Operate in line with Mission Australia policies and practices (EG:  financial, HR, </w:t>
            </w:r>
            <w:r w:rsidR="00756F2D" w:rsidRPr="00A40233">
              <w:rPr>
                <w:sz w:val="22"/>
              </w:rPr>
              <w:t>etc.</w:t>
            </w:r>
            <w:r w:rsidRPr="00A40233">
              <w:rPr>
                <w:sz w:val="22"/>
              </w:rPr>
              <w:t>);</w:t>
            </w:r>
          </w:p>
          <w:p w:rsidR="00A40233" w:rsidRPr="00A40233" w:rsidRDefault="00A40233" w:rsidP="00A40233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  <w:t>To help ensure the health, safety and welfare of self and others working in the business;</w:t>
            </w:r>
          </w:p>
          <w:p w:rsidR="00A40233" w:rsidRPr="00A40233" w:rsidRDefault="00A40233" w:rsidP="00A40233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  <w:t>Follow reasonable directions given by the company in relation to Occupational Health and Safety.</w:t>
            </w:r>
          </w:p>
          <w:p w:rsidR="00A40233" w:rsidRPr="00A40233" w:rsidRDefault="00A40233" w:rsidP="00A40233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  <w:t xml:space="preserve">Promote and work within Mission Australia's </w:t>
            </w:r>
            <w:r w:rsidR="009B22A9">
              <w:rPr>
                <w:sz w:val="22"/>
              </w:rPr>
              <w:t>participant</w:t>
            </w:r>
            <w:r w:rsidRPr="00A40233">
              <w:rPr>
                <w:sz w:val="22"/>
              </w:rPr>
              <w:t xml:space="preserve"> service delivery principles, ethics, policies and practice standards</w:t>
            </w:r>
          </w:p>
          <w:p w:rsidR="00A40233" w:rsidRPr="00B76B2D" w:rsidRDefault="00A40233" w:rsidP="00A40233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756F2D" w:rsidRDefault="00756F2D" w:rsidP="00756F2D">
      <w:pPr>
        <w:keepNext/>
        <w:keepLines/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</w:p>
    <w:p w:rsidR="005F71CC" w:rsidRDefault="00756F2D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br w:type="page"/>
      </w:r>
      <w:r w:rsidR="005F71CC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6F2D" w:rsidRPr="00756F2D" w:rsidRDefault="00756F2D" w:rsidP="00756F2D">
            <w:pPr>
              <w:rPr>
                <w:sz w:val="22"/>
                <w:szCs w:val="22"/>
              </w:rPr>
            </w:pPr>
            <w:r w:rsidRPr="00756F2D">
              <w:rPr>
                <w:sz w:val="22"/>
                <w:szCs w:val="22"/>
              </w:rPr>
              <w:t>•</w:t>
            </w:r>
            <w:r w:rsidRPr="00756F2D">
              <w:rPr>
                <w:sz w:val="22"/>
                <w:szCs w:val="22"/>
              </w:rPr>
              <w:tab/>
            </w:r>
            <w:r w:rsidR="009B22A9">
              <w:rPr>
                <w:sz w:val="22"/>
                <w:szCs w:val="22"/>
              </w:rPr>
              <w:t>Participant</w:t>
            </w:r>
            <w:r w:rsidRPr="00756F2D">
              <w:rPr>
                <w:sz w:val="22"/>
                <w:szCs w:val="22"/>
              </w:rPr>
              <w:t xml:space="preserve"> Support</w:t>
            </w:r>
          </w:p>
          <w:p w:rsidR="00756F2D" w:rsidRPr="00756F2D" w:rsidRDefault="00756F2D" w:rsidP="00756F2D">
            <w:pPr>
              <w:rPr>
                <w:sz w:val="22"/>
                <w:szCs w:val="22"/>
              </w:rPr>
            </w:pPr>
            <w:r w:rsidRPr="00756F2D">
              <w:rPr>
                <w:sz w:val="22"/>
                <w:szCs w:val="22"/>
              </w:rPr>
              <w:t>•</w:t>
            </w:r>
            <w:r w:rsidRPr="00756F2D">
              <w:rPr>
                <w:sz w:val="22"/>
                <w:szCs w:val="22"/>
              </w:rPr>
              <w:tab/>
              <w:t>Values Alignment</w:t>
            </w:r>
          </w:p>
          <w:p w:rsidR="000553BC" w:rsidRPr="00195DA4" w:rsidRDefault="00756F2D" w:rsidP="00756F2D">
            <w:pPr>
              <w:ind w:left="720" w:hanging="720"/>
              <w:rPr>
                <w:b/>
                <w:color w:val="BD1A8D"/>
              </w:rPr>
            </w:pPr>
            <w:r w:rsidRPr="00756F2D">
              <w:rPr>
                <w:sz w:val="22"/>
                <w:szCs w:val="22"/>
              </w:rPr>
              <w:t>•</w:t>
            </w:r>
            <w:r w:rsidRPr="00756F2D">
              <w:rPr>
                <w:sz w:val="22"/>
                <w:szCs w:val="22"/>
              </w:rPr>
              <w:tab/>
              <w:t>Organizational awareness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6F2D" w:rsidRPr="00756F2D" w:rsidRDefault="007F2567" w:rsidP="00756F2D">
            <w:pPr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</w:r>
            <w:r w:rsidR="00756F2D" w:rsidRPr="00756F2D">
              <w:rPr>
                <w:sz w:val="22"/>
                <w:szCs w:val="22"/>
              </w:rPr>
              <w:t>A Degree or Diploma in Social Welfare/Social Science or a minimum of six years’ experience in a similar role</w:t>
            </w:r>
          </w:p>
          <w:p w:rsidR="007F2567" w:rsidRPr="007F2567" w:rsidRDefault="007F2567" w:rsidP="007F2567">
            <w:pPr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  <w:t>Competent in using computer packages such as Office 2007 including Word, Excel and Power-Point</w:t>
            </w:r>
          </w:p>
          <w:p w:rsidR="007F2567" w:rsidRPr="007F2567" w:rsidRDefault="007F2567" w:rsidP="007F2567">
            <w:pPr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  <w:t>Current driver’s license</w:t>
            </w:r>
          </w:p>
          <w:p w:rsidR="007F2567" w:rsidRPr="007F2567" w:rsidRDefault="007F2567" w:rsidP="007F2567">
            <w:pPr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  <w:t xml:space="preserve">Senior First Aid certificate or willingness to </w:t>
            </w:r>
            <w:r w:rsidR="00A32E7E">
              <w:rPr>
                <w:sz w:val="22"/>
                <w:szCs w:val="22"/>
              </w:rPr>
              <w:t>obtain</w:t>
            </w:r>
            <w:r w:rsidRPr="007F2567">
              <w:rPr>
                <w:sz w:val="22"/>
                <w:szCs w:val="22"/>
              </w:rPr>
              <w:t xml:space="preserve">  </w:t>
            </w:r>
          </w:p>
          <w:p w:rsidR="007F2567" w:rsidRPr="007F2567" w:rsidRDefault="007F2567" w:rsidP="007F2567">
            <w:pPr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  <w:t>Satisfactory criminal record check</w:t>
            </w:r>
          </w:p>
          <w:p w:rsidR="00834EC7" w:rsidRPr="00A40233" w:rsidRDefault="007F2567" w:rsidP="00332F2E">
            <w:pPr>
              <w:ind w:left="720" w:hanging="720"/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</w:r>
            <w:r w:rsidR="00332F2E">
              <w:rPr>
                <w:sz w:val="22"/>
                <w:szCs w:val="22"/>
              </w:rPr>
              <w:t>Current OCHRE Card or capacity to gain.</w:t>
            </w: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 xml:space="preserve">Manager Name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C05C33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Patricia Ose</w:t>
            </w: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C05C33" w:rsidP="007F2567">
            <w:pPr>
              <w:rPr>
                <w:sz w:val="22"/>
              </w:rPr>
            </w:pPr>
            <w:r>
              <w:rPr>
                <w:sz w:val="22"/>
              </w:rPr>
              <w:t>01 June 2017</w:t>
            </w:r>
          </w:p>
        </w:tc>
      </w:tr>
    </w:tbl>
    <w:p w:rsidR="007117A1" w:rsidRDefault="007117A1" w:rsidP="007117A1"/>
    <w:sectPr w:rsidR="007117A1" w:rsidSect="00505FA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695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54" w:rsidRDefault="008E6C54" w:rsidP="00985745">
      <w:r>
        <w:separator/>
      </w:r>
    </w:p>
  </w:endnote>
  <w:endnote w:type="continuationSeparator" w:id="0">
    <w:p w:rsidR="008E6C54" w:rsidRDefault="008E6C54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0C" w:rsidRDefault="00DB1DED" w:rsidP="00480DFF">
    <w:pPr>
      <w:pStyle w:val="x9MAfooter"/>
    </w:pPr>
    <w: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-89536</wp:posOffset>
              </wp:positionV>
              <wp:extent cx="8394065" cy="0"/>
              <wp:effectExtent l="0" t="0" r="26035" b="190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940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D1A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pt;margin-top:-7.05pt;width:660.9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" strokecolor="#bd1a8d" strokeweight=".5pt"/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70C">
      <w:rPr>
        <w:b/>
        <w:color w:val="EC008C"/>
      </w:rPr>
      <w:t>Position Description</w:t>
    </w:r>
    <w:r w:rsidR="00A8570C" w:rsidRPr="008D0512">
      <w:rPr>
        <w:b/>
        <w:color w:val="BD1A8D"/>
      </w:rPr>
      <w:t xml:space="preserve"> </w:t>
    </w:r>
    <w:r w:rsidR="00A8570C">
      <w:rPr>
        <w:b/>
        <w:color w:val="BD1A8D"/>
      </w:rPr>
      <w:t>Case Manager - Housing</w:t>
    </w:r>
    <w:r w:rsidR="00A8570C" w:rsidRPr="008D0512">
      <w:rPr>
        <w:b/>
        <w:color w:val="BD1A8D"/>
      </w:rPr>
      <w:t xml:space="preserve"> </w:t>
    </w:r>
    <w:r w:rsidR="00A8570C" w:rsidRPr="008D0512">
      <w:rPr>
        <w:b/>
        <w:color w:val="BD1A8D"/>
      </w:rPr>
      <w:br/>
    </w:r>
    <w:r w:rsidR="00A8570C">
      <w:t xml:space="preserve">page </w:t>
    </w:r>
    <w:r w:rsidR="00A8570C">
      <w:fldChar w:fldCharType="begin"/>
    </w:r>
    <w:r w:rsidR="00A8570C">
      <w:instrText xml:space="preserve"> PAGE  \* Arabic  \* MERGEFORMAT </w:instrText>
    </w:r>
    <w:r w:rsidR="00A8570C">
      <w:fldChar w:fldCharType="separate"/>
    </w:r>
    <w:r w:rsidR="00B81C53">
      <w:t>2</w:t>
    </w:r>
    <w:r w:rsidR="00A8570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0C" w:rsidRDefault="00DB1DED" w:rsidP="004B7E91">
    <w:pPr>
      <w:tabs>
        <w:tab w:val="right" w:pos="9026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-203201</wp:posOffset>
              </wp:positionV>
              <wp:extent cx="8907145" cy="0"/>
              <wp:effectExtent l="0" t="0" r="2730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07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D1A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-16pt;width:701.3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" strokecolor="#bd1a8d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54" w:rsidRDefault="008E6C54" w:rsidP="00985745">
      <w:r>
        <w:separator/>
      </w:r>
    </w:p>
  </w:footnote>
  <w:footnote w:type="continuationSeparator" w:id="0">
    <w:p w:rsidR="008E6C54" w:rsidRDefault="008E6C54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0C" w:rsidRDefault="00DB1DE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36195</wp:posOffset>
          </wp:positionV>
          <wp:extent cx="10101580" cy="356235"/>
          <wp:effectExtent l="0" t="0" r="0" b="5715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158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70C" w:rsidRPr="008D0512" w:rsidRDefault="00A8570C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Case Manager - Housing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A8570C" w:rsidRPr="008D0512" w:rsidRDefault="00A8570C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>
                      <w:rPr>
                        <w:b/>
                        <w:color w:val="FFFFFF"/>
                      </w:rPr>
                      <w:t xml:space="preserve">Case Manager - Housing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0C" w:rsidRDefault="00DB1D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70C" w:rsidRPr="008D0512" w:rsidRDefault="00A8570C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Case Manager – </w:t>
                          </w:r>
                          <w:r w:rsidR="008B0C94">
                            <w:rPr>
                              <w:b/>
                              <w:color w:val="FFFFFF"/>
                            </w:rPr>
                            <w:t>Community Services Employee Level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A8570C" w:rsidRPr="008D0512" w:rsidRDefault="00A8570C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>
                      <w:rPr>
                        <w:b/>
                        <w:color w:val="FFFFFF"/>
                      </w:rPr>
                      <w:t xml:space="preserve">Case Manager – </w:t>
                    </w:r>
                    <w:r w:rsidR="008B0C94">
                      <w:rPr>
                        <w:b/>
                        <w:color w:val="FFFFFF"/>
                      </w:rPr>
                      <w:t>Community Services Employee Level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632"/>
    <w:multiLevelType w:val="hybridMultilevel"/>
    <w:tmpl w:val="98A2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DEC23E3"/>
    <w:multiLevelType w:val="hybridMultilevel"/>
    <w:tmpl w:val="3A3A2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B4909"/>
    <w:multiLevelType w:val="hybridMultilevel"/>
    <w:tmpl w:val="B38820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0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6"/>
    <w:rsid w:val="00000B29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3651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68E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2724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60EA5"/>
    <w:rsid w:val="00261521"/>
    <w:rsid w:val="00263126"/>
    <w:rsid w:val="002638C7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3C5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21D9"/>
    <w:rsid w:val="00332F2E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C8F"/>
    <w:rsid w:val="00437376"/>
    <w:rsid w:val="00437D47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591"/>
    <w:rsid w:val="004C0ED9"/>
    <w:rsid w:val="004C22A2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A4B"/>
    <w:rsid w:val="00560586"/>
    <w:rsid w:val="00560EF4"/>
    <w:rsid w:val="00561784"/>
    <w:rsid w:val="00561CFE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C730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1551"/>
    <w:rsid w:val="007B1F34"/>
    <w:rsid w:val="007B2AAC"/>
    <w:rsid w:val="007B2BBC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49C"/>
    <w:rsid w:val="00873A8D"/>
    <w:rsid w:val="0087444A"/>
    <w:rsid w:val="00874A12"/>
    <w:rsid w:val="0087580E"/>
    <w:rsid w:val="00880259"/>
    <w:rsid w:val="00880C76"/>
    <w:rsid w:val="00882096"/>
    <w:rsid w:val="00883787"/>
    <w:rsid w:val="00884060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0C94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E6C54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2A9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7086"/>
    <w:rsid w:val="00AD77F4"/>
    <w:rsid w:val="00AE0B10"/>
    <w:rsid w:val="00AE0B3C"/>
    <w:rsid w:val="00AE0F4B"/>
    <w:rsid w:val="00AE2686"/>
    <w:rsid w:val="00AE35E7"/>
    <w:rsid w:val="00AE422F"/>
    <w:rsid w:val="00AE590B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470D4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7854"/>
    <w:rsid w:val="00B77FD1"/>
    <w:rsid w:val="00B81C53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B5FFD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5C33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BB5"/>
    <w:rsid w:val="00C27F6D"/>
    <w:rsid w:val="00C306E5"/>
    <w:rsid w:val="00C342BE"/>
    <w:rsid w:val="00C34A67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47EA"/>
    <w:rsid w:val="00DA70EB"/>
    <w:rsid w:val="00DB03E6"/>
    <w:rsid w:val="00DB0667"/>
    <w:rsid w:val="00DB0E03"/>
    <w:rsid w:val="00DB1DED"/>
    <w:rsid w:val="00DB38F2"/>
    <w:rsid w:val="00DB4E37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5EDA"/>
    <w:rsid w:val="00E065EA"/>
    <w:rsid w:val="00E06C26"/>
    <w:rsid w:val="00E070BD"/>
    <w:rsid w:val="00E07BAF"/>
    <w:rsid w:val="00E1099A"/>
    <w:rsid w:val="00E11112"/>
    <w:rsid w:val="00E11C97"/>
    <w:rsid w:val="00E13072"/>
    <w:rsid w:val="00E13374"/>
    <w:rsid w:val="00E14B7E"/>
    <w:rsid w:val="00E15AFC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AD"/>
    <w:rsid w:val="00E457ED"/>
    <w:rsid w:val="00E46A67"/>
    <w:rsid w:val="00E47658"/>
    <w:rsid w:val="00E52707"/>
    <w:rsid w:val="00E52986"/>
    <w:rsid w:val="00E52F32"/>
    <w:rsid w:val="00E55F43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1870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B41"/>
    <w:rsid w:val="00F475D1"/>
    <w:rsid w:val="00F5060A"/>
    <w:rsid w:val="00F50951"/>
    <w:rsid w:val="00F50FC8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62DB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0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8111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Catrina Delgorge</cp:lastModifiedBy>
  <cp:revision>2</cp:revision>
  <cp:lastPrinted>2017-05-31T22:53:00Z</cp:lastPrinted>
  <dcterms:created xsi:type="dcterms:W3CDTF">2017-06-13T02:25:00Z</dcterms:created>
  <dcterms:modified xsi:type="dcterms:W3CDTF">2017-06-13T02:25:00Z</dcterms:modified>
</cp:coreProperties>
</file>