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tblInd w:w="-426" w:type="dxa"/>
        <w:tblLook w:val="04A0" w:firstRow="1" w:lastRow="0" w:firstColumn="1" w:lastColumn="0" w:noHBand="0" w:noVBand="1"/>
      </w:tblPr>
      <w:tblGrid>
        <w:gridCol w:w="4398"/>
        <w:gridCol w:w="6370"/>
      </w:tblGrid>
      <w:tr w:rsidR="00EF0529" w:rsidRPr="0061513B" w14:paraId="40D2D6B3" w14:textId="77777777" w:rsidTr="004C58BF">
        <w:tc>
          <w:tcPr>
            <w:tcW w:w="4398" w:type="dxa"/>
            <w:shd w:val="clear" w:color="auto" w:fill="auto"/>
          </w:tcPr>
          <w:p w14:paraId="00AE2858" w14:textId="77777777" w:rsidR="00EF0529" w:rsidRPr="009D0542" w:rsidRDefault="00EF0529" w:rsidP="004C58BF">
            <w:pPr>
              <w:spacing w:before="120" w:after="120" w:line="240" w:lineRule="auto"/>
              <w:ind w:hanging="108"/>
              <w:rPr>
                <w:rFonts w:ascii="Arial" w:hAnsi="Arial" w:cs="Arial"/>
                <w:sz w:val="22"/>
              </w:rPr>
            </w:pPr>
            <w:bookmarkStart w:id="0" w:name="_GoBack"/>
            <w:bookmarkEnd w:id="0"/>
            <w:r w:rsidRPr="009D0542">
              <w:rPr>
                <w:rFonts w:ascii="Arial" w:hAnsi="Arial" w:cs="Arial"/>
                <w:sz w:val="22"/>
              </w:rPr>
              <w:t>Title</w:t>
            </w:r>
          </w:p>
        </w:tc>
        <w:tc>
          <w:tcPr>
            <w:tcW w:w="6370" w:type="dxa"/>
            <w:shd w:val="clear" w:color="auto" w:fill="auto"/>
          </w:tcPr>
          <w:p w14:paraId="344E745D" w14:textId="77777777" w:rsidR="00EF0529" w:rsidRPr="009D0542" w:rsidRDefault="008D7588" w:rsidP="004C58BF">
            <w:pPr>
              <w:spacing w:before="120" w:after="120" w:line="240" w:lineRule="auto"/>
              <w:ind w:left="-108"/>
              <w:rPr>
                <w:rFonts w:ascii="Arial" w:hAnsi="Arial" w:cs="Arial"/>
                <w:sz w:val="22"/>
              </w:rPr>
            </w:pPr>
            <w:r>
              <w:rPr>
                <w:rFonts w:ascii="Arial" w:hAnsi="Arial" w:cs="Arial"/>
                <w:sz w:val="22"/>
              </w:rPr>
              <w:t>Deputy Director Engagement</w:t>
            </w:r>
          </w:p>
        </w:tc>
      </w:tr>
      <w:tr w:rsidR="00EF0529" w:rsidRPr="0061513B" w14:paraId="6CD0101C" w14:textId="77777777" w:rsidTr="004C58BF">
        <w:tc>
          <w:tcPr>
            <w:tcW w:w="4398" w:type="dxa"/>
            <w:shd w:val="clear" w:color="auto" w:fill="auto"/>
          </w:tcPr>
          <w:p w14:paraId="738357DF" w14:textId="77777777" w:rsidR="00EF0529" w:rsidRPr="009D0542" w:rsidRDefault="00EF0529" w:rsidP="004C58BF">
            <w:pPr>
              <w:spacing w:before="120" w:after="120" w:line="240" w:lineRule="auto"/>
              <w:ind w:left="-108"/>
              <w:rPr>
                <w:rFonts w:ascii="Arial" w:hAnsi="Arial" w:cs="Arial"/>
                <w:sz w:val="22"/>
              </w:rPr>
            </w:pPr>
            <w:r w:rsidRPr="009D0542">
              <w:rPr>
                <w:rFonts w:ascii="Arial" w:hAnsi="Arial" w:cs="Arial"/>
                <w:sz w:val="22"/>
              </w:rPr>
              <w:t>Position Number:</w:t>
            </w:r>
          </w:p>
        </w:tc>
        <w:tc>
          <w:tcPr>
            <w:tcW w:w="6370" w:type="dxa"/>
            <w:shd w:val="clear" w:color="auto" w:fill="auto"/>
          </w:tcPr>
          <w:p w14:paraId="10CEE912" w14:textId="77777777" w:rsidR="00EF0529" w:rsidRPr="009D0542" w:rsidRDefault="008D7588" w:rsidP="004C58BF">
            <w:pPr>
              <w:tabs>
                <w:tab w:val="left" w:pos="3300"/>
              </w:tabs>
              <w:spacing w:before="120" w:after="120" w:line="240" w:lineRule="auto"/>
              <w:ind w:left="-108"/>
              <w:rPr>
                <w:rFonts w:ascii="Arial" w:hAnsi="Arial" w:cs="Arial"/>
                <w:sz w:val="22"/>
              </w:rPr>
            </w:pPr>
            <w:r>
              <w:rPr>
                <w:rFonts w:ascii="Arial" w:hAnsi="Arial" w:cs="Arial"/>
                <w:sz w:val="22"/>
              </w:rPr>
              <w:t>705733</w:t>
            </w:r>
          </w:p>
        </w:tc>
      </w:tr>
      <w:tr w:rsidR="00EF0529" w:rsidRPr="0061513B" w14:paraId="236FA036" w14:textId="77777777" w:rsidTr="004C58BF">
        <w:tc>
          <w:tcPr>
            <w:tcW w:w="4398" w:type="dxa"/>
            <w:shd w:val="clear" w:color="auto" w:fill="auto"/>
          </w:tcPr>
          <w:p w14:paraId="0506E156" w14:textId="77777777" w:rsidR="00EF0529" w:rsidRPr="009D0542" w:rsidRDefault="00EF0529" w:rsidP="004C58BF">
            <w:pPr>
              <w:spacing w:before="120" w:after="120" w:line="240" w:lineRule="auto"/>
              <w:ind w:left="-108"/>
              <w:rPr>
                <w:rFonts w:ascii="Arial" w:hAnsi="Arial" w:cs="Arial"/>
                <w:sz w:val="22"/>
              </w:rPr>
            </w:pPr>
            <w:r w:rsidRPr="009D0542">
              <w:rPr>
                <w:rFonts w:ascii="Arial" w:hAnsi="Arial" w:cs="Arial"/>
                <w:sz w:val="22"/>
              </w:rPr>
              <w:t>Division:</w:t>
            </w:r>
          </w:p>
        </w:tc>
        <w:tc>
          <w:tcPr>
            <w:tcW w:w="6370" w:type="dxa"/>
            <w:shd w:val="clear" w:color="auto" w:fill="auto"/>
          </w:tcPr>
          <w:p w14:paraId="73FF47BA" w14:textId="77777777" w:rsidR="00EF0529" w:rsidRPr="009D0542" w:rsidRDefault="008D7588" w:rsidP="004C58BF">
            <w:pPr>
              <w:spacing w:before="120" w:after="120" w:line="240" w:lineRule="auto"/>
              <w:ind w:left="-108"/>
              <w:rPr>
                <w:rFonts w:ascii="Arial" w:hAnsi="Arial" w:cs="Arial"/>
                <w:sz w:val="22"/>
              </w:rPr>
            </w:pPr>
            <w:r>
              <w:rPr>
                <w:rFonts w:ascii="Arial" w:hAnsi="Arial" w:cs="Arial"/>
                <w:sz w:val="22"/>
              </w:rPr>
              <w:t>Cultural and Creative Industries</w:t>
            </w:r>
          </w:p>
        </w:tc>
      </w:tr>
      <w:tr w:rsidR="00EF0529" w:rsidRPr="0061513B" w14:paraId="597CE8A8" w14:textId="77777777" w:rsidTr="004C58BF">
        <w:tc>
          <w:tcPr>
            <w:tcW w:w="4398" w:type="dxa"/>
            <w:shd w:val="clear" w:color="auto" w:fill="auto"/>
          </w:tcPr>
          <w:p w14:paraId="0C61F1FD" w14:textId="77777777" w:rsidR="00EF0529" w:rsidRPr="009D0542" w:rsidRDefault="00EF0529" w:rsidP="004C58BF">
            <w:pPr>
              <w:spacing w:before="120" w:after="120" w:line="240" w:lineRule="auto"/>
              <w:ind w:left="-108"/>
              <w:rPr>
                <w:rFonts w:ascii="Arial" w:hAnsi="Arial" w:cs="Arial"/>
                <w:sz w:val="22"/>
              </w:rPr>
            </w:pPr>
            <w:r w:rsidRPr="009D0542">
              <w:rPr>
                <w:rFonts w:ascii="Arial" w:hAnsi="Arial" w:cs="Arial"/>
                <w:sz w:val="22"/>
              </w:rPr>
              <w:t>Branch:</w:t>
            </w:r>
          </w:p>
        </w:tc>
        <w:tc>
          <w:tcPr>
            <w:tcW w:w="6370" w:type="dxa"/>
            <w:shd w:val="clear" w:color="auto" w:fill="auto"/>
          </w:tcPr>
          <w:p w14:paraId="248D3D7F" w14:textId="77777777" w:rsidR="00EF0529" w:rsidRPr="009D0542" w:rsidRDefault="008D7588" w:rsidP="004C58BF">
            <w:pPr>
              <w:spacing w:before="120" w:after="120" w:line="240" w:lineRule="auto"/>
              <w:ind w:left="-108"/>
              <w:rPr>
                <w:rFonts w:ascii="Arial" w:hAnsi="Arial" w:cs="Arial"/>
                <w:sz w:val="22"/>
              </w:rPr>
            </w:pPr>
            <w:r>
              <w:rPr>
                <w:rFonts w:ascii="Arial" w:hAnsi="Arial" w:cs="Arial"/>
                <w:sz w:val="22"/>
              </w:rPr>
              <w:t>Tasmanian Museum and Art Gallery</w:t>
            </w:r>
          </w:p>
        </w:tc>
      </w:tr>
      <w:tr w:rsidR="00EF0529" w:rsidRPr="0061513B" w14:paraId="23B8459E" w14:textId="77777777" w:rsidTr="004C58BF">
        <w:tc>
          <w:tcPr>
            <w:tcW w:w="4398" w:type="dxa"/>
            <w:shd w:val="clear" w:color="auto" w:fill="auto"/>
          </w:tcPr>
          <w:p w14:paraId="27F665BA" w14:textId="77777777" w:rsidR="00EF0529" w:rsidRPr="009D0542" w:rsidRDefault="00EF0529" w:rsidP="004C58BF">
            <w:pPr>
              <w:spacing w:before="120" w:after="120" w:line="240" w:lineRule="auto"/>
              <w:ind w:left="-108"/>
              <w:rPr>
                <w:rFonts w:ascii="Arial" w:hAnsi="Arial" w:cs="Arial"/>
                <w:sz w:val="22"/>
              </w:rPr>
            </w:pPr>
            <w:r w:rsidRPr="009D0542">
              <w:rPr>
                <w:rFonts w:ascii="Arial" w:hAnsi="Arial" w:cs="Arial"/>
                <w:sz w:val="22"/>
              </w:rPr>
              <w:t>Location:</w:t>
            </w:r>
          </w:p>
        </w:tc>
        <w:tc>
          <w:tcPr>
            <w:tcW w:w="6370" w:type="dxa"/>
            <w:shd w:val="clear" w:color="auto" w:fill="auto"/>
          </w:tcPr>
          <w:p w14:paraId="32A94B3E" w14:textId="77777777" w:rsidR="00EF0529" w:rsidRPr="009D0542" w:rsidRDefault="008D7588" w:rsidP="004C58BF">
            <w:pPr>
              <w:spacing w:before="120" w:after="120" w:line="240" w:lineRule="auto"/>
              <w:ind w:left="-108"/>
              <w:rPr>
                <w:rFonts w:ascii="Arial" w:hAnsi="Arial" w:cs="Arial"/>
                <w:sz w:val="22"/>
              </w:rPr>
            </w:pPr>
            <w:r>
              <w:rPr>
                <w:rFonts w:ascii="Arial" w:hAnsi="Arial" w:cs="Arial"/>
                <w:sz w:val="22"/>
              </w:rPr>
              <w:t>Hobart</w:t>
            </w:r>
          </w:p>
        </w:tc>
      </w:tr>
      <w:tr w:rsidR="00EF0529" w:rsidRPr="0061513B" w14:paraId="3AB673EB" w14:textId="77777777" w:rsidTr="004C58BF">
        <w:tc>
          <w:tcPr>
            <w:tcW w:w="4398" w:type="dxa"/>
            <w:shd w:val="clear" w:color="auto" w:fill="auto"/>
          </w:tcPr>
          <w:p w14:paraId="6F538BCC" w14:textId="77777777" w:rsidR="00EF0529" w:rsidRPr="009D0542" w:rsidRDefault="00EF0529" w:rsidP="004C58BF">
            <w:pPr>
              <w:spacing w:before="120" w:after="120" w:line="240" w:lineRule="auto"/>
              <w:ind w:left="-108"/>
              <w:rPr>
                <w:rFonts w:ascii="Arial" w:hAnsi="Arial" w:cs="Arial"/>
                <w:sz w:val="22"/>
              </w:rPr>
            </w:pPr>
            <w:r w:rsidRPr="009D0542">
              <w:rPr>
                <w:rFonts w:ascii="Arial" w:hAnsi="Arial" w:cs="Arial"/>
                <w:sz w:val="22"/>
              </w:rPr>
              <w:t>Employment Condition:</w:t>
            </w:r>
          </w:p>
        </w:tc>
        <w:tc>
          <w:tcPr>
            <w:tcW w:w="6370" w:type="dxa"/>
            <w:shd w:val="clear" w:color="auto" w:fill="auto"/>
          </w:tcPr>
          <w:p w14:paraId="7327034C" w14:textId="77777777" w:rsidR="00EF0529" w:rsidRPr="009D0542" w:rsidRDefault="008D7588" w:rsidP="004C58BF">
            <w:pPr>
              <w:spacing w:before="120" w:after="120" w:line="240" w:lineRule="auto"/>
              <w:ind w:left="-108"/>
              <w:rPr>
                <w:rFonts w:ascii="Arial" w:hAnsi="Arial" w:cs="Arial"/>
                <w:sz w:val="22"/>
              </w:rPr>
            </w:pPr>
            <w:r>
              <w:rPr>
                <w:rFonts w:ascii="Arial" w:hAnsi="Arial" w:cs="Arial"/>
                <w:sz w:val="22"/>
              </w:rPr>
              <w:t>Full-time</w:t>
            </w:r>
          </w:p>
        </w:tc>
      </w:tr>
      <w:tr w:rsidR="00EF0529" w:rsidRPr="0061513B" w14:paraId="43F9B8E6" w14:textId="77777777" w:rsidTr="004C58BF">
        <w:tc>
          <w:tcPr>
            <w:tcW w:w="4398" w:type="dxa"/>
            <w:shd w:val="clear" w:color="auto" w:fill="auto"/>
          </w:tcPr>
          <w:p w14:paraId="0489DB36" w14:textId="77777777" w:rsidR="00EF0529" w:rsidRPr="009D0542" w:rsidRDefault="00EF0529" w:rsidP="004C58BF">
            <w:pPr>
              <w:spacing w:before="120" w:after="120" w:line="240" w:lineRule="auto"/>
              <w:ind w:left="-108"/>
              <w:rPr>
                <w:rFonts w:ascii="Arial" w:hAnsi="Arial" w:cs="Arial"/>
                <w:sz w:val="22"/>
              </w:rPr>
            </w:pPr>
            <w:r w:rsidRPr="009D0542">
              <w:rPr>
                <w:rFonts w:ascii="Arial" w:hAnsi="Arial" w:cs="Arial"/>
                <w:sz w:val="22"/>
              </w:rPr>
              <w:t>Award / Classification:</w:t>
            </w:r>
          </w:p>
        </w:tc>
        <w:tc>
          <w:tcPr>
            <w:tcW w:w="6370" w:type="dxa"/>
            <w:shd w:val="clear" w:color="auto" w:fill="auto"/>
          </w:tcPr>
          <w:p w14:paraId="37AB5C1E" w14:textId="245671E9" w:rsidR="00EF0529" w:rsidRPr="009D0542" w:rsidRDefault="00EF0529" w:rsidP="004C58BF">
            <w:pPr>
              <w:spacing w:before="120" w:after="120" w:line="240" w:lineRule="auto"/>
              <w:ind w:left="-108"/>
              <w:rPr>
                <w:rFonts w:ascii="Arial" w:hAnsi="Arial" w:cs="Arial"/>
                <w:sz w:val="22"/>
              </w:rPr>
            </w:pPr>
            <w:r w:rsidRPr="009D0542">
              <w:rPr>
                <w:rFonts w:ascii="Arial" w:hAnsi="Arial" w:cs="Arial"/>
                <w:sz w:val="22"/>
              </w:rPr>
              <w:t>Tasma</w:t>
            </w:r>
            <w:r w:rsidR="008D7588">
              <w:rPr>
                <w:rFonts w:ascii="Arial" w:hAnsi="Arial" w:cs="Arial"/>
                <w:sz w:val="22"/>
              </w:rPr>
              <w:t xml:space="preserve">nian State Service Award, </w:t>
            </w:r>
            <w:r w:rsidR="00CE6B85">
              <w:rPr>
                <w:rFonts w:ascii="Arial" w:hAnsi="Arial" w:cs="Arial"/>
                <w:sz w:val="22"/>
              </w:rPr>
              <w:t xml:space="preserve">General Stream </w:t>
            </w:r>
            <w:r w:rsidR="008D7588">
              <w:rPr>
                <w:rFonts w:ascii="Arial" w:hAnsi="Arial" w:cs="Arial"/>
                <w:sz w:val="22"/>
              </w:rPr>
              <w:t>Band 8</w:t>
            </w:r>
          </w:p>
        </w:tc>
      </w:tr>
      <w:tr w:rsidR="00EF0529" w:rsidRPr="0061513B" w14:paraId="466F3B41" w14:textId="77777777" w:rsidTr="004C58BF">
        <w:tc>
          <w:tcPr>
            <w:tcW w:w="4398" w:type="dxa"/>
            <w:shd w:val="clear" w:color="auto" w:fill="auto"/>
          </w:tcPr>
          <w:p w14:paraId="5E372CC4" w14:textId="77777777" w:rsidR="00EF0529" w:rsidRPr="009D0542" w:rsidRDefault="00EF0529" w:rsidP="004C58BF">
            <w:pPr>
              <w:spacing w:before="120" w:after="120" w:line="240" w:lineRule="auto"/>
              <w:ind w:left="-108"/>
              <w:rPr>
                <w:rFonts w:ascii="Arial" w:hAnsi="Arial" w:cs="Arial"/>
                <w:sz w:val="22"/>
              </w:rPr>
            </w:pPr>
            <w:r w:rsidRPr="009D0542">
              <w:rPr>
                <w:rFonts w:ascii="Arial" w:hAnsi="Arial" w:cs="Arial"/>
                <w:sz w:val="22"/>
              </w:rPr>
              <w:t>Reports to:</w:t>
            </w:r>
          </w:p>
        </w:tc>
        <w:tc>
          <w:tcPr>
            <w:tcW w:w="6370" w:type="dxa"/>
            <w:shd w:val="clear" w:color="auto" w:fill="auto"/>
          </w:tcPr>
          <w:p w14:paraId="05BD338C" w14:textId="77777777" w:rsidR="00EF0529" w:rsidRPr="009D0542" w:rsidRDefault="008D7588" w:rsidP="004C58BF">
            <w:pPr>
              <w:spacing w:before="120" w:after="120" w:line="240" w:lineRule="auto"/>
              <w:ind w:left="-108"/>
              <w:rPr>
                <w:rFonts w:ascii="Arial" w:hAnsi="Arial" w:cs="Arial"/>
                <w:sz w:val="22"/>
              </w:rPr>
            </w:pPr>
            <w:r>
              <w:rPr>
                <w:rFonts w:ascii="Arial" w:hAnsi="Arial" w:cs="Arial"/>
                <w:sz w:val="22"/>
              </w:rPr>
              <w:t xml:space="preserve">Director </w:t>
            </w:r>
          </w:p>
        </w:tc>
      </w:tr>
    </w:tbl>
    <w:p w14:paraId="140E4B02" w14:textId="100A38B6" w:rsidR="00022796" w:rsidRPr="0061513B" w:rsidRDefault="00022796" w:rsidP="00022796">
      <w:pPr>
        <w:pStyle w:val="ReverseHeading"/>
        <w:ind w:left="-567" w:firstLine="141"/>
        <w:jc w:val="both"/>
        <w:rPr>
          <w:sz w:val="22"/>
          <w:szCs w:val="22"/>
        </w:rPr>
      </w:pPr>
      <w:r>
        <w:rPr>
          <w:sz w:val="22"/>
          <w:szCs w:val="22"/>
        </w:rPr>
        <w:t>WORKPLACE:</w:t>
      </w:r>
    </w:p>
    <w:p w14:paraId="31465AAF" w14:textId="06EA7EB8" w:rsidR="00022796" w:rsidRDefault="00022796" w:rsidP="00022796">
      <w:pPr>
        <w:ind w:left="-567"/>
        <w:jc w:val="both"/>
        <w:rPr>
          <w:rFonts w:ascii="Arial" w:hAnsi="Arial" w:cs="Arial"/>
          <w:sz w:val="22"/>
        </w:rPr>
      </w:pPr>
      <w:r>
        <w:rPr>
          <w:rFonts w:ascii="Arial" w:hAnsi="Arial" w:cs="Arial"/>
          <w:sz w:val="22"/>
        </w:rPr>
        <w:t>T</w:t>
      </w:r>
      <w:r w:rsidRPr="00022796">
        <w:rPr>
          <w:rFonts w:ascii="Arial" w:hAnsi="Arial" w:cs="Arial"/>
          <w:sz w:val="22"/>
        </w:rPr>
        <w:t>he Tasmanian Museum and Art Gallery (TMAG) is Tasmania’s leading natural, cultural and heritage organisation. It is a combined museum, art gallery and herbarium with almost one million items in its care</w:t>
      </w:r>
      <w:r w:rsidR="003537A9">
        <w:rPr>
          <w:rFonts w:ascii="Arial" w:hAnsi="Arial" w:cs="Arial"/>
          <w:sz w:val="22"/>
        </w:rPr>
        <w:t>, including several heritage properties</w:t>
      </w:r>
      <w:r w:rsidRPr="00022796">
        <w:rPr>
          <w:rFonts w:ascii="Arial" w:hAnsi="Arial" w:cs="Arial"/>
          <w:sz w:val="22"/>
        </w:rPr>
        <w:t>. TMAG inspires, enriches and educates local and global communities by connecting them with Tasmania’s unique journey and place in the world.</w:t>
      </w:r>
    </w:p>
    <w:p w14:paraId="0B900807" w14:textId="77777777" w:rsidR="00022796" w:rsidRPr="0061513B" w:rsidRDefault="00022796" w:rsidP="00022796">
      <w:pPr>
        <w:pStyle w:val="ReverseHeading"/>
        <w:ind w:left="-567" w:firstLine="141"/>
        <w:jc w:val="both"/>
        <w:rPr>
          <w:sz w:val="22"/>
          <w:szCs w:val="22"/>
        </w:rPr>
      </w:pPr>
      <w:r w:rsidRPr="0061513B">
        <w:rPr>
          <w:sz w:val="22"/>
          <w:szCs w:val="22"/>
        </w:rPr>
        <w:t>position objective:</w:t>
      </w:r>
    </w:p>
    <w:p w14:paraId="3E6A98C3" w14:textId="77777777" w:rsidR="008D7588" w:rsidRPr="008D7588" w:rsidRDefault="008D7588" w:rsidP="008D7588">
      <w:pPr>
        <w:pStyle w:val="BodyText"/>
        <w:jc w:val="both"/>
        <w:rPr>
          <w:sz w:val="22"/>
          <w:szCs w:val="22"/>
        </w:rPr>
      </w:pPr>
      <w:r w:rsidRPr="008D7588">
        <w:rPr>
          <w:sz w:val="22"/>
          <w:szCs w:val="22"/>
        </w:rPr>
        <w:t xml:space="preserve">Lead the development, delivery </w:t>
      </w:r>
      <w:r w:rsidRPr="00C21A55">
        <w:rPr>
          <w:sz w:val="22"/>
          <w:szCs w:val="22"/>
        </w:rPr>
        <w:t>and promotion</w:t>
      </w:r>
      <w:r w:rsidRPr="008D7588">
        <w:rPr>
          <w:sz w:val="22"/>
          <w:szCs w:val="22"/>
        </w:rPr>
        <w:t xml:space="preserve"> of a high-quality visitor experience and activities that engage audiences so that TMAG is a “must-do” destination for Tasmanians and tourists. </w:t>
      </w:r>
    </w:p>
    <w:p w14:paraId="1A73364D" w14:textId="77777777" w:rsidR="008D7588" w:rsidRPr="008D7588" w:rsidRDefault="008D7588" w:rsidP="008D7588">
      <w:pPr>
        <w:pStyle w:val="BodyText"/>
        <w:jc w:val="both"/>
        <w:rPr>
          <w:sz w:val="22"/>
          <w:szCs w:val="22"/>
        </w:rPr>
      </w:pPr>
      <w:r w:rsidRPr="008D7588">
        <w:rPr>
          <w:sz w:val="22"/>
          <w:szCs w:val="22"/>
        </w:rPr>
        <w:lastRenderedPageBreak/>
        <w:t xml:space="preserve">Lead the creation of programs, exhibitions, educational activities, online activities, galleries, evening activities, </w:t>
      </w:r>
      <w:r w:rsidRPr="00C21A55">
        <w:rPr>
          <w:sz w:val="22"/>
          <w:szCs w:val="22"/>
        </w:rPr>
        <w:t>and marketing</w:t>
      </w:r>
      <w:r w:rsidRPr="008D7588">
        <w:rPr>
          <w:sz w:val="22"/>
          <w:szCs w:val="22"/>
        </w:rPr>
        <w:t xml:space="preserve"> in collaboration with Tasmanians that build the TMAG brand and foster community involvement.</w:t>
      </w:r>
    </w:p>
    <w:p w14:paraId="50F6EA0F" w14:textId="77777777" w:rsidR="008D7588" w:rsidRDefault="008D7588" w:rsidP="008D7588">
      <w:pPr>
        <w:pStyle w:val="BodyText"/>
        <w:jc w:val="both"/>
        <w:rPr>
          <w:sz w:val="22"/>
          <w:szCs w:val="22"/>
        </w:rPr>
      </w:pPr>
      <w:r w:rsidRPr="008D7588">
        <w:rPr>
          <w:sz w:val="22"/>
          <w:szCs w:val="22"/>
        </w:rPr>
        <w:t>Play a leading role in securing and managing the resources needed to deliver these activities through working productively with Government, building partnerships, success in grant applications and fundraising.</w:t>
      </w:r>
    </w:p>
    <w:p w14:paraId="0D5B7464" w14:textId="77777777" w:rsidR="00EF0529" w:rsidRDefault="00EF0529" w:rsidP="00EF0529">
      <w:pPr>
        <w:pStyle w:val="BodyText"/>
        <w:ind w:left="-567"/>
        <w:jc w:val="both"/>
        <w:rPr>
          <w:rFonts w:ascii="Gill Sans MT" w:hAnsi="Gill Sans MT"/>
          <w:sz w:val="22"/>
          <w:szCs w:val="22"/>
        </w:rPr>
      </w:pPr>
    </w:p>
    <w:p w14:paraId="088CC98B" w14:textId="77777777" w:rsidR="00EF0529" w:rsidRPr="00A4261D" w:rsidRDefault="00EF0529" w:rsidP="00EF0529">
      <w:pPr>
        <w:pStyle w:val="ReverseHeading"/>
        <w:ind w:left="-567"/>
        <w:jc w:val="both"/>
        <w:rPr>
          <w:sz w:val="22"/>
          <w:szCs w:val="22"/>
        </w:rPr>
      </w:pPr>
      <w:r w:rsidRPr="00A4261D">
        <w:rPr>
          <w:sz w:val="22"/>
          <w:szCs w:val="22"/>
        </w:rPr>
        <w:t>MAJOR DUTIES:</w:t>
      </w:r>
    </w:p>
    <w:p w14:paraId="1C1C893A" w14:textId="77777777" w:rsidR="008D7588" w:rsidRPr="008D7588" w:rsidRDefault="008D7588" w:rsidP="008D7588">
      <w:pPr>
        <w:pStyle w:val="BodyText"/>
        <w:numPr>
          <w:ilvl w:val="0"/>
          <w:numId w:val="5"/>
        </w:numPr>
        <w:ind w:left="0"/>
        <w:jc w:val="both"/>
        <w:rPr>
          <w:sz w:val="22"/>
          <w:szCs w:val="22"/>
        </w:rPr>
      </w:pPr>
      <w:r w:rsidRPr="008D7588">
        <w:rPr>
          <w:sz w:val="22"/>
          <w:szCs w:val="22"/>
        </w:rPr>
        <w:t>Lead all aspects of the visitor experience, ensuring that the regular operation of the public areas meets the highest standards and respects cultural sensitivities</w:t>
      </w:r>
      <w:r w:rsidR="001F1E44">
        <w:rPr>
          <w:sz w:val="22"/>
          <w:szCs w:val="22"/>
        </w:rPr>
        <w:t>,</w:t>
      </w:r>
      <w:r w:rsidR="00425C0A">
        <w:rPr>
          <w:sz w:val="22"/>
          <w:szCs w:val="22"/>
        </w:rPr>
        <w:t xml:space="preserve"> by managing all aspects of the audience engagement processes</w:t>
      </w:r>
      <w:r w:rsidR="001F1E44">
        <w:rPr>
          <w:sz w:val="22"/>
          <w:szCs w:val="22"/>
        </w:rPr>
        <w:t xml:space="preserve">, </w:t>
      </w:r>
      <w:r w:rsidR="00425C0A">
        <w:rPr>
          <w:sz w:val="22"/>
          <w:szCs w:val="22"/>
        </w:rPr>
        <w:t>service delivery mechanisms</w:t>
      </w:r>
      <w:r w:rsidR="001F1E44">
        <w:rPr>
          <w:sz w:val="22"/>
          <w:szCs w:val="22"/>
        </w:rPr>
        <w:t xml:space="preserve"> and by leading the forward program for all engagement activities through strong project management methodology</w:t>
      </w:r>
      <w:r w:rsidRPr="008D7588">
        <w:rPr>
          <w:sz w:val="22"/>
          <w:szCs w:val="22"/>
        </w:rPr>
        <w:t>.</w:t>
      </w:r>
    </w:p>
    <w:p w14:paraId="0DC94499" w14:textId="38AA39C0" w:rsidR="008D7588" w:rsidRPr="008D7588" w:rsidRDefault="008D7588" w:rsidP="008D7588">
      <w:pPr>
        <w:pStyle w:val="BodyText"/>
        <w:numPr>
          <w:ilvl w:val="0"/>
          <w:numId w:val="5"/>
        </w:numPr>
        <w:ind w:left="0"/>
        <w:jc w:val="both"/>
        <w:rPr>
          <w:sz w:val="22"/>
          <w:szCs w:val="22"/>
        </w:rPr>
      </w:pPr>
      <w:r w:rsidRPr="008D7588">
        <w:rPr>
          <w:sz w:val="22"/>
          <w:szCs w:val="22"/>
        </w:rPr>
        <w:t>Lead and manage the Engagement team</w:t>
      </w:r>
      <w:r w:rsidR="003537A9">
        <w:rPr>
          <w:sz w:val="22"/>
          <w:szCs w:val="22"/>
        </w:rPr>
        <w:t>, cross-museum project teams</w:t>
      </w:r>
      <w:r w:rsidRPr="008D7588">
        <w:rPr>
          <w:sz w:val="22"/>
          <w:szCs w:val="22"/>
        </w:rPr>
        <w:t xml:space="preserve"> </w:t>
      </w:r>
      <w:r>
        <w:rPr>
          <w:sz w:val="22"/>
          <w:szCs w:val="22"/>
        </w:rPr>
        <w:t xml:space="preserve">and manage agreed priorities to ensure the effective </w:t>
      </w:r>
      <w:r w:rsidRPr="008D7588">
        <w:rPr>
          <w:sz w:val="22"/>
          <w:szCs w:val="22"/>
        </w:rPr>
        <w:t>creation and delivery of exhibitions, galleries, programs, educational activities and online activities that highlight TMAG’s collection, tell Tasmania’s stories, and discuss issues of relevance to the Tasmanian experience.</w:t>
      </w:r>
    </w:p>
    <w:p w14:paraId="7D5962D7" w14:textId="46E5C8BE" w:rsidR="008D7588" w:rsidRPr="008D7588" w:rsidRDefault="008D7588" w:rsidP="008D7588">
      <w:pPr>
        <w:pStyle w:val="BodyText"/>
        <w:numPr>
          <w:ilvl w:val="0"/>
          <w:numId w:val="5"/>
        </w:numPr>
        <w:ind w:left="0"/>
        <w:jc w:val="both"/>
        <w:rPr>
          <w:sz w:val="22"/>
          <w:szCs w:val="22"/>
        </w:rPr>
      </w:pPr>
      <w:r w:rsidRPr="008D7588">
        <w:rPr>
          <w:sz w:val="22"/>
          <w:szCs w:val="22"/>
        </w:rPr>
        <w:t>Lead and manage the Engagement team</w:t>
      </w:r>
      <w:r w:rsidR="003537A9">
        <w:rPr>
          <w:sz w:val="22"/>
          <w:szCs w:val="22"/>
        </w:rPr>
        <w:t xml:space="preserve"> and cross-museum project teams,</w:t>
      </w:r>
      <w:r w:rsidRPr="008D7588">
        <w:rPr>
          <w:sz w:val="22"/>
          <w:szCs w:val="22"/>
        </w:rPr>
        <w:t xml:space="preserve"> in building community involvement through partnerships, volunteer activities, and innovative</w:t>
      </w:r>
      <w:r w:rsidR="001F1E44">
        <w:rPr>
          <w:sz w:val="22"/>
          <w:szCs w:val="22"/>
        </w:rPr>
        <w:t xml:space="preserve"> ap</w:t>
      </w:r>
      <w:r w:rsidR="00C21A55">
        <w:rPr>
          <w:sz w:val="22"/>
          <w:szCs w:val="22"/>
        </w:rPr>
        <w:t>proaches to content creation that</w:t>
      </w:r>
      <w:r w:rsidR="001F1E44">
        <w:rPr>
          <w:sz w:val="22"/>
          <w:szCs w:val="22"/>
        </w:rPr>
        <w:t xml:space="preserve"> a</w:t>
      </w:r>
      <w:r w:rsidR="001F1E44" w:rsidRPr="008D7588">
        <w:rPr>
          <w:sz w:val="22"/>
          <w:szCs w:val="22"/>
        </w:rPr>
        <w:t>ctively support the brand of the Ta</w:t>
      </w:r>
      <w:r w:rsidR="001F1E44">
        <w:rPr>
          <w:sz w:val="22"/>
          <w:szCs w:val="22"/>
        </w:rPr>
        <w:t>smanian Museum and Art Gallery.</w:t>
      </w:r>
    </w:p>
    <w:p w14:paraId="6931DA53" w14:textId="77777777" w:rsidR="008D7588" w:rsidRPr="00C21A55" w:rsidRDefault="001F1E44" w:rsidP="00425C0A">
      <w:pPr>
        <w:pStyle w:val="BodyText"/>
        <w:numPr>
          <w:ilvl w:val="0"/>
          <w:numId w:val="5"/>
        </w:numPr>
        <w:ind w:left="0"/>
        <w:jc w:val="both"/>
        <w:rPr>
          <w:sz w:val="22"/>
          <w:szCs w:val="22"/>
        </w:rPr>
      </w:pPr>
      <w:r w:rsidRPr="00C21A55">
        <w:rPr>
          <w:sz w:val="22"/>
          <w:szCs w:val="22"/>
        </w:rPr>
        <w:t xml:space="preserve">Lead </w:t>
      </w:r>
      <w:r w:rsidR="008D7588" w:rsidRPr="00C21A55">
        <w:rPr>
          <w:sz w:val="22"/>
          <w:szCs w:val="22"/>
        </w:rPr>
        <w:t>the marketing, communication and brand development for TMAG, including the strategic oversight of social media and online activities, and market research to inform content development and marketing.</w:t>
      </w:r>
    </w:p>
    <w:p w14:paraId="389184AF" w14:textId="77777777" w:rsidR="008D7588" w:rsidRPr="00C21A55" w:rsidRDefault="008D7588" w:rsidP="008D7588">
      <w:pPr>
        <w:pStyle w:val="BodyText"/>
        <w:numPr>
          <w:ilvl w:val="0"/>
          <w:numId w:val="5"/>
        </w:numPr>
        <w:ind w:left="0"/>
        <w:jc w:val="both"/>
        <w:rPr>
          <w:sz w:val="22"/>
          <w:szCs w:val="22"/>
        </w:rPr>
      </w:pPr>
      <w:r w:rsidRPr="00C21A55">
        <w:rPr>
          <w:sz w:val="22"/>
          <w:szCs w:val="22"/>
        </w:rPr>
        <w:t>Build and manage a mutually-supportive collaboration with TMAG friends groups to ensure volunteer-created programs and communications align with the TMAG brand and community needs, and that TMAG has a strong community of interest connected via newsletters and social media.</w:t>
      </w:r>
    </w:p>
    <w:p w14:paraId="419C01F2" w14:textId="77777777" w:rsidR="008D7588" w:rsidRPr="008D7588" w:rsidRDefault="008D7588" w:rsidP="008D7588">
      <w:pPr>
        <w:pStyle w:val="BodyText"/>
        <w:numPr>
          <w:ilvl w:val="0"/>
          <w:numId w:val="5"/>
        </w:numPr>
        <w:ind w:left="0"/>
        <w:jc w:val="both"/>
        <w:rPr>
          <w:sz w:val="22"/>
          <w:szCs w:val="22"/>
        </w:rPr>
      </w:pPr>
      <w:r w:rsidRPr="008D7588">
        <w:rPr>
          <w:sz w:val="22"/>
          <w:szCs w:val="22"/>
        </w:rPr>
        <w:t>Play a leading role in creating fundraising proposals, grant-writing and building collaborations in Government and the community to obtain resources to deliver the engagement activities.</w:t>
      </w:r>
    </w:p>
    <w:p w14:paraId="190368A0" w14:textId="5CB906DA" w:rsidR="008D7588" w:rsidRPr="008D7588" w:rsidRDefault="008D7588" w:rsidP="008D7588">
      <w:pPr>
        <w:pStyle w:val="BodyText"/>
        <w:numPr>
          <w:ilvl w:val="0"/>
          <w:numId w:val="5"/>
        </w:numPr>
        <w:ind w:left="0"/>
        <w:jc w:val="both"/>
        <w:rPr>
          <w:sz w:val="22"/>
          <w:szCs w:val="22"/>
        </w:rPr>
      </w:pPr>
      <w:r w:rsidRPr="008D7588">
        <w:rPr>
          <w:sz w:val="22"/>
          <w:szCs w:val="22"/>
        </w:rPr>
        <w:t>Contribute to the leadership of TMAG as a member of the senior management team, providing expert advice to the Director, and Board of Trustees on matters relating to audience engagement, exhibitions, learning and public programs and visitor experience</w:t>
      </w:r>
      <w:r w:rsidR="003537A9">
        <w:rPr>
          <w:sz w:val="22"/>
          <w:szCs w:val="22"/>
        </w:rPr>
        <w:t>, and leading change initiatives to support the delivering of the strategic plan</w:t>
      </w:r>
      <w:r w:rsidRPr="008D7588">
        <w:rPr>
          <w:sz w:val="22"/>
          <w:szCs w:val="22"/>
        </w:rPr>
        <w:t>.</w:t>
      </w:r>
    </w:p>
    <w:p w14:paraId="32D16F15" w14:textId="373B85CE" w:rsidR="008D7588" w:rsidRPr="008D7588" w:rsidRDefault="003537A9" w:rsidP="008D7588">
      <w:pPr>
        <w:pStyle w:val="BodyText"/>
        <w:numPr>
          <w:ilvl w:val="0"/>
          <w:numId w:val="5"/>
        </w:numPr>
        <w:ind w:left="0"/>
        <w:jc w:val="both"/>
        <w:rPr>
          <w:sz w:val="22"/>
          <w:szCs w:val="22"/>
        </w:rPr>
      </w:pPr>
      <w:r>
        <w:rPr>
          <w:sz w:val="22"/>
          <w:szCs w:val="22"/>
        </w:rPr>
        <w:t>Lead</w:t>
      </w:r>
      <w:r w:rsidR="008D7588">
        <w:rPr>
          <w:sz w:val="22"/>
          <w:szCs w:val="22"/>
        </w:rPr>
        <w:t xml:space="preserve"> projects and m</w:t>
      </w:r>
      <w:r w:rsidR="008D7588" w:rsidRPr="008D7588">
        <w:rPr>
          <w:sz w:val="22"/>
          <w:szCs w:val="22"/>
        </w:rPr>
        <w:t>anage program and project budgets and ensuring they are appropriately set, maintained and delivered.</w:t>
      </w:r>
    </w:p>
    <w:p w14:paraId="279F51DF" w14:textId="1D25F0A7" w:rsidR="008D7588" w:rsidRDefault="003537A9" w:rsidP="008D7588">
      <w:pPr>
        <w:numPr>
          <w:ilvl w:val="0"/>
          <w:numId w:val="5"/>
        </w:numPr>
        <w:spacing w:after="0" w:line="240" w:lineRule="auto"/>
        <w:ind w:left="0"/>
        <w:rPr>
          <w:rFonts w:ascii="Arial" w:hAnsi="Arial"/>
          <w:sz w:val="22"/>
        </w:rPr>
      </w:pPr>
      <w:r>
        <w:rPr>
          <w:rFonts w:ascii="Arial" w:hAnsi="Arial"/>
          <w:sz w:val="22"/>
        </w:rPr>
        <w:t>Represent</w:t>
      </w:r>
      <w:r w:rsidR="008D7588" w:rsidRPr="008D7588">
        <w:rPr>
          <w:rFonts w:ascii="Arial" w:hAnsi="Arial"/>
          <w:sz w:val="22"/>
        </w:rPr>
        <w:t xml:space="preserve"> TMAG and the department at internal and external forums, and on relevant reference groups and steering committees as required and deputise for the Director when required.</w:t>
      </w:r>
    </w:p>
    <w:p w14:paraId="1E97F820" w14:textId="77777777" w:rsidR="00022796" w:rsidRPr="008D7588" w:rsidRDefault="00022796" w:rsidP="00022796">
      <w:pPr>
        <w:spacing w:after="0" w:line="240" w:lineRule="auto"/>
        <w:ind w:left="-360"/>
        <w:rPr>
          <w:rFonts w:ascii="Arial" w:hAnsi="Arial"/>
          <w:sz w:val="22"/>
        </w:rPr>
      </w:pPr>
    </w:p>
    <w:p w14:paraId="2614984D" w14:textId="77777777" w:rsidR="00EF0529" w:rsidRPr="00A4261D" w:rsidRDefault="00EF0529" w:rsidP="00EF0529">
      <w:pPr>
        <w:pStyle w:val="ReverseHeading"/>
        <w:ind w:left="-567"/>
        <w:jc w:val="both"/>
        <w:rPr>
          <w:sz w:val="22"/>
          <w:szCs w:val="22"/>
        </w:rPr>
      </w:pPr>
      <w:r w:rsidRPr="00A4261D">
        <w:rPr>
          <w:sz w:val="22"/>
          <w:szCs w:val="22"/>
        </w:rPr>
        <w:t>SCOPE OF WORK: (</w:t>
      </w:r>
      <w:r w:rsidRPr="00A4261D">
        <w:rPr>
          <w:caps w:val="0"/>
          <w:sz w:val="22"/>
          <w:szCs w:val="22"/>
        </w:rPr>
        <w:t>Level of Responsibility and Direction/Supervision Received)</w:t>
      </w:r>
    </w:p>
    <w:p w14:paraId="7F2395F7" w14:textId="77777777" w:rsidR="001F1E44" w:rsidRPr="001F1E44" w:rsidRDefault="001F1E44" w:rsidP="001F1E44">
      <w:pPr>
        <w:pStyle w:val="BodyText"/>
        <w:ind w:left="-567"/>
        <w:jc w:val="both"/>
        <w:rPr>
          <w:sz w:val="22"/>
          <w:szCs w:val="22"/>
        </w:rPr>
      </w:pPr>
      <w:r w:rsidRPr="001F1E44">
        <w:rPr>
          <w:sz w:val="22"/>
          <w:szCs w:val="22"/>
        </w:rPr>
        <w:t xml:space="preserve">The Deputy Director receives broad direction from the Director and is responsible for meeting the agreed strategic objectives and achieving the outputs for Engagement within agreed timeframes.  </w:t>
      </w:r>
    </w:p>
    <w:p w14:paraId="133D1653" w14:textId="77777777" w:rsidR="001F1E44" w:rsidRPr="001F1E44" w:rsidRDefault="001F1E44" w:rsidP="001F1E44">
      <w:pPr>
        <w:pStyle w:val="BodyText"/>
        <w:ind w:left="-567"/>
        <w:jc w:val="both"/>
        <w:rPr>
          <w:sz w:val="22"/>
          <w:szCs w:val="22"/>
        </w:rPr>
      </w:pPr>
      <w:r w:rsidRPr="001F1E44">
        <w:rPr>
          <w:sz w:val="22"/>
          <w:szCs w:val="22"/>
        </w:rPr>
        <w:t xml:space="preserve">The Deputy Director is responsible for the effective and efficient management of the Engagement human and financial resources. </w:t>
      </w:r>
    </w:p>
    <w:p w14:paraId="298E2FB7" w14:textId="77777777" w:rsidR="001F1E44" w:rsidRPr="001F1E44" w:rsidRDefault="001F1E44" w:rsidP="001F1E44">
      <w:pPr>
        <w:pStyle w:val="BodyText"/>
        <w:ind w:left="-567"/>
        <w:jc w:val="both"/>
        <w:rPr>
          <w:sz w:val="22"/>
          <w:szCs w:val="22"/>
        </w:rPr>
      </w:pPr>
      <w:r w:rsidRPr="001F1E44">
        <w:rPr>
          <w:sz w:val="22"/>
          <w:szCs w:val="22"/>
        </w:rPr>
        <w:t>The Deputy Director works in consultation with the Director to provide expert advice to the senior management team, TMAG Board of Trustees, the department’s Executive Team, and Government and is expected to liaise with other Government departments, stakeholders and clients (internal and external) within the broad directions set out by the Director.</w:t>
      </w:r>
    </w:p>
    <w:p w14:paraId="4EC956D9" w14:textId="77777777" w:rsidR="001F1E44" w:rsidRPr="001F1E44" w:rsidRDefault="001F1E44" w:rsidP="001F1E44">
      <w:pPr>
        <w:pStyle w:val="BodyText"/>
        <w:ind w:left="-567"/>
        <w:jc w:val="both"/>
        <w:rPr>
          <w:sz w:val="22"/>
          <w:szCs w:val="22"/>
        </w:rPr>
      </w:pPr>
      <w:r w:rsidRPr="001F1E44">
        <w:rPr>
          <w:sz w:val="22"/>
          <w:szCs w:val="22"/>
        </w:rPr>
        <w:t>The Deputy Director is required to provide to the Director, strategies and recommendations in relation to the overall, strategic planning, best practice management and future direction of the museum in the areas of communication, exhibition and design, learning and discovery, visitor service and small house museums.</w:t>
      </w:r>
    </w:p>
    <w:p w14:paraId="1D1594BB" w14:textId="77777777" w:rsidR="001F1E44" w:rsidRPr="001F1E44" w:rsidRDefault="001F1E44" w:rsidP="001F1E44">
      <w:pPr>
        <w:pStyle w:val="BodyText"/>
        <w:ind w:left="-567"/>
        <w:jc w:val="both"/>
        <w:rPr>
          <w:sz w:val="22"/>
          <w:szCs w:val="22"/>
        </w:rPr>
      </w:pPr>
      <w:r w:rsidRPr="001F1E44">
        <w:rPr>
          <w:sz w:val="22"/>
          <w:szCs w:val="22"/>
        </w:rPr>
        <w:lastRenderedPageBreak/>
        <w:t>The Deputy Director has extensive independence and autonomy in the determination of approach, priorities, work standards and the allocation of work to achieve outcomes.</w:t>
      </w:r>
    </w:p>
    <w:p w14:paraId="5FF791DD" w14:textId="77777777" w:rsidR="00EF0529" w:rsidRPr="00A4261D" w:rsidRDefault="00EF0529" w:rsidP="00EF0529">
      <w:pPr>
        <w:pStyle w:val="ReverseHeading"/>
        <w:ind w:left="-567"/>
        <w:jc w:val="both"/>
        <w:rPr>
          <w:sz w:val="22"/>
          <w:szCs w:val="22"/>
        </w:rPr>
      </w:pPr>
      <w:r w:rsidRPr="00A4261D">
        <w:rPr>
          <w:sz w:val="22"/>
          <w:szCs w:val="22"/>
        </w:rPr>
        <w:t>Knowledge and skill (selection criteria):</w:t>
      </w:r>
    </w:p>
    <w:p w14:paraId="37A3B383" w14:textId="77777777" w:rsidR="00573C4D" w:rsidRPr="00573C4D" w:rsidRDefault="00573C4D" w:rsidP="00573C4D">
      <w:pPr>
        <w:pStyle w:val="NormalWeb"/>
        <w:numPr>
          <w:ilvl w:val="0"/>
          <w:numId w:val="6"/>
        </w:numPr>
        <w:spacing w:before="0" w:beforeAutospacing="0" w:after="120" w:afterAutospacing="0"/>
        <w:ind w:left="-284"/>
        <w:jc w:val="both"/>
        <w:rPr>
          <w:rFonts w:ascii="Arial" w:hAnsi="Arial" w:cs="Arial"/>
          <w:sz w:val="22"/>
          <w:szCs w:val="22"/>
        </w:rPr>
      </w:pPr>
      <w:r w:rsidRPr="00573C4D">
        <w:rPr>
          <w:rFonts w:ascii="Arial" w:hAnsi="Arial" w:cs="Arial"/>
          <w:sz w:val="22"/>
          <w:szCs w:val="22"/>
        </w:rPr>
        <w:t>Demonstrated experience in the operational management of a cultural attraction or similar environment.</w:t>
      </w:r>
    </w:p>
    <w:p w14:paraId="1E2A7578" w14:textId="77777777" w:rsidR="00573C4D" w:rsidRPr="00573C4D" w:rsidRDefault="00573C4D" w:rsidP="00573C4D">
      <w:pPr>
        <w:pStyle w:val="NormalWeb"/>
        <w:numPr>
          <w:ilvl w:val="0"/>
          <w:numId w:val="6"/>
        </w:numPr>
        <w:spacing w:before="0" w:beforeAutospacing="0" w:after="120" w:afterAutospacing="0"/>
        <w:ind w:left="-284"/>
        <w:jc w:val="both"/>
        <w:rPr>
          <w:rFonts w:ascii="Arial" w:hAnsi="Arial" w:cs="Arial"/>
          <w:sz w:val="22"/>
          <w:szCs w:val="22"/>
        </w:rPr>
      </w:pPr>
      <w:r w:rsidRPr="00573C4D">
        <w:rPr>
          <w:rFonts w:ascii="Arial" w:hAnsi="Arial" w:cs="Arial"/>
          <w:sz w:val="22"/>
          <w:szCs w:val="22"/>
        </w:rPr>
        <w:t>Demonstrated experience in the management of teams to create high-quality exhibitions, programs, online and other activities in a museum or similar environment</w:t>
      </w:r>
    </w:p>
    <w:p w14:paraId="5DE93E01" w14:textId="77777777" w:rsidR="00573C4D" w:rsidRPr="00573C4D" w:rsidRDefault="00573C4D" w:rsidP="00573C4D">
      <w:pPr>
        <w:pStyle w:val="NormalWeb"/>
        <w:numPr>
          <w:ilvl w:val="0"/>
          <w:numId w:val="6"/>
        </w:numPr>
        <w:spacing w:before="0" w:beforeAutospacing="0" w:after="120" w:afterAutospacing="0"/>
        <w:ind w:left="-284"/>
        <w:jc w:val="both"/>
        <w:rPr>
          <w:rFonts w:ascii="Arial" w:hAnsi="Arial" w:cs="Arial"/>
          <w:sz w:val="22"/>
          <w:szCs w:val="22"/>
        </w:rPr>
      </w:pPr>
      <w:r w:rsidRPr="00573C4D">
        <w:rPr>
          <w:rFonts w:ascii="Arial" w:hAnsi="Arial" w:cs="Arial"/>
          <w:sz w:val="22"/>
          <w:szCs w:val="22"/>
        </w:rPr>
        <w:t>Proven ability to build effective partnerships and collaborations that foster community involvement.</w:t>
      </w:r>
    </w:p>
    <w:p w14:paraId="57FC9C28" w14:textId="7BF4A480" w:rsidR="00573C4D" w:rsidRPr="00573C4D" w:rsidRDefault="00C21A55" w:rsidP="00573C4D">
      <w:pPr>
        <w:pStyle w:val="NormalWeb"/>
        <w:numPr>
          <w:ilvl w:val="0"/>
          <w:numId w:val="6"/>
        </w:numPr>
        <w:spacing w:before="0" w:beforeAutospacing="0" w:after="120" w:afterAutospacing="0"/>
        <w:ind w:left="-284"/>
        <w:jc w:val="both"/>
        <w:rPr>
          <w:rFonts w:ascii="Arial" w:hAnsi="Arial" w:cs="Arial"/>
          <w:sz w:val="22"/>
          <w:szCs w:val="22"/>
        </w:rPr>
      </w:pPr>
      <w:r>
        <w:rPr>
          <w:rFonts w:ascii="Arial" w:hAnsi="Arial" w:cs="Arial"/>
          <w:sz w:val="22"/>
          <w:szCs w:val="22"/>
        </w:rPr>
        <w:t>Proven high-level leadership,</w:t>
      </w:r>
      <w:r w:rsidR="00573C4D" w:rsidRPr="00573C4D">
        <w:rPr>
          <w:rFonts w:ascii="Arial" w:hAnsi="Arial" w:cs="Arial"/>
          <w:sz w:val="22"/>
          <w:szCs w:val="22"/>
        </w:rPr>
        <w:t xml:space="preserve"> management</w:t>
      </w:r>
      <w:r>
        <w:rPr>
          <w:rFonts w:ascii="Arial" w:hAnsi="Arial" w:cs="Arial"/>
          <w:sz w:val="22"/>
          <w:szCs w:val="22"/>
        </w:rPr>
        <w:t xml:space="preserve"> and project</w:t>
      </w:r>
      <w:r w:rsidR="00573C4D" w:rsidRPr="00573C4D">
        <w:rPr>
          <w:rFonts w:ascii="Arial" w:hAnsi="Arial" w:cs="Arial"/>
          <w:sz w:val="22"/>
          <w:szCs w:val="22"/>
        </w:rPr>
        <w:t xml:space="preserve"> skills. In depth knowledge of contemporary management principles and demonstrated experience to effectively manag</w:t>
      </w:r>
      <w:r w:rsidR="00573C4D">
        <w:rPr>
          <w:rFonts w:ascii="Arial" w:hAnsi="Arial" w:cs="Arial"/>
          <w:sz w:val="22"/>
          <w:szCs w:val="22"/>
        </w:rPr>
        <w:t>e fin</w:t>
      </w:r>
      <w:r w:rsidR="00573C4D" w:rsidRPr="00573C4D">
        <w:rPr>
          <w:rFonts w:ascii="Arial" w:hAnsi="Arial" w:cs="Arial"/>
          <w:sz w:val="22"/>
          <w:szCs w:val="22"/>
        </w:rPr>
        <w:t>ancial, human, physical and information resources in a rapidly changing environment.</w:t>
      </w:r>
    </w:p>
    <w:p w14:paraId="10FF84AC" w14:textId="77777777" w:rsidR="00573C4D" w:rsidRPr="00573C4D" w:rsidRDefault="00573C4D" w:rsidP="00573C4D">
      <w:pPr>
        <w:pStyle w:val="NormalWeb"/>
        <w:numPr>
          <w:ilvl w:val="0"/>
          <w:numId w:val="6"/>
        </w:numPr>
        <w:spacing w:before="0" w:beforeAutospacing="0" w:after="120" w:afterAutospacing="0"/>
        <w:ind w:left="-284"/>
        <w:jc w:val="both"/>
        <w:rPr>
          <w:rFonts w:ascii="Arial" w:hAnsi="Arial" w:cs="Arial"/>
          <w:sz w:val="22"/>
          <w:szCs w:val="22"/>
        </w:rPr>
      </w:pPr>
      <w:r w:rsidRPr="00573C4D">
        <w:rPr>
          <w:rFonts w:ascii="Arial" w:hAnsi="Arial" w:cs="Arial"/>
          <w:sz w:val="22"/>
          <w:szCs w:val="22"/>
        </w:rPr>
        <w:t>Proven ability to be adaptive and flexible to achieve results in a high pressure and changeable environment.</w:t>
      </w:r>
    </w:p>
    <w:p w14:paraId="359181AB" w14:textId="366C591F" w:rsidR="00573C4D" w:rsidRPr="00573C4D" w:rsidRDefault="00573C4D" w:rsidP="00573C4D">
      <w:pPr>
        <w:pStyle w:val="NormalWeb"/>
        <w:numPr>
          <w:ilvl w:val="0"/>
          <w:numId w:val="6"/>
        </w:numPr>
        <w:spacing w:before="0" w:beforeAutospacing="0" w:after="120" w:afterAutospacing="0"/>
        <w:ind w:left="-284"/>
        <w:jc w:val="both"/>
        <w:rPr>
          <w:rFonts w:ascii="Arial" w:hAnsi="Arial" w:cs="Arial"/>
          <w:sz w:val="22"/>
          <w:szCs w:val="22"/>
        </w:rPr>
      </w:pPr>
      <w:r w:rsidRPr="00573C4D">
        <w:rPr>
          <w:rFonts w:ascii="Arial" w:hAnsi="Arial" w:cs="Arial"/>
          <w:sz w:val="22"/>
          <w:szCs w:val="22"/>
        </w:rPr>
        <w:t>T</w:t>
      </w:r>
      <w:r w:rsidR="00C21A55">
        <w:rPr>
          <w:rFonts w:ascii="Arial" w:hAnsi="Arial" w:cs="Arial"/>
          <w:sz w:val="22"/>
          <w:szCs w:val="22"/>
        </w:rPr>
        <w:t xml:space="preserve">rack record of raising funds </w:t>
      </w:r>
      <w:r w:rsidRPr="00573C4D">
        <w:rPr>
          <w:rFonts w:ascii="Arial" w:hAnsi="Arial" w:cs="Arial"/>
          <w:sz w:val="22"/>
          <w:szCs w:val="22"/>
        </w:rPr>
        <w:t>through sponsorship, philanthropy and/or grants.</w:t>
      </w:r>
    </w:p>
    <w:p w14:paraId="2A284607" w14:textId="2B2EE010" w:rsidR="00573C4D" w:rsidRPr="00573C4D" w:rsidRDefault="00573C4D" w:rsidP="00573C4D">
      <w:pPr>
        <w:pStyle w:val="NormalWeb"/>
        <w:numPr>
          <w:ilvl w:val="0"/>
          <w:numId w:val="6"/>
        </w:numPr>
        <w:spacing w:before="0" w:beforeAutospacing="0" w:after="120" w:afterAutospacing="0"/>
        <w:ind w:left="-284"/>
        <w:jc w:val="both"/>
        <w:rPr>
          <w:rFonts w:ascii="Arial" w:hAnsi="Arial" w:cs="Arial"/>
          <w:sz w:val="22"/>
          <w:szCs w:val="22"/>
        </w:rPr>
      </w:pPr>
      <w:r w:rsidRPr="00573C4D">
        <w:rPr>
          <w:rFonts w:ascii="Arial" w:hAnsi="Arial" w:cs="Arial"/>
          <w:sz w:val="22"/>
          <w:szCs w:val="22"/>
        </w:rPr>
        <w:t>Demonstrated high-level communication skills, including negotiation, consultation, liaison and conflict resolution skills. Highly developed writing skills</w:t>
      </w:r>
      <w:r w:rsidR="00022796">
        <w:rPr>
          <w:rFonts w:ascii="Arial" w:hAnsi="Arial" w:cs="Arial"/>
          <w:sz w:val="22"/>
          <w:szCs w:val="22"/>
        </w:rPr>
        <w:t xml:space="preserve"> to influence outcomes</w:t>
      </w:r>
      <w:r w:rsidRPr="00573C4D">
        <w:rPr>
          <w:rFonts w:ascii="Arial" w:hAnsi="Arial" w:cs="Arial"/>
          <w:sz w:val="22"/>
          <w:szCs w:val="22"/>
        </w:rPr>
        <w:t>, including quality assuring the written work of others in relation to policy, departmental and ministerial issues.</w:t>
      </w:r>
    </w:p>
    <w:p w14:paraId="66134A44" w14:textId="77777777" w:rsidR="00573C4D" w:rsidRPr="00573C4D" w:rsidRDefault="00573C4D" w:rsidP="00573C4D">
      <w:pPr>
        <w:pStyle w:val="NormalWeb"/>
        <w:numPr>
          <w:ilvl w:val="0"/>
          <w:numId w:val="6"/>
        </w:numPr>
        <w:spacing w:before="0" w:beforeAutospacing="0" w:after="120" w:afterAutospacing="0"/>
        <w:ind w:left="-284"/>
        <w:jc w:val="both"/>
        <w:rPr>
          <w:rFonts w:ascii="Arial" w:hAnsi="Arial" w:cs="Arial"/>
          <w:sz w:val="22"/>
          <w:szCs w:val="22"/>
        </w:rPr>
      </w:pPr>
      <w:r w:rsidRPr="00573C4D">
        <w:rPr>
          <w:rFonts w:ascii="Arial" w:hAnsi="Arial" w:cs="Arial"/>
          <w:sz w:val="22"/>
          <w:szCs w:val="22"/>
        </w:rPr>
        <w:t>Proven ability to negotiate and manage financial resources, including presenting and reporting accurate financial information, managing resource allocation and advising on financial strategy at operational and program level.</w:t>
      </w:r>
    </w:p>
    <w:p w14:paraId="0D14F6BC" w14:textId="77777777" w:rsidR="00EF0529" w:rsidRPr="00A4261D" w:rsidRDefault="00EF0529" w:rsidP="00EF0529">
      <w:pPr>
        <w:tabs>
          <w:tab w:val="left" w:pos="3402"/>
        </w:tabs>
        <w:spacing w:after="0" w:line="240" w:lineRule="auto"/>
        <w:ind w:left="3261" w:right="-1" w:hanging="3828"/>
        <w:rPr>
          <w:rFonts w:ascii="Arial" w:hAnsi="Arial" w:cs="Arial"/>
          <w:bCs/>
          <w:szCs w:val="20"/>
          <w:lang w:eastAsia="en-US"/>
        </w:rPr>
      </w:pPr>
    </w:p>
    <w:p w14:paraId="784A5094" w14:textId="77777777" w:rsidR="00EF0529" w:rsidRPr="00A4261D" w:rsidRDefault="00EF0529" w:rsidP="00EF0529">
      <w:pPr>
        <w:tabs>
          <w:tab w:val="left" w:pos="-1440"/>
          <w:tab w:val="left" w:pos="-720"/>
        </w:tabs>
        <w:spacing w:after="0" w:line="240" w:lineRule="auto"/>
        <w:ind w:left="-567" w:right="-1"/>
        <w:rPr>
          <w:rFonts w:ascii="Arial" w:eastAsia="Calibri" w:hAnsi="Arial" w:cs="Arial"/>
          <w:sz w:val="22"/>
        </w:rPr>
      </w:pPr>
    </w:p>
    <w:p w14:paraId="56022624" w14:textId="77777777" w:rsidR="00EF0529" w:rsidRPr="00A4261D" w:rsidRDefault="00EF0529" w:rsidP="00EF0529">
      <w:pPr>
        <w:pStyle w:val="ReverseHeading"/>
        <w:ind w:left="-567"/>
        <w:jc w:val="both"/>
        <w:rPr>
          <w:sz w:val="22"/>
          <w:szCs w:val="22"/>
        </w:rPr>
      </w:pPr>
      <w:r w:rsidRPr="00A4261D">
        <w:rPr>
          <w:sz w:val="22"/>
          <w:szCs w:val="22"/>
        </w:rPr>
        <w:t>QualificationS and requirements:</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8108"/>
      </w:tblGrid>
      <w:tr w:rsidR="00EF0529" w:rsidRPr="00A4261D" w14:paraId="01987708" w14:textId="77777777" w:rsidTr="004C58BF">
        <w:tc>
          <w:tcPr>
            <w:tcW w:w="2665" w:type="dxa"/>
            <w:shd w:val="clear" w:color="auto" w:fill="AEAAAA"/>
          </w:tcPr>
          <w:p w14:paraId="2B7E0DF8" w14:textId="77777777" w:rsidR="00EF0529" w:rsidRPr="00A4261D" w:rsidRDefault="00EF0529" w:rsidP="004C58BF">
            <w:pPr>
              <w:pStyle w:val="BodyText"/>
              <w:spacing w:before="60" w:after="60"/>
              <w:ind w:left="-108"/>
              <w:jc w:val="both"/>
              <w:rPr>
                <w:rFonts w:cs="Arial"/>
                <w:b/>
                <w:sz w:val="18"/>
                <w:szCs w:val="18"/>
              </w:rPr>
            </w:pPr>
            <w:r w:rsidRPr="00A4261D">
              <w:rPr>
                <w:rFonts w:cs="Arial"/>
                <w:b/>
                <w:sz w:val="18"/>
                <w:szCs w:val="18"/>
              </w:rPr>
              <w:t>Pre-employment</w:t>
            </w:r>
          </w:p>
        </w:tc>
        <w:tc>
          <w:tcPr>
            <w:tcW w:w="8108" w:type="dxa"/>
            <w:shd w:val="clear" w:color="auto" w:fill="auto"/>
          </w:tcPr>
          <w:p w14:paraId="1DEAA33C" w14:textId="77777777" w:rsidR="00EF0529" w:rsidRPr="00A4261D" w:rsidRDefault="00EF0529" w:rsidP="004C58BF">
            <w:pPr>
              <w:pStyle w:val="BodyText"/>
              <w:spacing w:before="60" w:after="60"/>
              <w:jc w:val="both"/>
              <w:rPr>
                <w:rFonts w:cs="Arial"/>
                <w:sz w:val="18"/>
                <w:szCs w:val="18"/>
              </w:rPr>
            </w:pPr>
            <w:r w:rsidRPr="00A4261D">
              <w:rPr>
                <w:rFonts w:cs="Arial"/>
                <w:sz w:val="18"/>
                <w:szCs w:val="18"/>
              </w:rPr>
              <w:t>The Head of the State Service has determined that the person nominated for this role is to satisfy a pre-employment check before taking up the appointment, promotion or transfer.  The following checks are to be conducted.</w:t>
            </w:r>
          </w:p>
          <w:p w14:paraId="4D84FADB" w14:textId="77777777" w:rsidR="00EF0529" w:rsidRPr="00715D9C" w:rsidRDefault="00EF0529" w:rsidP="004C58BF">
            <w:pPr>
              <w:pStyle w:val="BodyText"/>
              <w:numPr>
                <w:ilvl w:val="0"/>
                <w:numId w:val="3"/>
              </w:numPr>
              <w:spacing w:before="60" w:after="60"/>
              <w:ind w:left="0" w:hanging="283"/>
              <w:jc w:val="both"/>
              <w:rPr>
                <w:rFonts w:cs="Arial"/>
                <w:b/>
                <w:i/>
                <w:szCs w:val="20"/>
              </w:rPr>
            </w:pPr>
            <w:r w:rsidRPr="00715D9C">
              <w:rPr>
                <w:rFonts w:cs="Arial"/>
                <w:b/>
                <w:i/>
                <w:szCs w:val="20"/>
              </w:rPr>
              <w:t>Nil</w:t>
            </w:r>
          </w:p>
        </w:tc>
      </w:tr>
      <w:tr w:rsidR="00EF0529" w:rsidRPr="00A4261D" w14:paraId="12DD3C32" w14:textId="77777777" w:rsidTr="004C58BF">
        <w:tc>
          <w:tcPr>
            <w:tcW w:w="2665" w:type="dxa"/>
            <w:shd w:val="clear" w:color="auto" w:fill="AEAAAA"/>
          </w:tcPr>
          <w:p w14:paraId="511B2EB8" w14:textId="77777777" w:rsidR="00EF0529" w:rsidRPr="00A4261D" w:rsidRDefault="00EF0529" w:rsidP="004C58BF">
            <w:pPr>
              <w:pStyle w:val="BodyText"/>
              <w:spacing w:before="60" w:after="60"/>
              <w:ind w:left="-108"/>
              <w:jc w:val="both"/>
              <w:rPr>
                <w:rFonts w:cs="Arial"/>
                <w:b/>
                <w:sz w:val="18"/>
                <w:szCs w:val="18"/>
              </w:rPr>
            </w:pPr>
            <w:r w:rsidRPr="00A4261D">
              <w:rPr>
                <w:rFonts w:cs="Arial"/>
                <w:b/>
                <w:sz w:val="18"/>
                <w:szCs w:val="18"/>
              </w:rPr>
              <w:t>Essential</w:t>
            </w:r>
          </w:p>
        </w:tc>
        <w:tc>
          <w:tcPr>
            <w:tcW w:w="8108" w:type="dxa"/>
            <w:shd w:val="clear" w:color="auto" w:fill="auto"/>
          </w:tcPr>
          <w:p w14:paraId="1D113DC5" w14:textId="77777777" w:rsidR="00322E30" w:rsidRPr="008F3EAC" w:rsidRDefault="00322E30" w:rsidP="00322E30">
            <w:pPr>
              <w:numPr>
                <w:ilvl w:val="12"/>
                <w:numId w:val="0"/>
              </w:numPr>
              <w:spacing w:before="60" w:after="0"/>
              <w:ind w:right="397"/>
              <w:rPr>
                <w:rFonts w:ascii="Arial" w:hAnsi="Arial" w:cs="Arial"/>
                <w:sz w:val="18"/>
                <w:szCs w:val="18"/>
                <w:lang w:eastAsia="en-AU"/>
              </w:rPr>
            </w:pPr>
            <w:r w:rsidRPr="008F3EAC">
              <w:rPr>
                <w:rFonts w:ascii="Arial" w:hAnsi="Arial" w:cs="Arial"/>
                <w:sz w:val="18"/>
                <w:szCs w:val="18"/>
                <w:lang w:eastAsia="en-AU"/>
              </w:rPr>
              <w:t>Evidence of the following must be provided prior to appointment to this role:</w:t>
            </w:r>
          </w:p>
          <w:p w14:paraId="502F7525" w14:textId="47ADE4EE" w:rsidR="00715D9C" w:rsidRPr="00715D9C" w:rsidRDefault="00715D9C" w:rsidP="00322E30">
            <w:pPr>
              <w:pStyle w:val="BodyText"/>
              <w:spacing w:before="60" w:after="60"/>
              <w:jc w:val="both"/>
              <w:rPr>
                <w:rFonts w:cs="Arial"/>
                <w:b/>
                <w:i/>
                <w:sz w:val="18"/>
                <w:szCs w:val="18"/>
              </w:rPr>
            </w:pPr>
            <w:r w:rsidRPr="00715D9C">
              <w:rPr>
                <w:rFonts w:cs="Arial"/>
                <w:b/>
                <w:i/>
                <w:sz w:val="18"/>
                <w:szCs w:val="18"/>
              </w:rPr>
              <w:t>Nil</w:t>
            </w:r>
          </w:p>
          <w:p w14:paraId="4D5612B4" w14:textId="77777777" w:rsidR="00EF0529" w:rsidRDefault="00322E30" w:rsidP="00322E30">
            <w:pPr>
              <w:pStyle w:val="BodyText"/>
              <w:spacing w:before="60" w:after="60"/>
              <w:jc w:val="both"/>
              <w:rPr>
                <w:rFonts w:cs="Arial"/>
                <w:sz w:val="18"/>
                <w:szCs w:val="18"/>
              </w:rPr>
            </w:pPr>
            <w:r w:rsidRPr="00A4261D">
              <w:rPr>
                <w:rFonts w:cs="Arial"/>
                <w:sz w:val="18"/>
                <w:szCs w:val="18"/>
              </w:rPr>
              <w:t>The person must continue to satisfy the above essential requirements/qualifications throughout their employment in this role.</w:t>
            </w:r>
          </w:p>
          <w:p w14:paraId="7A185762" w14:textId="77777777" w:rsidR="00EF0529" w:rsidRPr="00A4261D" w:rsidRDefault="00EF0529" w:rsidP="004C58BF">
            <w:pPr>
              <w:pStyle w:val="BodyText"/>
              <w:spacing w:before="60" w:after="60"/>
              <w:jc w:val="both"/>
              <w:rPr>
                <w:rFonts w:cs="Arial"/>
                <w:sz w:val="18"/>
                <w:szCs w:val="18"/>
              </w:rPr>
            </w:pPr>
          </w:p>
        </w:tc>
      </w:tr>
      <w:tr w:rsidR="00EF0529" w:rsidRPr="00A4261D" w14:paraId="63998A15" w14:textId="77777777" w:rsidTr="004C58BF">
        <w:tc>
          <w:tcPr>
            <w:tcW w:w="2665" w:type="dxa"/>
            <w:shd w:val="clear" w:color="auto" w:fill="AEAAAA"/>
          </w:tcPr>
          <w:p w14:paraId="127F9B1C" w14:textId="4FE12856" w:rsidR="00715D9C" w:rsidRDefault="00715D9C" w:rsidP="004C58BF">
            <w:pPr>
              <w:pStyle w:val="BodyText"/>
              <w:spacing w:before="60" w:after="60"/>
              <w:ind w:left="-108"/>
              <w:jc w:val="both"/>
              <w:rPr>
                <w:rFonts w:cs="Arial"/>
                <w:b/>
                <w:sz w:val="18"/>
                <w:szCs w:val="18"/>
              </w:rPr>
            </w:pPr>
            <w:r>
              <w:rPr>
                <w:rFonts w:cs="Arial"/>
                <w:b/>
                <w:sz w:val="18"/>
                <w:szCs w:val="18"/>
              </w:rPr>
              <w:t>Highly Desirable</w:t>
            </w:r>
          </w:p>
          <w:p w14:paraId="446E3C97" w14:textId="77777777" w:rsidR="00715D9C" w:rsidRDefault="00715D9C" w:rsidP="004C58BF">
            <w:pPr>
              <w:pStyle w:val="BodyText"/>
              <w:spacing w:before="60" w:after="60"/>
              <w:ind w:left="-108"/>
              <w:jc w:val="both"/>
              <w:rPr>
                <w:rFonts w:cs="Arial"/>
                <w:b/>
                <w:sz w:val="18"/>
                <w:szCs w:val="18"/>
              </w:rPr>
            </w:pPr>
          </w:p>
          <w:p w14:paraId="54174844" w14:textId="77777777" w:rsidR="00715D9C" w:rsidRDefault="00715D9C" w:rsidP="004C58BF">
            <w:pPr>
              <w:pStyle w:val="BodyText"/>
              <w:spacing w:before="60" w:after="60"/>
              <w:ind w:left="-108"/>
              <w:jc w:val="both"/>
              <w:rPr>
                <w:rFonts w:cs="Arial"/>
                <w:b/>
                <w:sz w:val="18"/>
                <w:szCs w:val="18"/>
              </w:rPr>
            </w:pPr>
          </w:p>
          <w:p w14:paraId="4C5B0BBA" w14:textId="77777777" w:rsidR="00EF0529" w:rsidRPr="00A4261D" w:rsidRDefault="00EF0529" w:rsidP="004C58BF">
            <w:pPr>
              <w:pStyle w:val="BodyText"/>
              <w:spacing w:before="60" w:after="60"/>
              <w:ind w:left="-108"/>
              <w:jc w:val="both"/>
              <w:rPr>
                <w:rFonts w:cs="Arial"/>
                <w:b/>
                <w:sz w:val="18"/>
                <w:szCs w:val="18"/>
              </w:rPr>
            </w:pPr>
            <w:r w:rsidRPr="00A4261D">
              <w:rPr>
                <w:rFonts w:cs="Arial"/>
                <w:b/>
                <w:sz w:val="18"/>
                <w:szCs w:val="18"/>
              </w:rPr>
              <w:t>Desirable</w:t>
            </w:r>
          </w:p>
        </w:tc>
        <w:tc>
          <w:tcPr>
            <w:tcW w:w="8108" w:type="dxa"/>
            <w:shd w:val="clear" w:color="auto" w:fill="auto"/>
          </w:tcPr>
          <w:p w14:paraId="52A802C8" w14:textId="77777777" w:rsidR="00715D9C" w:rsidRPr="00715D9C" w:rsidRDefault="00715D9C" w:rsidP="00715D9C">
            <w:pPr>
              <w:spacing w:before="120" w:after="120" w:line="240" w:lineRule="auto"/>
              <w:ind w:left="34" w:right="397"/>
              <w:rPr>
                <w:rFonts w:ascii="Arial" w:hAnsi="Arial" w:cs="Arial"/>
                <w:bCs/>
                <w:sz w:val="22"/>
              </w:rPr>
            </w:pPr>
            <w:r w:rsidRPr="00715D9C">
              <w:rPr>
                <w:rFonts w:ascii="Arial" w:hAnsi="Arial" w:cs="Arial"/>
                <w:szCs w:val="20"/>
              </w:rPr>
              <w:t>Degree in a relevant subject such as science, art, history, museum or cultural studies, or equivalent experience</w:t>
            </w:r>
          </w:p>
          <w:p w14:paraId="75346C27" w14:textId="77777777" w:rsidR="00715D9C" w:rsidRDefault="00715D9C" w:rsidP="00715D9C">
            <w:pPr>
              <w:pStyle w:val="BodyText"/>
              <w:spacing w:before="60" w:after="60"/>
              <w:ind w:left="360"/>
              <w:jc w:val="both"/>
              <w:rPr>
                <w:rFonts w:cs="Arial"/>
                <w:sz w:val="18"/>
                <w:szCs w:val="18"/>
              </w:rPr>
            </w:pPr>
          </w:p>
          <w:p w14:paraId="1D9FB5F6" w14:textId="5102E685" w:rsidR="00C21A55" w:rsidRPr="00C21A55" w:rsidRDefault="00C21A55" w:rsidP="00C21A55">
            <w:pPr>
              <w:pStyle w:val="BodyText"/>
              <w:numPr>
                <w:ilvl w:val="0"/>
                <w:numId w:val="7"/>
              </w:numPr>
              <w:spacing w:before="60" w:after="60"/>
              <w:jc w:val="both"/>
              <w:rPr>
                <w:rFonts w:cs="Arial"/>
                <w:sz w:val="18"/>
                <w:szCs w:val="18"/>
              </w:rPr>
            </w:pPr>
            <w:r>
              <w:rPr>
                <w:rFonts w:cs="Arial"/>
                <w:sz w:val="18"/>
                <w:szCs w:val="18"/>
              </w:rPr>
              <w:t>An a</w:t>
            </w:r>
            <w:r w:rsidR="00022796">
              <w:rPr>
                <w:rFonts w:cs="Arial"/>
                <w:sz w:val="18"/>
                <w:szCs w:val="18"/>
              </w:rPr>
              <w:t>wareness of the role museums and/or Art Galleries as interpretative, educational, research, scienti</w:t>
            </w:r>
            <w:r>
              <w:rPr>
                <w:rFonts w:cs="Arial"/>
                <w:sz w:val="18"/>
                <w:szCs w:val="18"/>
              </w:rPr>
              <w:t>fic and curatorial institutions</w:t>
            </w:r>
          </w:p>
          <w:p w14:paraId="0E2246B4" w14:textId="53FF11E0" w:rsidR="00022796" w:rsidRDefault="00022796" w:rsidP="00022796">
            <w:pPr>
              <w:pStyle w:val="BodyText"/>
              <w:numPr>
                <w:ilvl w:val="0"/>
                <w:numId w:val="7"/>
              </w:numPr>
              <w:spacing w:before="60" w:after="60"/>
              <w:jc w:val="both"/>
              <w:rPr>
                <w:rFonts w:cs="Arial"/>
                <w:sz w:val="18"/>
                <w:szCs w:val="18"/>
              </w:rPr>
            </w:pPr>
            <w:r>
              <w:rPr>
                <w:rFonts w:cs="Arial"/>
                <w:sz w:val="18"/>
                <w:szCs w:val="18"/>
              </w:rPr>
              <w:t>Drivers licence</w:t>
            </w:r>
          </w:p>
          <w:p w14:paraId="5BDDB5EF" w14:textId="2C6AA7BE" w:rsidR="00022796" w:rsidRPr="00A4261D" w:rsidRDefault="00022796" w:rsidP="004C58BF">
            <w:pPr>
              <w:pStyle w:val="BodyText"/>
              <w:spacing w:before="60" w:after="60"/>
              <w:jc w:val="both"/>
              <w:rPr>
                <w:rFonts w:cs="Arial"/>
                <w:sz w:val="18"/>
                <w:szCs w:val="18"/>
              </w:rPr>
            </w:pPr>
          </w:p>
        </w:tc>
      </w:tr>
    </w:tbl>
    <w:p w14:paraId="145335ED" w14:textId="13145BD0" w:rsidR="00EF0529" w:rsidRPr="00A4261D" w:rsidRDefault="00EF0529" w:rsidP="00EF0529">
      <w:pPr>
        <w:pStyle w:val="ReverseHeading"/>
        <w:ind w:left="-567"/>
        <w:jc w:val="both"/>
        <w:rPr>
          <w:sz w:val="22"/>
          <w:szCs w:val="22"/>
        </w:rPr>
      </w:pPr>
      <w:r w:rsidRPr="00A4261D">
        <w:rPr>
          <w:sz w:val="22"/>
          <w:szCs w:val="22"/>
        </w:rPr>
        <w:t>WORK ENVIRONMENT:</w:t>
      </w:r>
    </w:p>
    <w:p w14:paraId="574886F5" w14:textId="77777777" w:rsidR="00EF0529" w:rsidRPr="00A4261D" w:rsidRDefault="00EF0529" w:rsidP="00EF0529">
      <w:pPr>
        <w:pStyle w:val="BodyText"/>
        <w:ind w:left="-567"/>
        <w:jc w:val="both"/>
        <w:rPr>
          <w:rFonts w:cs="Arial"/>
          <w:sz w:val="22"/>
          <w:szCs w:val="22"/>
        </w:rPr>
      </w:pPr>
      <w:r w:rsidRPr="00A4261D">
        <w:rPr>
          <w:rFonts w:cs="Arial"/>
          <w:sz w:val="22"/>
          <w:szCs w:val="22"/>
        </w:rPr>
        <w:t xml:space="preserve">The Department of State Growth is a values based organisation and we aim to attract, recruit and retain people who will uphold our values and are committed to building the culture we aspire to.  </w:t>
      </w:r>
    </w:p>
    <w:p w14:paraId="146E583F" w14:textId="77777777" w:rsidR="00EF0529" w:rsidRPr="00A4261D" w:rsidRDefault="00EF0529" w:rsidP="00EF0529">
      <w:pPr>
        <w:pStyle w:val="BodyText"/>
        <w:ind w:left="-567"/>
        <w:jc w:val="both"/>
        <w:rPr>
          <w:rFonts w:cs="Arial"/>
          <w:sz w:val="22"/>
          <w:szCs w:val="22"/>
        </w:rPr>
      </w:pPr>
      <w:r w:rsidRPr="00A4261D">
        <w:rPr>
          <w:rFonts w:cs="Arial"/>
          <w:sz w:val="22"/>
          <w:szCs w:val="22"/>
        </w:rPr>
        <w:t xml:space="preserve">We are also committed to high standards of performance in relation to Workplace Health and Safety and Diversity Management.  All employees are expected to participate in maintaining safe working conditions and practise, promote and uphold the principle of fair and equitable access to employment/promotion, personal development, training and the elimination of workplace harassment and discrimination. </w:t>
      </w:r>
    </w:p>
    <w:p w14:paraId="683C2A4C" w14:textId="77777777" w:rsidR="00EF0529" w:rsidRPr="00A4261D" w:rsidRDefault="00EF0529" w:rsidP="00EF0529">
      <w:pPr>
        <w:pStyle w:val="BodyText"/>
        <w:ind w:left="-567"/>
        <w:jc w:val="both"/>
        <w:rPr>
          <w:rFonts w:cs="Arial"/>
          <w:sz w:val="22"/>
          <w:szCs w:val="22"/>
        </w:rPr>
      </w:pPr>
      <w:r w:rsidRPr="00A4261D">
        <w:rPr>
          <w:rFonts w:cs="Arial"/>
          <w:sz w:val="22"/>
          <w:szCs w:val="22"/>
        </w:rPr>
        <w:t xml:space="preserve">The expected behaviours and performance of the Department’s employees and managers are governed by the </w:t>
      </w:r>
      <w:r w:rsidRPr="00A4261D">
        <w:rPr>
          <w:rFonts w:cs="Arial"/>
          <w:i/>
          <w:sz w:val="22"/>
          <w:szCs w:val="22"/>
        </w:rPr>
        <w:t xml:space="preserve">State Service Act 2000 </w:t>
      </w:r>
      <w:r w:rsidRPr="00A4261D">
        <w:rPr>
          <w:rFonts w:cs="Arial"/>
          <w:sz w:val="22"/>
          <w:szCs w:val="22"/>
        </w:rPr>
        <w:t xml:space="preserve">through the State Service Principles and Code of Conduct.  </w:t>
      </w:r>
    </w:p>
    <w:p w14:paraId="672F9566" w14:textId="77777777" w:rsidR="00EF0529" w:rsidRPr="00A4261D" w:rsidRDefault="00EF0529" w:rsidP="00EF0529">
      <w:pPr>
        <w:pStyle w:val="BodyText"/>
        <w:ind w:left="-567"/>
        <w:jc w:val="both"/>
        <w:rPr>
          <w:rFonts w:cs="Arial"/>
          <w:sz w:val="22"/>
          <w:szCs w:val="22"/>
        </w:rPr>
      </w:pPr>
      <w:r w:rsidRPr="00A4261D">
        <w:rPr>
          <w:rFonts w:cs="Arial"/>
          <w:sz w:val="22"/>
          <w:szCs w:val="22"/>
        </w:rPr>
        <w:t xml:space="preserve">These can be located at </w:t>
      </w:r>
      <w:hyperlink r:id="rId8" w:history="1">
        <w:r w:rsidRPr="00A4261D">
          <w:rPr>
            <w:rStyle w:val="Hyperlink"/>
            <w:rFonts w:cs="Arial"/>
            <w:sz w:val="22"/>
            <w:szCs w:val="22"/>
          </w:rPr>
          <w:t>www.dpac.tas.gov.au/divisions/ssmo</w:t>
        </w:r>
      </w:hyperlink>
    </w:p>
    <w:p w14:paraId="27836A8F" w14:textId="77777777" w:rsidR="00EF0529" w:rsidRPr="00A4261D" w:rsidRDefault="00EF0529" w:rsidP="00EF0529">
      <w:pPr>
        <w:pStyle w:val="BodyText"/>
        <w:ind w:left="-567"/>
        <w:jc w:val="both"/>
        <w:rPr>
          <w:rFonts w:cs="Arial"/>
          <w:sz w:val="22"/>
          <w:szCs w:val="22"/>
        </w:rPr>
      </w:pPr>
      <w:r w:rsidRPr="00A4261D">
        <w:rPr>
          <w:rFonts w:cs="Arial"/>
          <w:sz w:val="22"/>
          <w:szCs w:val="22"/>
        </w:rPr>
        <w:lastRenderedPageBreak/>
        <w:t>The Department is a smoke-free environment.</w:t>
      </w:r>
    </w:p>
    <w:p w14:paraId="484C12A0" w14:textId="4716B599" w:rsidR="00022796" w:rsidRDefault="00022796">
      <w:pPr>
        <w:spacing w:after="0" w:line="240" w:lineRule="auto"/>
        <w:rPr>
          <w:rFonts w:ascii="Arial" w:hAnsi="Arial" w:cs="Arial"/>
          <w:sz w:val="22"/>
        </w:rPr>
      </w:pPr>
      <w:r>
        <w:rPr>
          <w:rFonts w:ascii="Arial" w:hAnsi="Arial" w:cs="Arial"/>
          <w:sz w:val="22"/>
        </w:rPr>
        <w:br w:type="page"/>
      </w:r>
    </w:p>
    <w:p w14:paraId="4D417D7B" w14:textId="77777777" w:rsidR="00022796" w:rsidRDefault="00022796">
      <w:pPr>
        <w:spacing w:after="0" w:line="240" w:lineRule="auto"/>
        <w:rPr>
          <w:rFonts w:ascii="Arial" w:hAnsi="Arial" w:cs="Arial"/>
          <w:sz w:val="22"/>
        </w:rPr>
      </w:pPr>
    </w:p>
    <w:p w14:paraId="0D8C9500" w14:textId="77777777" w:rsidR="00EF0529" w:rsidRPr="00A4261D" w:rsidRDefault="00EF0529" w:rsidP="00EF0529">
      <w:pPr>
        <w:pStyle w:val="ReverseHeading"/>
        <w:ind w:left="-567"/>
        <w:jc w:val="both"/>
        <w:rPr>
          <w:sz w:val="22"/>
          <w:szCs w:val="22"/>
        </w:rPr>
      </w:pPr>
      <w:r w:rsidRPr="00A4261D">
        <w:rPr>
          <w:sz w:val="22"/>
          <w:szCs w:val="22"/>
        </w:rPr>
        <w:t>THE DEPARTMENT:</w:t>
      </w:r>
    </w:p>
    <w:p w14:paraId="653CD6CC" w14:textId="77777777" w:rsidR="00EF0529" w:rsidRPr="00A4261D" w:rsidRDefault="00EF0529" w:rsidP="00EF0529">
      <w:pPr>
        <w:pStyle w:val="BodyText"/>
        <w:ind w:left="-567"/>
        <w:jc w:val="both"/>
        <w:rPr>
          <w:rFonts w:cs="Arial"/>
          <w:sz w:val="22"/>
          <w:szCs w:val="22"/>
        </w:rPr>
      </w:pPr>
      <w:r w:rsidRPr="00A4261D">
        <w:rPr>
          <w:rFonts w:cs="Arial"/>
          <w:sz w:val="22"/>
          <w:szCs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6A0939FB" w14:textId="77777777" w:rsidR="00EF0529" w:rsidRPr="00A4261D" w:rsidRDefault="00EF0529" w:rsidP="00EF0529">
      <w:pPr>
        <w:pStyle w:val="BodyText"/>
        <w:ind w:left="-567"/>
        <w:jc w:val="both"/>
        <w:rPr>
          <w:rFonts w:cs="Arial"/>
          <w:sz w:val="22"/>
          <w:szCs w:val="22"/>
        </w:rPr>
      </w:pPr>
      <w:r w:rsidRPr="00A4261D">
        <w:rPr>
          <w:rFonts w:cs="Arial"/>
          <w:sz w:val="22"/>
          <w:szCs w:val="22"/>
        </w:rPr>
        <w:t xml:space="preserve">The Department’s website at </w:t>
      </w:r>
      <w:hyperlink r:id="rId9" w:history="1">
        <w:r w:rsidRPr="00A4261D">
          <w:rPr>
            <w:rStyle w:val="Hyperlink"/>
            <w:rFonts w:cs="Arial"/>
            <w:sz w:val="22"/>
            <w:szCs w:val="22"/>
          </w:rPr>
          <w:t>www.stategrowth.tas.gov.au</w:t>
        </w:r>
      </w:hyperlink>
      <w:r w:rsidRPr="00A4261D">
        <w:rPr>
          <w:rFonts w:cs="Arial"/>
          <w:sz w:val="22"/>
          <w:szCs w:val="22"/>
        </w:rPr>
        <w:t xml:space="preserve"> provides more information.</w:t>
      </w:r>
    </w:p>
    <w:p w14:paraId="7F024545" w14:textId="77777777" w:rsidR="0041162B" w:rsidRPr="00EF0529" w:rsidRDefault="0041162B" w:rsidP="00EF0529"/>
    <w:sectPr w:rsidR="0041162B" w:rsidRPr="00EF0529" w:rsidSect="00C85A7B">
      <w:headerReference w:type="even" r:id="rId10"/>
      <w:headerReference w:type="default" r:id="rId11"/>
      <w:footerReference w:type="even" r:id="rId12"/>
      <w:footerReference w:type="default" r:id="rId13"/>
      <w:headerReference w:type="first" r:id="rId14"/>
      <w:footerReference w:type="first" r:id="rId15"/>
      <w:pgSz w:w="11906" w:h="16838" w:code="9"/>
      <w:pgMar w:top="-1418" w:right="566" w:bottom="567" w:left="1134" w:header="2457"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55D9" w14:textId="77777777" w:rsidR="00F320AF" w:rsidRDefault="00F320AF" w:rsidP="00991089">
      <w:r>
        <w:separator/>
      </w:r>
    </w:p>
  </w:endnote>
  <w:endnote w:type="continuationSeparator" w:id="0">
    <w:p w14:paraId="5D2EFDF3" w14:textId="77777777" w:rsidR="00F320AF" w:rsidRDefault="00F320AF" w:rsidP="009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Std Medium">
    <w:panose1 w:val="00000000000000000000"/>
    <w:charset w:val="00"/>
    <w:family w:val="swiss"/>
    <w:notTrueType/>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8172" w14:textId="77777777" w:rsidR="006A2153" w:rsidRDefault="006A2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C0EB8" w14:textId="77777777" w:rsidR="006A2153" w:rsidRDefault="006A2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2CD2" w14:textId="77777777" w:rsidR="00DD50BD" w:rsidRDefault="00DD50BD" w:rsidP="00991089">
    <w:pPr>
      <w:pStyle w:val="Footer"/>
    </w:pPr>
  </w:p>
  <w:p w14:paraId="6DB62045" w14:textId="77777777" w:rsidR="007A41F5" w:rsidRDefault="00930E70" w:rsidP="00930E70">
    <w:pPr>
      <w:pStyle w:val="Footer"/>
      <w:jc w:val="right"/>
    </w:pPr>
    <w:r>
      <w:rPr>
        <w:noProof/>
        <w:lang w:eastAsia="en-AU"/>
      </w:rPr>
      <w:drawing>
        <wp:inline distT="0" distB="0" distL="0" distR="0" wp14:anchorId="47820B8B" wp14:editId="6301B4D3">
          <wp:extent cx="6480810" cy="212412"/>
          <wp:effectExtent l="0" t="0" r="0" b="0"/>
          <wp:docPr id="6" name="Picture 6"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212412"/>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59264" behindDoc="0" locked="0" layoutInCell="1" allowOverlap="1" wp14:anchorId="538300FB" wp14:editId="63C98076">
              <wp:simplePos x="0" y="0"/>
              <wp:positionH relativeFrom="column">
                <wp:posOffset>-261620</wp:posOffset>
              </wp:positionH>
              <wp:positionV relativeFrom="paragraph">
                <wp:posOffset>592636</wp:posOffset>
              </wp:positionV>
              <wp:extent cx="3338195" cy="3429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0AF8" w14:textId="77777777" w:rsidR="007A41F5" w:rsidRPr="00930E70" w:rsidRDefault="007A41F5" w:rsidP="007A41F5">
                          <w:pPr>
                            <w:pStyle w:val="Headersandfooters"/>
                            <w:rPr>
                              <w:sz w:val="22"/>
                              <w:szCs w:val="24"/>
                            </w:rPr>
                          </w:pPr>
                          <w:r w:rsidRPr="00930E70">
                            <w:rPr>
                              <w:sz w:val="22"/>
                              <w:szCs w:val="24"/>
                            </w:rPr>
                            <w:t>Department of State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00FB" id="_x0000_t202" coordsize="21600,21600" o:spt="202" path="m,l,21600r21600,l21600,xe">
              <v:stroke joinstyle="miter"/>
              <v:path gradientshapeok="t" o:connecttype="rect"/>
            </v:shapetype>
            <v:shape id="Text Box 1" o:spid="_x0000_s1030" type="#_x0000_t202" style="position:absolute;left:0;text-align:left;margin-left:-20.6pt;margin-top:46.65pt;width:26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9fugIAAMA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" filled="f" stroked="f">
              <v:textbox>
                <w:txbxContent>
                  <w:p w14:paraId="27E30AF8" w14:textId="77777777" w:rsidR="007A41F5" w:rsidRPr="00930E70" w:rsidRDefault="007A41F5" w:rsidP="007A41F5">
                    <w:pPr>
                      <w:pStyle w:val="Headersandfooters"/>
                      <w:rPr>
                        <w:sz w:val="22"/>
                        <w:szCs w:val="24"/>
                      </w:rPr>
                    </w:pPr>
                    <w:r w:rsidRPr="00930E70">
                      <w:rPr>
                        <w:sz w:val="22"/>
                        <w:szCs w:val="24"/>
                      </w:rPr>
                      <w:t>Department of State Growth</w:t>
                    </w:r>
                  </w:p>
                </w:txbxContent>
              </v:textbox>
            </v:shape>
          </w:pict>
        </mc:Fallback>
      </mc:AlternateContent>
    </w:r>
    <w:r>
      <w:rPr>
        <w:noProof/>
        <w:lang w:eastAsia="en-AU"/>
      </w:rPr>
      <w:drawing>
        <wp:inline distT="0" distB="0" distL="0" distR="0" wp14:anchorId="4452228E" wp14:editId="1E048CD0">
          <wp:extent cx="916598" cy="84908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365" cy="8507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40F9C" w14:textId="77777777" w:rsidR="00F320AF" w:rsidRDefault="00F320AF" w:rsidP="00991089">
      <w:r>
        <w:separator/>
      </w:r>
    </w:p>
  </w:footnote>
  <w:footnote w:type="continuationSeparator" w:id="0">
    <w:p w14:paraId="5D87A01F" w14:textId="77777777" w:rsidR="00F320AF" w:rsidRDefault="00F320AF" w:rsidP="0099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911F3" w14:textId="77777777" w:rsidR="006A2153" w:rsidRDefault="006A2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6F0C" w14:textId="77777777" w:rsidR="00E72E0C" w:rsidRDefault="00B64C69" w:rsidP="00E72E0C">
    <w:pPr>
      <w:pStyle w:val="Header"/>
    </w:pPr>
    <w:r>
      <w:rPr>
        <w:noProof/>
        <w:lang w:eastAsia="en-AU"/>
      </w:rPr>
      <mc:AlternateContent>
        <mc:Choice Requires="wps">
          <w:drawing>
            <wp:anchor distT="0" distB="0" distL="114300" distR="114300" simplePos="0" relativeHeight="251653632" behindDoc="0" locked="0" layoutInCell="1" allowOverlap="1" wp14:anchorId="768F8DF7" wp14:editId="7C463476">
              <wp:simplePos x="0" y="0"/>
              <wp:positionH relativeFrom="column">
                <wp:posOffset>4634230</wp:posOffset>
              </wp:positionH>
              <wp:positionV relativeFrom="paragraph">
                <wp:posOffset>-1099820</wp:posOffset>
              </wp:positionV>
              <wp:extent cx="1870075" cy="180340"/>
              <wp:effectExtent l="0" t="0" r="15875" b="1016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9AB844" w14:textId="77777777" w:rsidR="00F13BEC" w:rsidRDefault="00F13BEC" w:rsidP="00991089">
                          <w:pPr>
                            <w:pStyle w:val="DSGShorttit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F8DF7" id="_x0000_t202" coordsize="21600,21600" o:spt="202" path="m,l,21600r21600,l21600,xe">
              <v:stroke joinstyle="miter"/>
              <v:path gradientshapeok="t" o:connecttype="rect"/>
            </v:shapetype>
            <v:shape id="Text Box 46" o:spid="_x0000_s1026" type="#_x0000_t202" style="position:absolute;margin-left:364.9pt;margin-top:-86.6pt;width:147.25pt;height:1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" filled="f" stroked="f" strokeweight=".5pt">
              <v:textbox inset="0,0,0,0">
                <w:txbxContent>
                  <w:p w14:paraId="2F9AB844" w14:textId="77777777" w:rsidR="00F13BEC" w:rsidRDefault="00F13BEC" w:rsidP="00991089">
                    <w:pPr>
                      <w:pStyle w:val="DSGShorttitle"/>
                    </w:pPr>
                  </w:p>
                </w:txbxContent>
              </v:textbox>
            </v:shape>
          </w:pict>
        </mc:Fallback>
      </mc:AlternateContent>
    </w:r>
    <w:r>
      <w:rPr>
        <w:noProof/>
        <w:lang w:eastAsia="en-AU"/>
      </w:rPr>
      <mc:AlternateContent>
        <mc:Choice Requires="wps">
          <w:drawing>
            <wp:anchor distT="0" distB="0" distL="114300" distR="114300" simplePos="0" relativeHeight="251654656" behindDoc="0" locked="0" layoutInCell="1" allowOverlap="1" wp14:anchorId="2C579D43" wp14:editId="3838D9B3">
              <wp:simplePos x="0" y="0"/>
              <wp:positionH relativeFrom="margin">
                <wp:posOffset>-431165</wp:posOffset>
              </wp:positionH>
              <wp:positionV relativeFrom="paragraph">
                <wp:posOffset>-1122680</wp:posOffset>
              </wp:positionV>
              <wp:extent cx="2031365" cy="10737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1073785"/>
                      </a:xfrm>
                      <a:prstGeom prst="rect">
                        <a:avLst/>
                      </a:prstGeom>
                      <a:noFill/>
                      <a:ln w="6350">
                        <a:noFill/>
                      </a:ln>
                      <a:effectLst/>
                    </wps:spPr>
                    <wps:txbx>
                      <w:txbxContent>
                        <w:p w14:paraId="40B07BC5" w14:textId="77777777" w:rsidR="00D623E6" w:rsidRPr="00D623E6" w:rsidRDefault="00D623E6" w:rsidP="00991089">
                          <w:pPr>
                            <w:pStyle w:val="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9D43" id="Text Box 47" o:spid="_x0000_s1027" type="#_x0000_t202" style="position:absolute;margin-left:-33.95pt;margin-top:-88.4pt;width:159.95pt;height:84.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" filled="f" stroked="f" strokeweight=".5pt">
              <v:path arrowok="t"/>
              <v:textbox>
                <w:txbxContent>
                  <w:p w14:paraId="40B07BC5" w14:textId="77777777" w:rsidR="00D623E6" w:rsidRPr="00D623E6" w:rsidRDefault="00D623E6" w:rsidP="00991089">
                    <w:pPr>
                      <w:pStyle w:val="Title2"/>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82951" w14:textId="77777777" w:rsidR="00142D76" w:rsidRDefault="00647B37" w:rsidP="00647B37">
    <w:pPr>
      <w:pStyle w:val="Header"/>
      <w:ind w:left="-567"/>
    </w:pPr>
    <w:r>
      <w:rPr>
        <w:noProof/>
        <w:lang w:eastAsia="en-AU"/>
      </w:rPr>
      <w:drawing>
        <wp:inline distT="0" distB="0" distL="0" distR="0" wp14:anchorId="78047101" wp14:editId="5D70306B">
          <wp:extent cx="6689274" cy="2589398"/>
          <wp:effectExtent l="0" t="0" r="0" b="1905"/>
          <wp:docPr id="1" name="Picture 1" descr="C:\Users\t-harvey-mount\Desktop\A4 Document template with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vey-mount\Desktop\A4 Document template with imag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73" t="14641" r="4463" b="60373"/>
                  <a:stretch/>
                </pic:blipFill>
                <pic:spPr bwMode="auto">
                  <a:xfrm>
                    <a:off x="0" y="0"/>
                    <a:ext cx="6689274" cy="2589398"/>
                  </a:xfrm>
                  <a:prstGeom prst="rect">
                    <a:avLst/>
                  </a:prstGeom>
                  <a:noFill/>
                  <a:ln>
                    <a:noFill/>
                  </a:ln>
                  <a:extLst>
                    <a:ext uri="{53640926-AAD7-44D8-BBD7-CCE9431645EC}">
                      <a14:shadowObscured xmlns:a14="http://schemas.microsoft.com/office/drawing/2010/main"/>
                    </a:ext>
                  </a:extLst>
                </pic:spPr>
              </pic:pic>
            </a:graphicData>
          </a:graphic>
        </wp:inline>
      </w:drawing>
    </w:r>
    <w:r w:rsidR="006A2153">
      <w:rPr>
        <w:noProof/>
        <w:lang w:eastAsia="en-AU"/>
      </w:rPr>
      <mc:AlternateContent>
        <mc:Choice Requires="wps">
          <w:drawing>
            <wp:anchor distT="0" distB="0" distL="114300" distR="114300" simplePos="0" relativeHeight="251650560" behindDoc="0" locked="0" layoutInCell="1" allowOverlap="1" wp14:anchorId="33FE58DB" wp14:editId="3FA3972F">
              <wp:simplePos x="0" y="0"/>
              <wp:positionH relativeFrom="column">
                <wp:posOffset>4438650</wp:posOffset>
              </wp:positionH>
              <wp:positionV relativeFrom="paragraph">
                <wp:posOffset>-1118235</wp:posOffset>
              </wp:positionV>
              <wp:extent cx="2131695" cy="1146175"/>
              <wp:effectExtent l="0" t="0" r="1905" b="158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E8E736" w14:textId="77777777" w:rsidR="00142D76" w:rsidRPr="006A2153" w:rsidRDefault="00142D76" w:rsidP="00991089">
                          <w:pPr>
                            <w:pStyle w:val="DSGShorttitleblack"/>
                            <w:rPr>
                              <w:rFonts w:ascii="Arial" w:hAnsi="Arial" w:cs="Arial"/>
                            </w:rPr>
                          </w:pPr>
                          <w:r w:rsidRPr="006A2153">
                            <w:rPr>
                              <w:rFonts w:ascii="Arial" w:hAnsi="Arial" w:cs="Arial"/>
                            </w:rPr>
                            <w:t>Statement</w:t>
                          </w:r>
                          <w:r w:rsidR="002532D1" w:rsidRPr="006A2153">
                            <w:rPr>
                              <w:rFonts w:ascii="Arial" w:hAnsi="Arial" w:cs="Arial"/>
                            </w:rPr>
                            <w:t xml:space="preserve"> of Duties</w:t>
                          </w:r>
                        </w:p>
                        <w:p w14:paraId="44FAC9B9" w14:textId="77777777" w:rsidR="00A4261D" w:rsidRPr="006A2153" w:rsidRDefault="00A4261D">
                          <w:pPr>
                            <w:rPr>
                              <w:rFonts w:ascii="Arial" w:hAnsi="Arial" w:cs="Aria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E58DB" id="_x0000_t202" coordsize="21600,21600" o:spt="202" path="m,l,21600r21600,l21600,xe">
              <v:stroke joinstyle="miter"/>
              <v:path gradientshapeok="t" o:connecttype="rect"/>
            </v:shapetype>
            <v:shape id="Text Box 5" o:spid="_x0000_s1028" type="#_x0000_t202" style="position:absolute;left:0;text-align:left;margin-left:349.5pt;margin-top:-88.05pt;width:167.85pt;height:9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c8sgIAALE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" filled="f" stroked="f" strokeweight=".5pt">
              <v:textbox inset="0,0,0,0">
                <w:txbxContent>
                  <w:p w14:paraId="1FE8E736" w14:textId="77777777" w:rsidR="00142D76" w:rsidRPr="006A2153" w:rsidRDefault="00142D76" w:rsidP="00991089">
                    <w:pPr>
                      <w:pStyle w:val="DSGShorttitleblack"/>
                      <w:rPr>
                        <w:rFonts w:ascii="Arial" w:hAnsi="Arial" w:cs="Arial"/>
                      </w:rPr>
                    </w:pPr>
                    <w:r w:rsidRPr="006A2153">
                      <w:rPr>
                        <w:rFonts w:ascii="Arial" w:hAnsi="Arial" w:cs="Arial"/>
                      </w:rPr>
                      <w:t>Statement</w:t>
                    </w:r>
                    <w:r w:rsidR="002532D1" w:rsidRPr="006A2153">
                      <w:rPr>
                        <w:rFonts w:ascii="Arial" w:hAnsi="Arial" w:cs="Arial"/>
                      </w:rPr>
                      <w:t xml:space="preserve"> of Duties</w:t>
                    </w:r>
                  </w:p>
                  <w:p w14:paraId="44FAC9B9" w14:textId="77777777" w:rsidR="00A4261D" w:rsidRPr="006A2153" w:rsidRDefault="00A4261D">
                    <w:pPr>
                      <w:rPr>
                        <w:rFonts w:ascii="Arial" w:hAnsi="Arial" w:cs="Arial"/>
                      </w:rPr>
                    </w:pPr>
                  </w:p>
                </w:txbxContent>
              </v:textbox>
            </v:shape>
          </w:pict>
        </mc:Fallback>
      </mc:AlternateContent>
    </w:r>
    <w:r w:rsidR="00860448">
      <w:rPr>
        <w:noProof/>
        <w:lang w:eastAsia="en-AU"/>
      </w:rPr>
      <mc:AlternateContent>
        <mc:Choice Requires="wps">
          <w:drawing>
            <wp:anchor distT="0" distB="0" distL="114300" distR="114300" simplePos="0" relativeHeight="251649535" behindDoc="1" locked="0" layoutInCell="1" allowOverlap="1" wp14:anchorId="01EBC6D0" wp14:editId="4D36B9C8">
              <wp:simplePos x="0" y="0"/>
              <wp:positionH relativeFrom="column">
                <wp:posOffset>-704850</wp:posOffset>
              </wp:positionH>
              <wp:positionV relativeFrom="paragraph">
                <wp:posOffset>-1544955</wp:posOffset>
              </wp:positionV>
              <wp:extent cx="7547610" cy="4335145"/>
              <wp:effectExtent l="0" t="0" r="0" b="825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433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9D12" w14:textId="77777777" w:rsidR="005D42B8" w:rsidRDefault="005D42B8" w:rsidP="00991089">
                          <w:pPr>
                            <w:pStyle w:val="Title"/>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1EBC6D0" id="Text Box 7" o:spid="_x0000_s1029" type="#_x0000_t202" style="position:absolute;left:0;text-align:left;margin-left:-55.5pt;margin-top:-121.65pt;width:594.3pt;height:341.35pt;z-index:-2516669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04uAIAAME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" filled="f" stroked="f">
              <v:textbox>
                <w:txbxContent>
                  <w:p w14:paraId="47159D12" w14:textId="77777777" w:rsidR="005D42B8" w:rsidRDefault="005D42B8" w:rsidP="00991089">
                    <w:pPr>
                      <w:pStyle w:val="Title"/>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37B"/>
    <w:multiLevelType w:val="hybridMultilevel"/>
    <w:tmpl w:val="FD7AD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57A01"/>
    <w:multiLevelType w:val="hybridMultilevel"/>
    <w:tmpl w:val="B6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644143"/>
    <w:multiLevelType w:val="hybridMultilevel"/>
    <w:tmpl w:val="C35E5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D335C"/>
    <w:multiLevelType w:val="hybridMultilevel"/>
    <w:tmpl w:val="6D606256"/>
    <w:lvl w:ilvl="0" w:tplc="F93AEC5E">
      <w:start w:val="1"/>
      <w:numFmt w:val="bullet"/>
      <w:pStyle w:val="DSG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574C2"/>
    <w:multiLevelType w:val="hybridMultilevel"/>
    <w:tmpl w:val="F6B8A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E07EB0"/>
    <w:multiLevelType w:val="hybridMultilevel"/>
    <w:tmpl w:val="0CA0A1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33159"/>
    <w:multiLevelType w:val="hybridMultilevel"/>
    <w:tmpl w:val="C916D4C2"/>
    <w:lvl w:ilvl="0" w:tplc="0C090001">
      <w:start w:val="1"/>
      <w:numFmt w:val="bullet"/>
      <w:lvlText w:val=""/>
      <w:lvlJc w:val="left"/>
      <w:pPr>
        <w:ind w:left="295"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88"/>
    <w:rsid w:val="00022796"/>
    <w:rsid w:val="00062576"/>
    <w:rsid w:val="000F0F3C"/>
    <w:rsid w:val="00134459"/>
    <w:rsid w:val="00142D76"/>
    <w:rsid w:val="001E7C26"/>
    <w:rsid w:val="001F045A"/>
    <w:rsid w:val="001F1E44"/>
    <w:rsid w:val="00200014"/>
    <w:rsid w:val="0023646A"/>
    <w:rsid w:val="0024006A"/>
    <w:rsid w:val="002532D1"/>
    <w:rsid w:val="00260345"/>
    <w:rsid w:val="002969B4"/>
    <w:rsid w:val="002A5451"/>
    <w:rsid w:val="002B7E5A"/>
    <w:rsid w:val="003143FA"/>
    <w:rsid w:val="00322E30"/>
    <w:rsid w:val="00325611"/>
    <w:rsid w:val="00347160"/>
    <w:rsid w:val="003537A9"/>
    <w:rsid w:val="003C1B84"/>
    <w:rsid w:val="003C27EE"/>
    <w:rsid w:val="003E02B9"/>
    <w:rsid w:val="0041162B"/>
    <w:rsid w:val="00425C0A"/>
    <w:rsid w:val="004B14F7"/>
    <w:rsid w:val="004B3457"/>
    <w:rsid w:val="004C7763"/>
    <w:rsid w:val="004D5254"/>
    <w:rsid w:val="004E72D3"/>
    <w:rsid w:val="00573C4D"/>
    <w:rsid w:val="005866DF"/>
    <w:rsid w:val="005D42B8"/>
    <w:rsid w:val="005F0325"/>
    <w:rsid w:val="005F6CB3"/>
    <w:rsid w:val="006019B2"/>
    <w:rsid w:val="0061513B"/>
    <w:rsid w:val="00623DE7"/>
    <w:rsid w:val="00647B37"/>
    <w:rsid w:val="00692AB6"/>
    <w:rsid w:val="006A2153"/>
    <w:rsid w:val="006A70A7"/>
    <w:rsid w:val="00715D9C"/>
    <w:rsid w:val="00785E27"/>
    <w:rsid w:val="007A41F5"/>
    <w:rsid w:val="007B0FCF"/>
    <w:rsid w:val="007C5B37"/>
    <w:rsid w:val="007D3E45"/>
    <w:rsid w:val="007E285A"/>
    <w:rsid w:val="008017B8"/>
    <w:rsid w:val="00860448"/>
    <w:rsid w:val="00895168"/>
    <w:rsid w:val="008D7588"/>
    <w:rsid w:val="00900DBD"/>
    <w:rsid w:val="00905637"/>
    <w:rsid w:val="00930E70"/>
    <w:rsid w:val="0098689D"/>
    <w:rsid w:val="00991089"/>
    <w:rsid w:val="00A4261D"/>
    <w:rsid w:val="00A46600"/>
    <w:rsid w:val="00A612EB"/>
    <w:rsid w:val="00A831C2"/>
    <w:rsid w:val="00AB680D"/>
    <w:rsid w:val="00AF26AE"/>
    <w:rsid w:val="00B64C69"/>
    <w:rsid w:val="00B82A9C"/>
    <w:rsid w:val="00BD015F"/>
    <w:rsid w:val="00BD4EA8"/>
    <w:rsid w:val="00C21A55"/>
    <w:rsid w:val="00C50F14"/>
    <w:rsid w:val="00C54A9E"/>
    <w:rsid w:val="00C54CF5"/>
    <w:rsid w:val="00C82B23"/>
    <w:rsid w:val="00C85A7B"/>
    <w:rsid w:val="00C93692"/>
    <w:rsid w:val="00CC4FAD"/>
    <w:rsid w:val="00CE0D9C"/>
    <w:rsid w:val="00CE6B85"/>
    <w:rsid w:val="00D16C6B"/>
    <w:rsid w:val="00D20AC7"/>
    <w:rsid w:val="00D5760A"/>
    <w:rsid w:val="00D623E6"/>
    <w:rsid w:val="00D82C43"/>
    <w:rsid w:val="00D929BB"/>
    <w:rsid w:val="00DB3875"/>
    <w:rsid w:val="00DD50BD"/>
    <w:rsid w:val="00E038DA"/>
    <w:rsid w:val="00E50882"/>
    <w:rsid w:val="00E55856"/>
    <w:rsid w:val="00E72E0C"/>
    <w:rsid w:val="00E8756E"/>
    <w:rsid w:val="00EA0C52"/>
    <w:rsid w:val="00EA6033"/>
    <w:rsid w:val="00EB5172"/>
    <w:rsid w:val="00EC7E9C"/>
    <w:rsid w:val="00EF0529"/>
    <w:rsid w:val="00F13BEC"/>
    <w:rsid w:val="00F320AF"/>
    <w:rsid w:val="00F54DA0"/>
    <w:rsid w:val="00F87DE3"/>
    <w:rsid w:val="00FE4E69"/>
    <w:rsid w:val="00FF5C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C6B88C"/>
  <w15:docId w15:val="{2F537F4A-5F2D-49E2-9AC5-5C4A010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SG_Body text1"/>
    <w:rsid w:val="00EF0529"/>
    <w:pPr>
      <w:spacing w:after="360" w:line="320" w:lineRule="exact"/>
    </w:pPr>
    <w:rPr>
      <w:rFonts w:ascii="Gill Sans MT Std Light" w:hAnsi="Gill Sans MT Std Light"/>
      <w:szCs w:val="22"/>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rPr>
  </w:style>
  <w:style w:type="character" w:customStyle="1" w:styleId="DSGBullet-numbersChar">
    <w:name w:val="DSG_Bullet - numbers Char"/>
    <w:basedOn w:val="DSGBullet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themeColor="background1" w:themeShade="BF"/>
      <w:sz w:val="24"/>
      <w:szCs w:val="24"/>
    </w:rPr>
  </w:style>
  <w:style w:type="character" w:customStyle="1" w:styleId="Title2Char">
    <w:name w:val="Title 2 Char"/>
    <w:basedOn w:val="DefaultParagraphFont"/>
    <w:link w:val="Title2"/>
    <w:rsid w:val="00D623E6"/>
    <w:rPr>
      <w:rFonts w:ascii="Gill Sans MT" w:hAnsi="Gill Sans MT"/>
      <w:color w:val="BFBFBF" w:themeColor="background1" w:themeShade="BF"/>
      <w:sz w:val="24"/>
      <w:szCs w:val="24"/>
    </w:rPr>
  </w:style>
  <w:style w:type="paragraph" w:customStyle="1" w:styleId="DSGShorttitle">
    <w:name w:val="DSG_Short title"/>
    <w:basedOn w:val="Title"/>
    <w:link w:val="DSGShorttitleChar"/>
    <w:qFormat/>
    <w:rsid w:val="00F13BEC"/>
    <w:rPr>
      <w:color w:val="D9D9D9" w:themeColor="background1" w:themeShade="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basedOn w:val="TitleChar"/>
    <w:link w:val="DSGShorttitle"/>
    <w:rsid w:val="00F13BEC"/>
    <w:rPr>
      <w:rFonts w:ascii="Gill Sans MT" w:hAnsi="Gill Sans MT"/>
      <w:color w:val="D9D9D9" w:themeColor="background1" w:themeShade="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basedOn w:val="Title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themeColor="text1"/>
    </w:rPr>
  </w:style>
  <w:style w:type="character" w:customStyle="1" w:styleId="DSGFulltitlegreyChar">
    <w:name w:val="DSG_Full title_grey Char"/>
    <w:basedOn w:val="Title2Char"/>
    <w:link w:val="DSGFulltitlegrey"/>
    <w:rsid w:val="00991089"/>
    <w:rPr>
      <w:rFonts w:ascii="Gill Sans MT Std Medium" w:hAnsi="Gill Sans MT Std Medium"/>
      <w:color w:val="BFBFBF" w:themeColor="background1" w:themeShade="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basedOn w:val="Title2Char"/>
    <w:link w:val="DSGFulltitleblack"/>
    <w:rsid w:val="00991089"/>
    <w:rPr>
      <w:rFonts w:ascii="Gill Sans MT Std Medium" w:hAnsi="Gill Sans MT Std Medium"/>
      <w:color w:val="000000" w:themeColor="text1"/>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basedOn w:val="Footer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basedOn w:val="DefaultParagraphFont"/>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basedOn w:val="Heading1Char"/>
    <w:link w:val="DSGHeading1"/>
    <w:rsid w:val="00991089"/>
    <w:rPr>
      <w:rFonts w:ascii="Gill Sans MT Std Medium" w:hAnsi="Gill Sans MT Std Medium"/>
      <w:sz w:val="32"/>
      <w:szCs w:val="32"/>
    </w:rPr>
  </w:style>
  <w:style w:type="character" w:customStyle="1" w:styleId="DSGSubheadingChar">
    <w:name w:val="DSG_Sub heading Char"/>
    <w:basedOn w:val="Heading2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basedOn w:val="DefaultParagraphFont"/>
    <w:link w:val="DSGBodytext"/>
    <w:rsid w:val="00991089"/>
    <w:rPr>
      <w:rFonts w:ascii="Gill Sans MT Std Light" w:hAnsi="Gill Sans MT Std Light"/>
      <w:szCs w:val="22"/>
    </w:rPr>
  </w:style>
  <w:style w:type="paragraph" w:styleId="BodyText">
    <w:name w:val="Body Text"/>
    <w:basedOn w:val="Normal"/>
    <w:link w:val="BodyTextChar"/>
    <w:rsid w:val="00E72E0C"/>
    <w:pPr>
      <w:spacing w:after="120" w:line="240" w:lineRule="auto"/>
    </w:pPr>
    <w:rPr>
      <w:rFonts w:ascii="Arial" w:eastAsia="Times New Roman" w:hAnsi="Arial"/>
      <w:szCs w:val="24"/>
      <w:lang w:eastAsia="en-AU"/>
    </w:rPr>
  </w:style>
  <w:style w:type="character" w:customStyle="1" w:styleId="BodyTextChar">
    <w:name w:val="Body Text Char"/>
    <w:basedOn w:val="DefaultParagraphFont"/>
    <w:link w:val="BodyText"/>
    <w:rsid w:val="00E72E0C"/>
    <w:rPr>
      <w:rFonts w:ascii="Arial" w:eastAsia="Times New Roman" w:hAnsi="Arial"/>
      <w:szCs w:val="24"/>
      <w:lang w:eastAsia="en-AU"/>
    </w:rPr>
  </w:style>
  <w:style w:type="paragraph" w:customStyle="1" w:styleId="ReverseHeading">
    <w:name w:val="Reverse Heading"/>
    <w:basedOn w:val="Normal"/>
    <w:uiPriority w:val="99"/>
    <w:rsid w:val="00E72E0C"/>
    <w:pPr>
      <w:shd w:val="solid" w:color="auto" w:fill="FFFFFF"/>
      <w:spacing w:before="120" w:after="120" w:line="240" w:lineRule="auto"/>
    </w:pPr>
    <w:rPr>
      <w:rFonts w:ascii="Arial" w:eastAsia="Times New Roman" w:hAnsi="Arial" w:cs="Arial"/>
      <w:b/>
      <w:caps/>
      <w:szCs w:val="20"/>
      <w:lang w:eastAsia="en-AU"/>
    </w:rPr>
  </w:style>
  <w:style w:type="paragraph" w:styleId="BodyText2">
    <w:name w:val="Body Text 2"/>
    <w:basedOn w:val="Normal"/>
    <w:link w:val="BodyText2Char"/>
    <w:rsid w:val="00E72E0C"/>
    <w:pPr>
      <w:spacing w:after="120" w:line="240" w:lineRule="auto"/>
      <w:jc w:val="both"/>
    </w:pPr>
    <w:rPr>
      <w:rFonts w:ascii="Arial" w:eastAsia="Times New Roman" w:hAnsi="Arial"/>
      <w:szCs w:val="20"/>
      <w:lang w:eastAsia="en-US"/>
    </w:rPr>
  </w:style>
  <w:style w:type="character" w:customStyle="1" w:styleId="BodyText2Char">
    <w:name w:val="Body Text 2 Char"/>
    <w:basedOn w:val="DefaultParagraphFont"/>
    <w:link w:val="BodyText2"/>
    <w:rsid w:val="00E72E0C"/>
    <w:rPr>
      <w:rFonts w:ascii="Arial" w:eastAsia="Times New Roman" w:hAnsi="Arial"/>
      <w:lang w:eastAsia="en-US"/>
    </w:rPr>
  </w:style>
  <w:style w:type="paragraph" w:styleId="NormalWeb">
    <w:name w:val="Normal (Web)"/>
    <w:basedOn w:val="Normal"/>
    <w:uiPriority w:val="99"/>
    <w:unhideWhenUsed/>
    <w:rsid w:val="00E72E0C"/>
    <w:pPr>
      <w:spacing w:before="100" w:beforeAutospacing="1" w:after="100" w:afterAutospacing="1" w:line="240" w:lineRule="auto"/>
    </w:pPr>
    <w:rPr>
      <w:rFonts w:ascii="Times New Roman" w:eastAsia="Calibri" w:hAnsi="Times New Roman"/>
      <w:sz w:val="24"/>
      <w:szCs w:val="24"/>
      <w:lang w:eastAsia="en-AU"/>
    </w:rPr>
  </w:style>
  <w:style w:type="character" w:styleId="Hyperlink">
    <w:name w:val="Hyperlink"/>
    <w:uiPriority w:val="99"/>
    <w:unhideWhenUsed/>
    <w:rsid w:val="00E72E0C"/>
    <w:rPr>
      <w:color w:val="0000FF"/>
      <w:u w:val="single"/>
    </w:rPr>
  </w:style>
  <w:style w:type="table" w:styleId="TableGrid">
    <w:name w:val="Table Grid"/>
    <w:basedOn w:val="TableNormal"/>
    <w:uiPriority w:val="39"/>
    <w:rsid w:val="00E7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andfooters">
    <w:name w:val="Headers and footers"/>
    <w:basedOn w:val="Normal"/>
    <w:uiPriority w:val="2"/>
    <w:qFormat/>
    <w:rsid w:val="007A41F5"/>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eastAsia="en-US"/>
    </w:rPr>
  </w:style>
  <w:style w:type="character" w:styleId="FollowedHyperlink">
    <w:name w:val="FollowedHyperlink"/>
    <w:basedOn w:val="DefaultParagraphFont"/>
    <w:uiPriority w:val="99"/>
    <w:semiHidden/>
    <w:unhideWhenUsed/>
    <w:rsid w:val="007C5B37"/>
    <w:rPr>
      <w:color w:val="954F72" w:themeColor="followedHyperlink"/>
      <w:u w:val="single"/>
    </w:rPr>
  </w:style>
  <w:style w:type="character" w:styleId="CommentReference">
    <w:name w:val="annotation reference"/>
    <w:basedOn w:val="DefaultParagraphFont"/>
    <w:uiPriority w:val="99"/>
    <w:semiHidden/>
    <w:unhideWhenUsed/>
    <w:rsid w:val="001F1E44"/>
    <w:rPr>
      <w:sz w:val="16"/>
      <w:szCs w:val="16"/>
    </w:rPr>
  </w:style>
  <w:style w:type="paragraph" w:styleId="CommentText">
    <w:name w:val="annotation text"/>
    <w:basedOn w:val="Normal"/>
    <w:link w:val="CommentTextChar"/>
    <w:uiPriority w:val="99"/>
    <w:semiHidden/>
    <w:unhideWhenUsed/>
    <w:rsid w:val="001F1E44"/>
    <w:pPr>
      <w:spacing w:line="240" w:lineRule="auto"/>
    </w:pPr>
    <w:rPr>
      <w:szCs w:val="20"/>
    </w:rPr>
  </w:style>
  <w:style w:type="character" w:customStyle="1" w:styleId="CommentTextChar">
    <w:name w:val="Comment Text Char"/>
    <w:basedOn w:val="DefaultParagraphFont"/>
    <w:link w:val="CommentText"/>
    <w:uiPriority w:val="99"/>
    <w:semiHidden/>
    <w:rsid w:val="001F1E44"/>
    <w:rPr>
      <w:rFonts w:ascii="Gill Sans MT Std Light" w:hAnsi="Gill Sans MT Std Light"/>
    </w:rPr>
  </w:style>
  <w:style w:type="paragraph" w:styleId="CommentSubject">
    <w:name w:val="annotation subject"/>
    <w:basedOn w:val="CommentText"/>
    <w:next w:val="CommentText"/>
    <w:link w:val="CommentSubjectChar"/>
    <w:uiPriority w:val="99"/>
    <w:semiHidden/>
    <w:unhideWhenUsed/>
    <w:rsid w:val="001F1E44"/>
    <w:rPr>
      <w:b/>
      <w:bCs/>
    </w:rPr>
  </w:style>
  <w:style w:type="character" w:customStyle="1" w:styleId="CommentSubjectChar">
    <w:name w:val="Comment Subject Char"/>
    <w:basedOn w:val="CommentTextChar"/>
    <w:link w:val="CommentSubject"/>
    <w:uiPriority w:val="99"/>
    <w:semiHidden/>
    <w:rsid w:val="001F1E44"/>
    <w:rPr>
      <w:rFonts w:ascii="Gill Sans MT Std Light" w:hAnsi="Gill Sans MT Std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egrowth.tas.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ke\AppData\Local\Hewlett-Packard\HP%20TRIM\TEMP\HPTRIM.3964\t0O5EJ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D782-1540-4760-B949-B75C7E3C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t0O5EJUE.DOTX</Template>
  <TotalTime>0</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Jacqui</dc:creator>
  <cp:lastModifiedBy>Swan, Mitchell</cp:lastModifiedBy>
  <cp:revision>2</cp:revision>
  <cp:lastPrinted>2014-07-07T23:26:00Z</cp:lastPrinted>
  <dcterms:created xsi:type="dcterms:W3CDTF">2016-04-19T05:41:00Z</dcterms:created>
  <dcterms:modified xsi:type="dcterms:W3CDTF">2016-04-19T05:41:00Z</dcterms:modified>
</cp:coreProperties>
</file>