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E57C47" w:rsidP="00981F02">
      <w:r>
        <w:rPr>
          <w:noProof/>
        </w:rPr>
        <mc:AlternateContent>
          <mc:Choice Requires="wps">
            <w:drawing>
              <wp:anchor distT="0" distB="0" distL="114300" distR="114300" simplePos="0" relativeHeight="251657728" behindDoc="0" locked="0" layoutInCell="1" allowOverlap="1">
                <wp:simplePos x="0" y="0"/>
                <wp:positionH relativeFrom="column">
                  <wp:posOffset>4062730</wp:posOffset>
                </wp:positionH>
                <wp:positionV relativeFrom="paragraph">
                  <wp:posOffset>-1160145</wp:posOffset>
                </wp:positionV>
                <wp:extent cx="260985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3W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B&#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Bxr&#10;LdZ/AgAA+wQAAA4AAAAAAAAAAAAAAAAALgIAAGRycy9lMm9Eb2MueG1sUEsBAi0AFAAGAAgAAAAh&#10;AEjDhxnjAAAADgEAAA8AAAAAAAAAAAAAAAAA2QQAAGRycy9kb3ducmV2LnhtbFBLBQYAAAAABAAE&#10;APMAAADpBQAAAAA=&#10;" fillcolor="#7ac4d9" stroked="f"/>
            </w:pict>
          </mc:Fallback>
        </mc:AlternateContent>
      </w:r>
      <w:r>
        <w:rPr>
          <w:noProof/>
        </w:rPr>
        <w:drawing>
          <wp:inline distT="0" distB="0" distL="0" distR="0">
            <wp:extent cx="2078990" cy="681355"/>
            <wp:effectExtent l="0" t="0" r="0" b="4445"/>
            <wp:docPr id="9" name="Picture 9" descr="\\kip\homes\ttaylor\My Pictures\Logos\UWA-Full-Hor-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p\homes\ttaylor\My Pictures\Logos\UWA-Full-Hor-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681355"/>
                    </a:xfrm>
                    <a:prstGeom prst="rect">
                      <a:avLst/>
                    </a:prstGeom>
                    <a:noFill/>
                    <a:ln>
                      <a:noFill/>
                    </a:ln>
                  </pic:spPr>
                </pic:pic>
              </a:graphicData>
            </a:graphic>
          </wp:inline>
        </w:drawing>
      </w:r>
    </w:p>
    <w:p w:rsidR="004F6687" w:rsidRDefault="004F6687" w:rsidP="00981F02"/>
    <w:p w:rsidR="004F6687" w:rsidRDefault="004F6687" w:rsidP="004F6687">
      <w:pPr>
        <w:pBdr>
          <w:top w:val="single" w:sz="36" w:space="1" w:color="auto"/>
        </w:pBdr>
      </w:pPr>
    </w:p>
    <w:p w:rsidR="00F64ED3" w:rsidRPr="00BA674F"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3E35FA" w:rsidRPr="003E35FA">
        <w:rPr>
          <w:rFonts w:ascii="Arial" w:hAnsi="Arial" w:cs="Arial"/>
          <w:bCs/>
          <w:sz w:val="21"/>
          <w:szCs w:val="21"/>
        </w:rPr>
        <w:t>Research Associate/Research Fellow</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BA674F" w:rsidRPr="00BA674F">
        <w:rPr>
          <w:rFonts w:ascii="Arial" w:hAnsi="Arial" w:cs="Arial"/>
          <w:bCs/>
          <w:sz w:val="21"/>
          <w:szCs w:val="21"/>
        </w:rPr>
        <w:t xml:space="preserve">Level </w:t>
      </w:r>
      <w:r w:rsidR="002127CD">
        <w:rPr>
          <w:rFonts w:ascii="Arial" w:hAnsi="Arial" w:cs="Arial"/>
          <w:bCs/>
          <w:sz w:val="21"/>
          <w:szCs w:val="21"/>
        </w:rPr>
        <w:t>A</w:t>
      </w:r>
      <w:r w:rsidR="00BA674F" w:rsidRPr="00BA674F">
        <w:rPr>
          <w:rFonts w:ascii="Arial" w:hAnsi="Arial" w:cs="Arial"/>
          <w:bCs/>
          <w:sz w:val="21"/>
          <w:szCs w:val="21"/>
        </w:rPr>
        <w:t xml:space="preserve"> /</w:t>
      </w:r>
      <w:r w:rsidR="00BA674F">
        <w:rPr>
          <w:rFonts w:ascii="Arial" w:hAnsi="Arial" w:cs="Arial"/>
          <w:b/>
          <w:bCs/>
          <w:sz w:val="22"/>
          <w:szCs w:val="22"/>
        </w:rPr>
        <w:t xml:space="preserve"> </w:t>
      </w:r>
      <w:r w:rsidR="00E57C47">
        <w:rPr>
          <w:rFonts w:ascii="Arial" w:hAnsi="Arial" w:cs="Arial"/>
          <w:sz w:val="21"/>
          <w:szCs w:val="21"/>
        </w:rPr>
        <w:t>Level</w:t>
      </w:r>
      <w:r w:rsidR="002127CD">
        <w:rPr>
          <w:rFonts w:ascii="Arial" w:hAnsi="Arial" w:cs="Arial"/>
          <w:sz w:val="21"/>
          <w:szCs w:val="21"/>
        </w:rPr>
        <w:t xml:space="preserve"> B</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E6579B" w:rsidRPr="00E6579B">
        <w:rPr>
          <w:rFonts w:ascii="Arial" w:hAnsi="Arial" w:cs="Arial"/>
          <w:bCs/>
          <w:sz w:val="21"/>
          <w:szCs w:val="21"/>
        </w:rPr>
        <w:t>316686</w:t>
      </w:r>
      <w:r w:rsidR="00E57C47" w:rsidRPr="00E6579B">
        <w:rPr>
          <w:rFonts w:ascii="Arial" w:hAnsi="Arial" w:cs="Arial"/>
          <w:bCs/>
          <w:sz w:val="21"/>
          <w:szCs w:val="21"/>
        </w:rPr>
        <w:t xml:space="preserve">, </w:t>
      </w:r>
      <w:r w:rsidR="00E6579B" w:rsidRPr="00E6579B">
        <w:rPr>
          <w:rFonts w:ascii="Arial" w:hAnsi="Arial" w:cs="Arial"/>
          <w:bCs/>
          <w:sz w:val="21"/>
          <w:szCs w:val="21"/>
        </w:rPr>
        <w:t>316687</w:t>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E57C47">
        <w:rPr>
          <w:rFonts w:ascii="Arial" w:hAnsi="Arial" w:cs="Arial"/>
          <w:sz w:val="21"/>
          <w:szCs w:val="21"/>
        </w:rPr>
        <w:t>UWA Business School</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E57C47">
        <w:rPr>
          <w:rFonts w:ascii="Arial" w:hAnsi="Arial" w:cs="Arial"/>
          <w:sz w:val="21"/>
          <w:szCs w:val="21"/>
        </w:rPr>
        <w:t>Business School</w:t>
      </w:r>
    </w:p>
    <w:p w:rsidR="00942E9E" w:rsidRDefault="00942E9E" w:rsidP="00E57C4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3E35FA">
        <w:rPr>
          <w:rFonts w:ascii="Arial" w:hAnsi="Arial" w:cs="Arial"/>
          <w:sz w:val="21"/>
          <w:szCs w:val="21"/>
        </w:rPr>
        <w:t xml:space="preserve">Centre for </w:t>
      </w:r>
      <w:r w:rsidR="003E35FA" w:rsidRPr="003E35FA">
        <w:rPr>
          <w:rFonts w:ascii="Arial" w:hAnsi="Arial" w:cs="Arial"/>
          <w:sz w:val="21"/>
          <w:szCs w:val="21"/>
        </w:rPr>
        <w:t>Transformative Work Design</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4F0526">
        <w:rPr>
          <w:rFonts w:ascii="Arial" w:hAnsi="Arial" w:cs="Arial"/>
          <w:sz w:val="21"/>
          <w:szCs w:val="21"/>
        </w:rPr>
        <w:t>Professor</w:t>
      </w:r>
    </w:p>
    <w:p w:rsidR="004F668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3E35FA">
        <w:rPr>
          <w:rFonts w:ascii="Arial" w:hAnsi="Arial" w:cs="Arial"/>
          <w:sz w:val="21"/>
          <w:szCs w:val="21"/>
        </w:rPr>
        <w:t>314911</w:t>
      </w:r>
    </w:p>
    <w:p w:rsidR="007E51CC" w:rsidRPr="005143EA" w:rsidRDefault="007E51CC" w:rsidP="007E51CC">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Over 100 years ago, The University of Western Australia was founded with the aim of advancing the welfare and prosperity of its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has risen to changing social and economic challenges, while achieving international standards, educating world-class graduates, producing ground breaking research and engaging in our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is already ranked in the top 1% of the world’s universities, but our goal is to be recognised as on the world’s top 50, for education as well as research.</w:t>
      </w:r>
    </w:p>
    <w:p w:rsidR="007E51CC" w:rsidRDefault="007E51CC" w:rsidP="007D0216">
      <w:pPr>
        <w:spacing w:before="120" w:after="120"/>
        <w:ind w:right="-86"/>
        <w:jc w:val="both"/>
        <w:rPr>
          <w:rFonts w:ascii="Arial" w:hAnsi="Arial" w:cs="Arial"/>
          <w:sz w:val="20"/>
          <w:szCs w:val="20"/>
        </w:rPr>
      </w:pPr>
      <w:r w:rsidRPr="00CD2F19">
        <w:rPr>
          <w:rFonts w:ascii="Arial" w:hAnsi="Arial" w:cs="Arial"/>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rsidR="007E51CC" w:rsidRPr="00CD2F19" w:rsidRDefault="007E51CC" w:rsidP="007D0216">
      <w:pPr>
        <w:spacing w:before="120" w:after="120"/>
        <w:ind w:right="-86"/>
        <w:jc w:val="both"/>
        <w:rPr>
          <w:rFonts w:ascii="Arial" w:hAnsi="Arial" w:cs="Arial"/>
          <w:sz w:val="20"/>
          <w:szCs w:val="20"/>
        </w:rPr>
      </w:pPr>
      <w:r>
        <w:rPr>
          <w:rFonts w:ascii="Arial" w:hAnsi="Arial" w:cs="Arial"/>
          <w:sz w:val="20"/>
          <w:szCs w:val="20"/>
        </w:rPr>
        <w:t xml:space="preserve">The University is undergoing a period of transformational change to gain greater efficiencies, improve value, services and satisfaction.  In this period of change the University remains focussed on being a world leader.  The attraction and retention of the world’s best employees is critical to achieving the University’s strategic aim of being in the top 50 universities by 2050. </w:t>
      </w:r>
    </w:p>
    <w:p w:rsidR="007E51CC" w:rsidRPr="00CD2F19" w:rsidRDefault="007E51CC" w:rsidP="007E51CC">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The University of Western Australia vision is achieving international excellence.</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Its core values underpinning our activities are a commitment to:</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rsidR="007E51CC" w:rsidRPr="00CD2F19" w:rsidRDefault="007E51CC" w:rsidP="007E51CC">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w:t>
      </w:r>
      <w:proofErr w:type="gramStart"/>
      <w:r w:rsidRPr="00CD2F19">
        <w:rPr>
          <w:rFonts w:ascii="Arial" w:hAnsi="Arial" w:cs="Arial"/>
          <w:sz w:val="20"/>
          <w:szCs w:val="20"/>
        </w:rPr>
        <w:t>are</w:t>
      </w:r>
      <w:proofErr w:type="gramEnd"/>
      <w:r w:rsidRPr="00CD2F19">
        <w:rPr>
          <w:rFonts w:ascii="Arial" w:hAnsi="Arial" w:cs="Arial"/>
          <w:sz w:val="20"/>
          <w:szCs w:val="20"/>
        </w:rP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1"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2"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rsidR="00CA459A" w:rsidRPr="00CD2F19" w:rsidRDefault="007D0216" w:rsidP="00E57C47">
      <w:pPr>
        <w:rPr>
          <w:rFonts w:ascii="Arial" w:hAnsi="Arial" w:cs="Arial"/>
          <w:sz w:val="20"/>
          <w:szCs w:val="20"/>
        </w:rPr>
      </w:pPr>
      <w:r>
        <w:rPr>
          <w:rFonts w:ascii="Arial" w:hAnsi="Arial" w:cs="Arial"/>
          <w:sz w:val="20"/>
          <w:szCs w:val="20"/>
        </w:rPr>
        <w:br w:type="page"/>
      </w:r>
    </w:p>
    <w:p w:rsidR="00B8628D" w:rsidRDefault="00B8628D" w:rsidP="00CD2F19">
      <w:pPr>
        <w:jc w:val="center"/>
        <w:rPr>
          <w:rFonts w:ascii="Arial" w:hAnsi="Arial" w:cs="Arial"/>
          <w:i/>
          <w:noProof/>
          <w:sz w:val="18"/>
          <w:szCs w:val="18"/>
        </w:rPr>
      </w:pPr>
    </w:p>
    <w:p w:rsidR="00F64ED3" w:rsidRPr="005143EA" w:rsidRDefault="00E57C47"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Role Statement</w:t>
      </w:r>
    </w:p>
    <w:p w:rsidR="00E57C47" w:rsidRDefault="006D30D0" w:rsidP="00E57C47">
      <w:pPr>
        <w:ind w:right="98"/>
        <w:jc w:val="both"/>
        <w:rPr>
          <w:rFonts w:ascii="Arial" w:hAnsi="Arial" w:cs="Arial"/>
          <w:sz w:val="20"/>
          <w:szCs w:val="20"/>
        </w:rPr>
      </w:pPr>
      <w:r>
        <w:rPr>
          <w:rFonts w:ascii="Arial" w:hAnsi="Arial" w:cs="Arial"/>
          <w:sz w:val="20"/>
          <w:szCs w:val="20"/>
        </w:rPr>
        <w:t xml:space="preserve">This is a </w:t>
      </w:r>
      <w:r w:rsidR="00B44D0A">
        <w:rPr>
          <w:rFonts w:ascii="Arial" w:hAnsi="Arial" w:cs="Arial"/>
          <w:sz w:val="20"/>
          <w:szCs w:val="20"/>
        </w:rPr>
        <w:t>post-doctoral position (</w:t>
      </w:r>
      <w:r>
        <w:rPr>
          <w:rFonts w:ascii="Arial" w:hAnsi="Arial" w:cs="Arial"/>
          <w:sz w:val="20"/>
          <w:szCs w:val="20"/>
        </w:rPr>
        <w:t>research only</w:t>
      </w:r>
      <w:r w:rsidR="00B44D0A">
        <w:rPr>
          <w:rFonts w:ascii="Arial" w:hAnsi="Arial" w:cs="Arial"/>
          <w:sz w:val="20"/>
          <w:szCs w:val="20"/>
        </w:rPr>
        <w:t>)</w:t>
      </w:r>
      <w:r>
        <w:rPr>
          <w:rFonts w:ascii="Arial" w:hAnsi="Arial" w:cs="Arial"/>
          <w:sz w:val="20"/>
          <w:szCs w:val="20"/>
        </w:rPr>
        <w:t xml:space="preserve"> </w:t>
      </w:r>
      <w:r w:rsidRPr="006D30D0">
        <w:rPr>
          <w:rFonts w:ascii="Arial" w:hAnsi="Arial" w:cs="Arial"/>
          <w:sz w:val="20"/>
          <w:szCs w:val="20"/>
        </w:rPr>
        <w:t>on the topic of population ageing</w:t>
      </w:r>
      <w:r w:rsidR="001245D7">
        <w:rPr>
          <w:rFonts w:ascii="Arial" w:hAnsi="Arial" w:cs="Arial"/>
          <w:sz w:val="20"/>
          <w:szCs w:val="20"/>
        </w:rPr>
        <w:t xml:space="preserve"> as part of the multidisciplinary </w:t>
      </w:r>
      <w:r w:rsidR="001245D7" w:rsidRPr="001245D7">
        <w:rPr>
          <w:rFonts w:ascii="Arial" w:hAnsi="Arial" w:cs="Arial"/>
          <w:sz w:val="20"/>
          <w:szCs w:val="20"/>
        </w:rPr>
        <w:t>ARC Centre of Excellence in Population Ageing Research (CEPAR)</w:t>
      </w:r>
    </w:p>
    <w:p w:rsidR="00E57C47" w:rsidRPr="00CD2F19" w:rsidRDefault="00E57C47" w:rsidP="00E57C47">
      <w:pPr>
        <w:ind w:right="98"/>
        <w:jc w:val="both"/>
        <w:rPr>
          <w:rFonts w:ascii="Arial" w:hAnsi="Arial" w:cs="Arial"/>
          <w:sz w:val="20"/>
          <w:szCs w:val="20"/>
        </w:rPr>
      </w:pPr>
    </w:p>
    <w:p w:rsidR="00E57C47" w:rsidRPr="005143EA" w:rsidRDefault="00E57C47" w:rsidP="00E57C47">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Key </w:t>
      </w:r>
      <w:r>
        <w:rPr>
          <w:rFonts w:ascii="Arial" w:hAnsi="Arial" w:cs="Arial"/>
          <w:b/>
          <w:bCs/>
          <w:color w:val="FFFFFF"/>
        </w:rPr>
        <w:t>r</w:t>
      </w:r>
      <w:r w:rsidRPr="005143EA">
        <w:rPr>
          <w:rFonts w:ascii="Arial" w:hAnsi="Arial" w:cs="Arial"/>
          <w:b/>
          <w:bCs/>
          <w:color w:val="FFFFFF"/>
        </w:rPr>
        <w:t>esponsibilities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Provide input into the planning and design of the Organisations and the Mature Workforce research program within CEPAR</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Conduct literature reviews and develop theoretical propositions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Design materials (e.g., interview schedules, surveys, experiments) for research studies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Undertake research activities (e.g. interviewing, survey administration) to collect data</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Design and support the implementation of evidence-based interventions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Liaise with industry partners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Analyse results using appropriate data analytic techniques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Lead and contribute to reports to industry or other partners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Lead and contribute to international quality academic papers</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Support knowledge exchange and ‘impact’ activities, such as presenting findings to industry and/ or developing practitioner-oriented guidance</w:t>
      </w:r>
    </w:p>
    <w:p w:rsidR="00E57C4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Other duties as directed</w:t>
      </w:r>
    </w:p>
    <w:p w:rsidR="00E57C47" w:rsidRDefault="00E57C47" w:rsidP="00E57C47">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Specific work capabilities (selection criteria)</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Relevant PhD qualification in organisational psychology or closely related discipline</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Experience conducting applied organisational and field-based research</w:t>
      </w: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Highly developed written and verbal communication skills</w:t>
      </w:r>
    </w:p>
    <w:p w:rsidR="001245D7" w:rsidRPr="000620EE" w:rsidRDefault="001245D7" w:rsidP="001245D7">
      <w:pPr>
        <w:numPr>
          <w:ilvl w:val="0"/>
          <w:numId w:val="25"/>
        </w:numPr>
        <w:ind w:left="284" w:right="98" w:hanging="284"/>
        <w:rPr>
          <w:rFonts w:ascii="Arial" w:hAnsi="Arial" w:cs="Arial"/>
          <w:sz w:val="20"/>
          <w:szCs w:val="20"/>
        </w:rPr>
      </w:pPr>
      <w:r w:rsidRPr="000620EE">
        <w:rPr>
          <w:rFonts w:ascii="Arial" w:hAnsi="Arial" w:cs="Arial"/>
          <w:sz w:val="20"/>
          <w:szCs w:val="20"/>
        </w:rPr>
        <w:t>Knowledge of topics relevant to the research (e.g., topics such as ageing in the work</w:t>
      </w:r>
      <w:r w:rsidR="000620EE">
        <w:rPr>
          <w:rFonts w:ascii="Arial" w:hAnsi="Arial" w:cs="Arial"/>
          <w:sz w:val="20"/>
          <w:szCs w:val="20"/>
        </w:rPr>
        <w:t xml:space="preserve"> </w:t>
      </w:r>
      <w:r w:rsidRPr="000620EE">
        <w:rPr>
          <w:rFonts w:ascii="Arial" w:hAnsi="Arial" w:cs="Arial"/>
          <w:sz w:val="20"/>
          <w:szCs w:val="20"/>
        </w:rPr>
        <w:t>place, job and work design, age-based stereotypes)</w:t>
      </w:r>
    </w:p>
    <w:p w:rsidR="001245D7" w:rsidRPr="009E11F6" w:rsidRDefault="001245D7" w:rsidP="001245D7">
      <w:pPr>
        <w:numPr>
          <w:ilvl w:val="0"/>
          <w:numId w:val="25"/>
        </w:numPr>
        <w:ind w:left="284" w:right="98" w:hanging="284"/>
        <w:rPr>
          <w:rFonts w:ascii="Arial" w:hAnsi="Arial" w:cs="Arial"/>
          <w:sz w:val="20"/>
          <w:szCs w:val="20"/>
        </w:rPr>
      </w:pPr>
      <w:r w:rsidRPr="009E11F6">
        <w:rPr>
          <w:rFonts w:ascii="Arial" w:hAnsi="Arial" w:cs="Arial"/>
          <w:sz w:val="20"/>
          <w:szCs w:val="20"/>
        </w:rPr>
        <w:t>Experience conducting multivariate statistical analyses including structural modelling</w:t>
      </w:r>
      <w:r w:rsidR="009E11F6" w:rsidRPr="009E11F6">
        <w:rPr>
          <w:rFonts w:ascii="Arial" w:hAnsi="Arial" w:cs="Arial"/>
          <w:sz w:val="20"/>
          <w:szCs w:val="20"/>
        </w:rPr>
        <w:t xml:space="preserve"> </w:t>
      </w:r>
      <w:r w:rsidRPr="009E11F6">
        <w:rPr>
          <w:rFonts w:ascii="Arial" w:hAnsi="Arial" w:cs="Arial"/>
          <w:sz w:val="20"/>
          <w:szCs w:val="20"/>
        </w:rPr>
        <w:t>and multilevel analysis, or in-depth experience conducting qualitative analysis</w:t>
      </w:r>
    </w:p>
    <w:p w:rsidR="001245D7" w:rsidRPr="00CA5C7D" w:rsidRDefault="001245D7" w:rsidP="001245D7">
      <w:pPr>
        <w:numPr>
          <w:ilvl w:val="0"/>
          <w:numId w:val="25"/>
        </w:numPr>
        <w:ind w:left="284" w:right="98" w:hanging="284"/>
        <w:rPr>
          <w:rFonts w:ascii="Arial" w:hAnsi="Arial" w:cs="Arial"/>
          <w:sz w:val="20"/>
          <w:szCs w:val="20"/>
        </w:rPr>
      </w:pPr>
      <w:r w:rsidRPr="00CA5C7D">
        <w:rPr>
          <w:rFonts w:ascii="Arial" w:hAnsi="Arial" w:cs="Arial"/>
          <w:sz w:val="20"/>
          <w:szCs w:val="20"/>
        </w:rPr>
        <w:t>Ability to build relationships with diverse stakeholders including industry partners and</w:t>
      </w:r>
      <w:r w:rsidR="00CA5C7D" w:rsidRPr="00CA5C7D">
        <w:rPr>
          <w:rFonts w:ascii="Arial" w:hAnsi="Arial" w:cs="Arial"/>
          <w:sz w:val="20"/>
          <w:szCs w:val="20"/>
        </w:rPr>
        <w:t xml:space="preserve"> </w:t>
      </w:r>
      <w:r w:rsidRPr="00CA5C7D">
        <w:rPr>
          <w:rFonts w:ascii="Arial" w:hAnsi="Arial" w:cs="Arial"/>
          <w:sz w:val="20"/>
          <w:szCs w:val="20"/>
        </w:rPr>
        <w:t>to work in a research team</w:t>
      </w:r>
    </w:p>
    <w:p w:rsidR="001245D7" w:rsidRDefault="001245D7" w:rsidP="001245D7">
      <w:pPr>
        <w:numPr>
          <w:ilvl w:val="0"/>
          <w:numId w:val="25"/>
        </w:numPr>
        <w:ind w:left="284" w:right="98" w:hanging="284"/>
        <w:rPr>
          <w:rFonts w:ascii="Arial" w:hAnsi="Arial" w:cs="Arial"/>
          <w:sz w:val="20"/>
          <w:szCs w:val="20"/>
        </w:rPr>
      </w:pPr>
      <w:r w:rsidRPr="00CA5C7D">
        <w:rPr>
          <w:rFonts w:ascii="Arial" w:hAnsi="Arial" w:cs="Arial"/>
          <w:sz w:val="20"/>
          <w:szCs w:val="20"/>
        </w:rPr>
        <w:t>Demonstrated ability to contribute to and lead scholarly papers in the field of</w:t>
      </w:r>
      <w:r w:rsidR="00CA5C7D">
        <w:rPr>
          <w:rFonts w:ascii="Arial" w:hAnsi="Arial" w:cs="Arial"/>
          <w:sz w:val="20"/>
          <w:szCs w:val="20"/>
        </w:rPr>
        <w:t xml:space="preserve"> </w:t>
      </w:r>
      <w:r w:rsidRPr="00CA5C7D">
        <w:rPr>
          <w:rFonts w:ascii="Arial" w:hAnsi="Arial" w:cs="Arial"/>
          <w:sz w:val="20"/>
          <w:szCs w:val="20"/>
        </w:rPr>
        <w:t>organisational psychology/ behaviour</w:t>
      </w:r>
    </w:p>
    <w:p w:rsidR="00710E98" w:rsidRDefault="00710E98" w:rsidP="00710E98">
      <w:pPr>
        <w:numPr>
          <w:ilvl w:val="0"/>
          <w:numId w:val="25"/>
        </w:numPr>
        <w:ind w:left="284" w:right="98" w:hanging="284"/>
        <w:rPr>
          <w:rFonts w:ascii="Arial" w:hAnsi="Arial" w:cs="Arial"/>
          <w:sz w:val="20"/>
          <w:szCs w:val="20"/>
        </w:rPr>
      </w:pPr>
      <w:r w:rsidRPr="00CA5C7D">
        <w:rPr>
          <w:rFonts w:ascii="Arial" w:hAnsi="Arial" w:cs="Arial"/>
          <w:sz w:val="20"/>
          <w:szCs w:val="20"/>
        </w:rPr>
        <w:t>Willingness and ability to supervise honours and masters students in organisational</w:t>
      </w:r>
      <w:r>
        <w:rPr>
          <w:rFonts w:ascii="Arial" w:hAnsi="Arial" w:cs="Arial"/>
          <w:sz w:val="20"/>
          <w:szCs w:val="20"/>
        </w:rPr>
        <w:t xml:space="preserve"> </w:t>
      </w:r>
      <w:r w:rsidRPr="00CA5C7D">
        <w:rPr>
          <w:rFonts w:ascii="Arial" w:hAnsi="Arial" w:cs="Arial"/>
          <w:sz w:val="20"/>
          <w:szCs w:val="20"/>
        </w:rPr>
        <w:t>psychology and/or organizational behaviour</w:t>
      </w:r>
    </w:p>
    <w:p w:rsidR="00710E98" w:rsidRDefault="00710E98" w:rsidP="00710E98">
      <w:pPr>
        <w:ind w:right="98"/>
        <w:rPr>
          <w:rFonts w:ascii="Arial" w:hAnsi="Arial" w:cs="Arial"/>
          <w:sz w:val="20"/>
          <w:szCs w:val="20"/>
        </w:rPr>
      </w:pPr>
    </w:p>
    <w:p w:rsidR="00710E98" w:rsidRDefault="00710E98" w:rsidP="00710E98">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 (selection criteria)</w:t>
      </w:r>
    </w:p>
    <w:p w:rsidR="00710E98" w:rsidRDefault="00710E98" w:rsidP="00710E98">
      <w:pPr>
        <w:jc w:val="both"/>
        <w:rPr>
          <w:rFonts w:ascii="Arial" w:hAnsi="Arial" w:cs="Arial"/>
          <w:sz w:val="20"/>
          <w:szCs w:val="20"/>
        </w:rPr>
      </w:pPr>
    </w:p>
    <w:p w:rsidR="001245D7" w:rsidRPr="001245D7" w:rsidRDefault="001245D7" w:rsidP="001245D7">
      <w:pPr>
        <w:numPr>
          <w:ilvl w:val="0"/>
          <w:numId w:val="25"/>
        </w:numPr>
        <w:ind w:left="284" w:right="98" w:hanging="284"/>
        <w:rPr>
          <w:rFonts w:ascii="Arial" w:hAnsi="Arial" w:cs="Arial"/>
          <w:sz w:val="20"/>
          <w:szCs w:val="20"/>
        </w:rPr>
      </w:pPr>
      <w:r w:rsidRPr="001245D7">
        <w:rPr>
          <w:rFonts w:ascii="Arial" w:hAnsi="Arial" w:cs="Arial"/>
          <w:sz w:val="20"/>
          <w:szCs w:val="20"/>
        </w:rPr>
        <w:t>Willingness to travel regularly interstate, such as to Sydney.</w:t>
      </w:r>
    </w:p>
    <w:p w:rsidR="00E57C47" w:rsidRDefault="00E57C47" w:rsidP="00E57C47">
      <w:pPr>
        <w:jc w:val="both"/>
        <w:rPr>
          <w:rFonts w:ascii="Arial" w:hAnsi="Arial" w:cs="Arial"/>
          <w:b/>
          <w:sz w:val="20"/>
          <w:szCs w:val="20"/>
        </w:rPr>
      </w:pPr>
    </w:p>
    <w:p w:rsidR="006C31BD" w:rsidRDefault="006C31BD" w:rsidP="006C31BD">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Workplace health and safety</w:t>
      </w:r>
    </w:p>
    <w:p w:rsidR="006C31BD" w:rsidRPr="00971568" w:rsidRDefault="006C31BD" w:rsidP="006C31BD">
      <w:pPr>
        <w:spacing w:before="100" w:beforeAutospacing="1" w:after="100" w:afterAutospacing="1"/>
        <w:jc w:val="both"/>
        <w:rPr>
          <w:rFonts w:ascii="Arial" w:hAnsi="Arial" w:cs="Arial"/>
          <w:sz w:val="20"/>
          <w:szCs w:val="20"/>
        </w:rPr>
      </w:pPr>
      <w:bookmarkStart w:id="0" w:name="_GoBack"/>
      <w:bookmarkEnd w:id="0"/>
      <w:r>
        <w:rPr>
          <w:rFonts w:ascii="Arial" w:hAnsi="Arial" w:cs="Arial"/>
          <w:sz w:val="20"/>
          <w:szCs w:val="20"/>
        </w:rPr>
        <w:t>A</w:t>
      </w:r>
      <w:r w:rsidRPr="00971568">
        <w:rPr>
          <w:rFonts w:ascii="Arial" w:hAnsi="Arial" w:cs="Arial"/>
          <w:sz w:val="20"/>
          <w:szCs w:val="20"/>
        </w:rPr>
        <w:t xml:space="preserve">ll supervising staff are required to undertake effective measures to ensure compliance with the Occupational Safety and Health Act 1984 and related University requirements (including Safety, Health and Wellbeing Objectives and Targets). </w:t>
      </w:r>
    </w:p>
    <w:p w:rsidR="006C31BD" w:rsidRPr="00971568" w:rsidRDefault="006C31BD" w:rsidP="006C31BD">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3"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C31BD" w:rsidRPr="00971568" w:rsidRDefault="006C31BD" w:rsidP="006C31BD">
      <w:pPr>
        <w:pStyle w:val="PlainText"/>
        <w:jc w:val="both"/>
        <w:rPr>
          <w:rFonts w:ascii="Arial" w:hAnsi="Arial" w:cs="Arial"/>
          <w:b/>
          <w:sz w:val="20"/>
          <w:szCs w:val="20"/>
        </w:rPr>
      </w:pPr>
      <w:r w:rsidRPr="00971568">
        <w:rPr>
          <w:rFonts w:ascii="Arial" w:hAnsi="Arial" w:cs="Arial"/>
          <w:b/>
          <w:sz w:val="20"/>
          <w:szCs w:val="20"/>
        </w:rPr>
        <w:t>Equity and Diversity</w:t>
      </w:r>
    </w:p>
    <w:p w:rsidR="006C31BD" w:rsidRDefault="006C31BD" w:rsidP="006C31BD">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4"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5" w:history="1">
        <w:r w:rsidRPr="00971568">
          <w:rPr>
            <w:rStyle w:val="Hyperlink"/>
            <w:rFonts w:ascii="Arial" w:hAnsi="Arial" w:cs="Arial"/>
            <w:sz w:val="20"/>
            <w:szCs w:val="20"/>
          </w:rPr>
          <w:t>http://www.equity.uwa.edu.au</w:t>
        </w:r>
      </w:hyperlink>
    </w:p>
    <w:p w:rsidR="006C31BD" w:rsidRDefault="006C31BD" w:rsidP="00E57C47">
      <w:pPr>
        <w:jc w:val="both"/>
        <w:rPr>
          <w:rFonts w:ascii="Arial" w:hAnsi="Arial" w:cs="Arial"/>
          <w:b/>
          <w:sz w:val="20"/>
          <w:szCs w:val="20"/>
        </w:rPr>
      </w:pPr>
    </w:p>
    <w:sectPr w:rsidR="006C31BD"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A5" w:rsidRDefault="003053A5">
      <w:r>
        <w:separator/>
      </w:r>
    </w:p>
  </w:endnote>
  <w:endnote w:type="continuationSeparator" w:id="0">
    <w:p w:rsidR="003053A5" w:rsidRDefault="003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A5" w:rsidRDefault="003053A5">
      <w:r>
        <w:separator/>
      </w:r>
    </w:p>
  </w:footnote>
  <w:footnote w:type="continuationSeparator" w:id="0">
    <w:p w:rsidR="003053A5" w:rsidRDefault="00305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62436"/>
    <w:multiLevelType w:val="hybridMultilevel"/>
    <w:tmpl w:val="CE32C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231ED3"/>
    <w:multiLevelType w:val="hybridMultilevel"/>
    <w:tmpl w:val="8230F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356F5F"/>
    <w:multiLevelType w:val="hybridMultilevel"/>
    <w:tmpl w:val="A602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B3568"/>
    <w:multiLevelType w:val="hybridMultilevel"/>
    <w:tmpl w:val="2894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6F2330B"/>
    <w:multiLevelType w:val="hybridMultilevel"/>
    <w:tmpl w:val="B120D0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6A76974"/>
    <w:multiLevelType w:val="hybridMultilevel"/>
    <w:tmpl w:val="C29EA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B4794E"/>
    <w:multiLevelType w:val="hybridMultilevel"/>
    <w:tmpl w:val="00D2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7F622F"/>
    <w:multiLevelType w:val="hybridMultilevel"/>
    <w:tmpl w:val="CB90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
  </w:num>
  <w:num w:numId="4">
    <w:abstractNumId w:val="0"/>
  </w:num>
  <w:num w:numId="5">
    <w:abstractNumId w:val="21"/>
  </w:num>
  <w:num w:numId="6">
    <w:abstractNumId w:val="12"/>
  </w:num>
  <w:num w:numId="7">
    <w:abstractNumId w:val="15"/>
  </w:num>
  <w:num w:numId="8">
    <w:abstractNumId w:val="17"/>
  </w:num>
  <w:num w:numId="9">
    <w:abstractNumId w:val="18"/>
  </w:num>
  <w:num w:numId="10">
    <w:abstractNumId w:val="19"/>
  </w:num>
  <w:num w:numId="11">
    <w:abstractNumId w:val="11"/>
  </w:num>
  <w:num w:numId="12">
    <w:abstractNumId w:val="8"/>
  </w:num>
  <w:num w:numId="13">
    <w:abstractNumId w:val="13"/>
  </w:num>
  <w:num w:numId="14">
    <w:abstractNumId w:val="10"/>
  </w:num>
  <w:num w:numId="15">
    <w:abstractNumId w:val="22"/>
  </w:num>
  <w:num w:numId="16">
    <w:abstractNumId w:val="16"/>
  </w:num>
  <w:num w:numId="17">
    <w:abstractNumId w:val="2"/>
  </w:num>
  <w:num w:numId="18">
    <w:abstractNumId w:val="7"/>
  </w:num>
  <w:num w:numId="19">
    <w:abstractNumId w:val="3"/>
  </w:num>
  <w:num w:numId="20">
    <w:abstractNumId w:val="23"/>
  </w:num>
  <w:num w:numId="21">
    <w:abstractNumId w:val="5"/>
  </w:num>
  <w:num w:numId="22">
    <w:abstractNumId w:val="20"/>
  </w:num>
  <w:num w:numId="23">
    <w:abstractNumId w:val="6"/>
  </w:num>
  <w:num w:numId="24">
    <w:abstractNumId w:val="4"/>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o:colormenu v:ext="edit" fillcolor="none [1311]" stroke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20EE"/>
    <w:rsid w:val="00063882"/>
    <w:rsid w:val="00066545"/>
    <w:rsid w:val="00080332"/>
    <w:rsid w:val="00086834"/>
    <w:rsid w:val="00094237"/>
    <w:rsid w:val="000A6DDE"/>
    <w:rsid w:val="000B20E0"/>
    <w:rsid w:val="000B360B"/>
    <w:rsid w:val="000C4FCE"/>
    <w:rsid w:val="000C59F3"/>
    <w:rsid w:val="000C613F"/>
    <w:rsid w:val="000D01F3"/>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5D7"/>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C81"/>
    <w:rsid w:val="001F0E6B"/>
    <w:rsid w:val="002127CD"/>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19C"/>
    <w:rsid w:val="002A301C"/>
    <w:rsid w:val="002B4390"/>
    <w:rsid w:val="002B70E8"/>
    <w:rsid w:val="002C12DC"/>
    <w:rsid w:val="002C14F9"/>
    <w:rsid w:val="002C1D0F"/>
    <w:rsid w:val="002C265F"/>
    <w:rsid w:val="002C57C5"/>
    <w:rsid w:val="002D3B49"/>
    <w:rsid w:val="002E4711"/>
    <w:rsid w:val="002F7841"/>
    <w:rsid w:val="00302E61"/>
    <w:rsid w:val="00304D8C"/>
    <w:rsid w:val="003053A5"/>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3566"/>
    <w:rsid w:val="003C3B19"/>
    <w:rsid w:val="003D2EF2"/>
    <w:rsid w:val="003D3513"/>
    <w:rsid w:val="003D436F"/>
    <w:rsid w:val="003D7C4C"/>
    <w:rsid w:val="003E2C4A"/>
    <w:rsid w:val="003E35FA"/>
    <w:rsid w:val="003E44CD"/>
    <w:rsid w:val="003E7D9B"/>
    <w:rsid w:val="003F2486"/>
    <w:rsid w:val="003F3326"/>
    <w:rsid w:val="004014ED"/>
    <w:rsid w:val="004039D3"/>
    <w:rsid w:val="004074DA"/>
    <w:rsid w:val="0041517D"/>
    <w:rsid w:val="00417C73"/>
    <w:rsid w:val="00423C07"/>
    <w:rsid w:val="00424558"/>
    <w:rsid w:val="004263D2"/>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526"/>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21A6"/>
    <w:rsid w:val="005B66BC"/>
    <w:rsid w:val="005C59A0"/>
    <w:rsid w:val="005D0815"/>
    <w:rsid w:val="005D377D"/>
    <w:rsid w:val="005E060C"/>
    <w:rsid w:val="005E73E8"/>
    <w:rsid w:val="005F2565"/>
    <w:rsid w:val="005F5974"/>
    <w:rsid w:val="00607753"/>
    <w:rsid w:val="00607F5D"/>
    <w:rsid w:val="00617B97"/>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63BE"/>
    <w:rsid w:val="006A6510"/>
    <w:rsid w:val="006B252E"/>
    <w:rsid w:val="006B65A5"/>
    <w:rsid w:val="006B7778"/>
    <w:rsid w:val="006C31BD"/>
    <w:rsid w:val="006C58AF"/>
    <w:rsid w:val="006D30D0"/>
    <w:rsid w:val="006D4555"/>
    <w:rsid w:val="006D4596"/>
    <w:rsid w:val="006E07FD"/>
    <w:rsid w:val="006E2E65"/>
    <w:rsid w:val="006E3941"/>
    <w:rsid w:val="006F49C4"/>
    <w:rsid w:val="006F7E13"/>
    <w:rsid w:val="00707CB9"/>
    <w:rsid w:val="00710E98"/>
    <w:rsid w:val="007224DC"/>
    <w:rsid w:val="00727EFE"/>
    <w:rsid w:val="007323BA"/>
    <w:rsid w:val="00733DC8"/>
    <w:rsid w:val="0075386F"/>
    <w:rsid w:val="00764D91"/>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5D93"/>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E11F6"/>
    <w:rsid w:val="009F5017"/>
    <w:rsid w:val="00A03736"/>
    <w:rsid w:val="00A05EEF"/>
    <w:rsid w:val="00A074FF"/>
    <w:rsid w:val="00A112F9"/>
    <w:rsid w:val="00A15205"/>
    <w:rsid w:val="00A24704"/>
    <w:rsid w:val="00A2544D"/>
    <w:rsid w:val="00A27537"/>
    <w:rsid w:val="00A306E7"/>
    <w:rsid w:val="00A3654E"/>
    <w:rsid w:val="00A37637"/>
    <w:rsid w:val="00A532B0"/>
    <w:rsid w:val="00A54910"/>
    <w:rsid w:val="00A6756E"/>
    <w:rsid w:val="00A67BBF"/>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13E7B"/>
    <w:rsid w:val="00B2226D"/>
    <w:rsid w:val="00B270FE"/>
    <w:rsid w:val="00B31C41"/>
    <w:rsid w:val="00B331C8"/>
    <w:rsid w:val="00B41034"/>
    <w:rsid w:val="00B42D65"/>
    <w:rsid w:val="00B44D0A"/>
    <w:rsid w:val="00B67887"/>
    <w:rsid w:val="00B7061C"/>
    <w:rsid w:val="00B722D6"/>
    <w:rsid w:val="00B8628D"/>
    <w:rsid w:val="00B91E6A"/>
    <w:rsid w:val="00B92CD1"/>
    <w:rsid w:val="00B94F83"/>
    <w:rsid w:val="00BA3AD1"/>
    <w:rsid w:val="00BA61E3"/>
    <w:rsid w:val="00BA674F"/>
    <w:rsid w:val="00BC2BDB"/>
    <w:rsid w:val="00BD1705"/>
    <w:rsid w:val="00BD2F9C"/>
    <w:rsid w:val="00BE78D2"/>
    <w:rsid w:val="00BF138E"/>
    <w:rsid w:val="00BF4109"/>
    <w:rsid w:val="00C025F6"/>
    <w:rsid w:val="00C035F8"/>
    <w:rsid w:val="00C13DC3"/>
    <w:rsid w:val="00C279EB"/>
    <w:rsid w:val="00C27C0B"/>
    <w:rsid w:val="00C314B0"/>
    <w:rsid w:val="00C844EB"/>
    <w:rsid w:val="00C8666C"/>
    <w:rsid w:val="00C8735D"/>
    <w:rsid w:val="00CA459A"/>
    <w:rsid w:val="00CA5C7D"/>
    <w:rsid w:val="00CB107B"/>
    <w:rsid w:val="00CB288A"/>
    <w:rsid w:val="00CB455D"/>
    <w:rsid w:val="00CB62EF"/>
    <w:rsid w:val="00CC25E0"/>
    <w:rsid w:val="00CC2EC6"/>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57C47"/>
    <w:rsid w:val="00E6146A"/>
    <w:rsid w:val="00E621EE"/>
    <w:rsid w:val="00E62574"/>
    <w:rsid w:val="00E6343B"/>
    <w:rsid w:val="00E6380B"/>
    <w:rsid w:val="00E6579B"/>
    <w:rsid w:val="00E70886"/>
    <w:rsid w:val="00E72DA4"/>
    <w:rsid w:val="00EA5DF9"/>
    <w:rsid w:val="00EB4940"/>
    <w:rsid w:val="00EB5C83"/>
    <w:rsid w:val="00EC29FF"/>
    <w:rsid w:val="00EC6DED"/>
    <w:rsid w:val="00ED0B9E"/>
    <w:rsid w:val="00EE2200"/>
    <w:rsid w:val="00EE2744"/>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enu v:ext="edit" fillcolor="none [1311]" strokecolor="none [161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List2">
    <w:name w:val="List 2"/>
    <w:basedOn w:val="Normal"/>
    <w:uiPriority w:val="99"/>
    <w:rsid w:val="00E57C47"/>
    <w:pPr>
      <w:ind w:left="720" w:hanging="360"/>
    </w:pPr>
    <w:rPr>
      <w:rFonts w:ascii="Bookman" w:hAnsi="Bookman" w:cs="Bookman"/>
    </w:rPr>
  </w:style>
  <w:style w:type="paragraph" w:styleId="PlainText">
    <w:name w:val="Plain Text"/>
    <w:basedOn w:val="Normal"/>
    <w:link w:val="PlainTextChar"/>
    <w:uiPriority w:val="99"/>
    <w:semiHidden/>
    <w:unhideWhenUsed/>
    <w:rsid w:val="006C31B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C31B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List2">
    <w:name w:val="List 2"/>
    <w:basedOn w:val="Normal"/>
    <w:uiPriority w:val="99"/>
    <w:rsid w:val="00E57C47"/>
    <w:pPr>
      <w:ind w:left="720" w:hanging="360"/>
    </w:pPr>
    <w:rPr>
      <w:rFonts w:ascii="Bookman" w:hAnsi="Bookman" w:cs="Bookman"/>
    </w:rPr>
  </w:style>
  <w:style w:type="paragraph" w:styleId="PlainText">
    <w:name w:val="Plain Text"/>
    <w:basedOn w:val="Normal"/>
    <w:link w:val="PlainTextChar"/>
    <w:uiPriority w:val="99"/>
    <w:semiHidden/>
    <w:unhideWhenUsed/>
    <w:rsid w:val="006C31B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C31B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y.uwa.edu.au/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ty.uwa.edu.au" TargetMode="External"/><Relationship Id="rId5" Type="http://schemas.openxmlformats.org/officeDocument/2006/relationships/settings" Target="settings.xml"/><Relationship Id="rId15" Type="http://schemas.openxmlformats.org/officeDocument/2006/relationships/hyperlink" Target="http://www.equity.uwa.edu.au" TargetMode="External"/><Relationship Id="rId10" Type="http://schemas.openxmlformats.org/officeDocument/2006/relationships/hyperlink" Target="http://www.hr.uwa.edu.au/publications/code_of_eth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r.uwa.edu.au/publications/code_of_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A476-228F-40B7-A4C9-5D30A4D0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19</TotalTime>
  <Pages>2</Pages>
  <Words>837</Words>
  <Characters>5611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6436</CharactersWithSpaces>
  <SharedDoc>false</SharedDoc>
  <HLinks>
    <vt:vector size="18" baseType="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16</cp:revision>
  <cp:lastPrinted>2012-10-08T03:14:00Z</cp:lastPrinted>
  <dcterms:created xsi:type="dcterms:W3CDTF">2017-08-22T07:57:00Z</dcterms:created>
  <dcterms:modified xsi:type="dcterms:W3CDTF">2017-08-25T03:58:00Z</dcterms:modified>
</cp:coreProperties>
</file>