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8E" w:rsidRPr="005420C9" w:rsidRDefault="00CE3F8E" w:rsidP="001D29DC">
      <w:pPr>
        <w:pStyle w:val="formtext"/>
        <w:widowControl/>
        <w:spacing w:before="0" w:line="276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CE3F8E" w:rsidRPr="005420C9" w:rsidTr="00A5794A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F8E" w:rsidRPr="005420C9" w:rsidRDefault="0037619A" w:rsidP="001D29DC">
            <w:pPr>
              <w:pStyle w:val="formtext"/>
              <w:widowControl/>
              <w:spacing w:before="0" w:line="276" w:lineRule="auto"/>
              <w:jc w:val="left"/>
              <w:rPr>
                <w:sz w:val="20"/>
                <w:szCs w:val="20"/>
                <w:lang w:val="en-AU"/>
              </w:rPr>
            </w:pPr>
            <w:r w:rsidRPr="005420C9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FEA1392" wp14:editId="21FD7107">
                  <wp:extent cx="1533525" cy="523875"/>
                  <wp:effectExtent l="0" t="0" r="9525" b="9525"/>
                  <wp:docPr id="2" name="Picture 0" descr="Description: 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ANU_LOGO_mono black_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8E" w:rsidRPr="005420C9" w:rsidRDefault="00CE3F8E" w:rsidP="001D29DC">
            <w:pPr>
              <w:pStyle w:val="BodyTex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20C9">
              <w:rPr>
                <w:b/>
                <w:sz w:val="20"/>
                <w:szCs w:val="20"/>
              </w:rPr>
              <w:t>Position Description</w:t>
            </w:r>
          </w:p>
        </w:tc>
      </w:tr>
    </w:tbl>
    <w:p w:rsidR="00CE3F8E" w:rsidRPr="005420C9" w:rsidRDefault="00CE3F8E" w:rsidP="001D29DC">
      <w:pPr>
        <w:pStyle w:val="norm10plus"/>
        <w:widowControl/>
        <w:overflowPunct w:val="0"/>
        <w:spacing w:before="0" w:after="0" w:line="276" w:lineRule="auto"/>
        <w:textAlignment w:val="baseline"/>
      </w:pPr>
    </w:p>
    <w:tbl>
      <w:tblPr>
        <w:tblW w:w="1045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top w:w="57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5812"/>
      </w:tblGrid>
      <w:tr w:rsidR="006472C6" w:rsidRPr="005B577E" w:rsidTr="005B577E">
        <w:trPr>
          <w:cantSplit/>
        </w:trPr>
        <w:tc>
          <w:tcPr>
            <w:tcW w:w="4643" w:type="dxa"/>
            <w:tcBorders>
              <w:top w:val="single" w:sz="4" w:space="0" w:color="auto"/>
            </w:tcBorders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>College/Division: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72C6" w:rsidRPr="005B577E" w:rsidRDefault="006472C6" w:rsidP="001D29DC">
            <w:pPr>
              <w:pStyle w:val="norm10plus"/>
              <w:widowControl/>
              <w:overflowPunct w:val="0"/>
              <w:spacing w:before="0" w:after="60" w:line="276" w:lineRule="auto"/>
              <w:textAlignment w:val="baseline"/>
              <w:rPr>
                <w:sz w:val="18"/>
              </w:rPr>
            </w:pPr>
            <w:r w:rsidRPr="005B577E">
              <w:rPr>
                <w:sz w:val="18"/>
              </w:rPr>
              <w:t>College of Business and Economics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>Facul</w:t>
            </w:r>
            <w:bookmarkStart w:id="0" w:name="_GoBack"/>
            <w:bookmarkEnd w:id="0"/>
            <w:r w:rsidRPr="005B577E">
              <w:rPr>
                <w:b/>
                <w:bCs/>
                <w:szCs w:val="20"/>
              </w:rPr>
              <w:t xml:space="preserve">ty/School/Centre: </w:t>
            </w:r>
          </w:p>
        </w:tc>
        <w:tc>
          <w:tcPr>
            <w:tcW w:w="5812" w:type="dxa"/>
          </w:tcPr>
          <w:p w:rsidR="006472C6" w:rsidRPr="005B577E" w:rsidRDefault="006472C6" w:rsidP="001D29DC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>Research School of Management</w:t>
            </w:r>
            <w:r w:rsidR="001600F1" w:rsidRPr="005B577E">
              <w:rPr>
                <w:sz w:val="18"/>
              </w:rPr>
              <w:t xml:space="preserve"> 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 xml:space="preserve">Department/Unit: </w:t>
            </w:r>
          </w:p>
        </w:tc>
        <w:tc>
          <w:tcPr>
            <w:tcW w:w="5812" w:type="dxa"/>
          </w:tcPr>
          <w:p w:rsidR="006472C6" w:rsidRPr="005B577E" w:rsidRDefault="006472C6" w:rsidP="001D29DC">
            <w:pPr>
              <w:pStyle w:val="norm10plus"/>
              <w:widowControl/>
              <w:overflowPunct w:val="0"/>
              <w:spacing w:before="0" w:after="60" w:line="276" w:lineRule="auto"/>
              <w:textAlignment w:val="baseline"/>
              <w:rPr>
                <w:sz w:val="18"/>
              </w:rPr>
            </w:pP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 xml:space="preserve">Position Title: </w:t>
            </w:r>
          </w:p>
        </w:tc>
        <w:tc>
          <w:tcPr>
            <w:tcW w:w="5812" w:type="dxa"/>
          </w:tcPr>
          <w:p w:rsidR="006472C6" w:rsidRPr="005B577E" w:rsidRDefault="001600F1" w:rsidP="004604A2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 xml:space="preserve">Casual Sessional Academic 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>Classification:</w:t>
            </w:r>
          </w:p>
        </w:tc>
        <w:tc>
          <w:tcPr>
            <w:tcW w:w="5812" w:type="dxa"/>
          </w:tcPr>
          <w:p w:rsidR="006472C6" w:rsidRPr="005B577E" w:rsidRDefault="004604A2" w:rsidP="004604A2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>Casual Sessional Lecturer or Tutor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szCs w:val="20"/>
              </w:rPr>
              <w:t>Position No:</w:t>
            </w:r>
          </w:p>
        </w:tc>
        <w:tc>
          <w:tcPr>
            <w:tcW w:w="5812" w:type="dxa"/>
          </w:tcPr>
          <w:p w:rsidR="006472C6" w:rsidRPr="005B577E" w:rsidRDefault="006472C6" w:rsidP="004E5089">
            <w:pPr>
              <w:spacing w:before="0" w:after="60" w:line="276" w:lineRule="auto"/>
              <w:rPr>
                <w:sz w:val="18"/>
              </w:rPr>
            </w:pP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rPr>
                <w:b/>
                <w:bCs/>
                <w:szCs w:val="20"/>
              </w:rPr>
            </w:pPr>
            <w:r w:rsidRPr="005B577E">
              <w:rPr>
                <w:b/>
                <w:bCs/>
                <w:color w:val="000000"/>
                <w:szCs w:val="20"/>
              </w:rPr>
              <w:t>Responsible to:</w:t>
            </w:r>
          </w:p>
        </w:tc>
        <w:tc>
          <w:tcPr>
            <w:tcW w:w="5812" w:type="dxa"/>
          </w:tcPr>
          <w:p w:rsidR="006472C6" w:rsidRPr="005B577E" w:rsidRDefault="004E5089" w:rsidP="001D29DC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>Director</w:t>
            </w:r>
            <w:r w:rsidR="00511C29" w:rsidRPr="005B577E">
              <w:rPr>
                <w:sz w:val="18"/>
              </w:rPr>
              <w:t>,</w:t>
            </w:r>
            <w:r w:rsidR="001600F1" w:rsidRPr="005B577E">
              <w:rPr>
                <w:sz w:val="18"/>
              </w:rPr>
              <w:t xml:space="preserve"> Research School of Management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jc w:val="left"/>
              <w:rPr>
                <w:b/>
                <w:bCs/>
                <w:color w:val="000000"/>
                <w:szCs w:val="20"/>
              </w:rPr>
            </w:pPr>
            <w:r w:rsidRPr="005B577E">
              <w:rPr>
                <w:b/>
                <w:bCs/>
                <w:color w:val="000000"/>
                <w:szCs w:val="20"/>
              </w:rPr>
              <w:t>Number of positions that report to this role:</w:t>
            </w:r>
          </w:p>
        </w:tc>
        <w:tc>
          <w:tcPr>
            <w:tcW w:w="5812" w:type="dxa"/>
          </w:tcPr>
          <w:p w:rsidR="006472C6" w:rsidRPr="005B577E" w:rsidRDefault="006472C6" w:rsidP="001D29DC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>none</w:t>
            </w:r>
          </w:p>
        </w:tc>
      </w:tr>
      <w:tr w:rsidR="006472C6" w:rsidRPr="005B577E" w:rsidTr="005B577E">
        <w:trPr>
          <w:cantSplit/>
        </w:trPr>
        <w:tc>
          <w:tcPr>
            <w:tcW w:w="4643" w:type="dxa"/>
            <w:tcBorders>
              <w:bottom w:val="single" w:sz="6" w:space="0" w:color="auto"/>
            </w:tcBorders>
          </w:tcPr>
          <w:p w:rsidR="006472C6" w:rsidRPr="005B577E" w:rsidRDefault="006472C6" w:rsidP="001D29DC">
            <w:pPr>
              <w:pStyle w:val="formtext"/>
              <w:widowControl/>
              <w:spacing w:before="0" w:after="60" w:line="276" w:lineRule="auto"/>
              <w:jc w:val="left"/>
              <w:rPr>
                <w:b/>
                <w:bCs/>
                <w:color w:val="000000"/>
                <w:szCs w:val="20"/>
              </w:rPr>
            </w:pPr>
            <w:r w:rsidRPr="005B577E">
              <w:rPr>
                <w:b/>
                <w:bCs/>
                <w:color w:val="000000"/>
                <w:szCs w:val="20"/>
              </w:rPr>
              <w:t>Delegation(s) Assigned: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6472C6" w:rsidRPr="005B577E" w:rsidRDefault="004E5089" w:rsidP="001D29DC">
            <w:pPr>
              <w:spacing w:before="0" w:after="60" w:line="276" w:lineRule="auto"/>
              <w:rPr>
                <w:sz w:val="18"/>
              </w:rPr>
            </w:pPr>
            <w:r w:rsidRPr="005B577E">
              <w:rPr>
                <w:sz w:val="18"/>
              </w:rPr>
              <w:t>none</w:t>
            </w:r>
          </w:p>
        </w:tc>
      </w:tr>
    </w:tbl>
    <w:p w:rsidR="00842A4C" w:rsidRPr="005420C9" w:rsidRDefault="00842A4C" w:rsidP="001D29DC">
      <w:pPr>
        <w:spacing w:before="0" w:line="276" w:lineRule="auto"/>
        <w:ind w:right="368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CE3F8E" w:rsidRPr="005420C9" w:rsidTr="00A5794A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AB2F40" w:rsidRPr="005420C9" w:rsidRDefault="00AB2F40" w:rsidP="001D29DC">
            <w:pPr>
              <w:spacing w:before="0" w:line="276" w:lineRule="auto"/>
              <w:rPr>
                <w:b/>
                <w:bCs/>
              </w:rPr>
            </w:pPr>
          </w:p>
          <w:p w:rsidR="00D9514C" w:rsidRPr="005420C9" w:rsidRDefault="00D9514C" w:rsidP="001D29DC">
            <w:pPr>
              <w:spacing w:before="0" w:line="276" w:lineRule="auto"/>
              <w:rPr>
                <w:b/>
                <w:bCs/>
                <w:color w:val="000000"/>
              </w:rPr>
            </w:pPr>
            <w:r w:rsidRPr="005420C9">
              <w:rPr>
                <w:b/>
                <w:bCs/>
              </w:rPr>
              <w:t>PURPOSE</w:t>
            </w:r>
            <w:r w:rsidRPr="005420C9">
              <w:rPr>
                <w:b/>
                <w:bCs/>
                <w:color w:val="0000FF"/>
              </w:rPr>
              <w:t xml:space="preserve"> </w:t>
            </w:r>
            <w:r w:rsidRPr="005420C9">
              <w:rPr>
                <w:b/>
                <w:bCs/>
                <w:color w:val="000000"/>
              </w:rPr>
              <w:t>STATEMENT:</w:t>
            </w:r>
          </w:p>
          <w:p w:rsidR="00EF1F47" w:rsidRPr="005420C9" w:rsidRDefault="004604A2" w:rsidP="001D29DC">
            <w:pPr>
              <w:spacing w:before="0" w:line="276" w:lineRule="auto"/>
              <w:jc w:val="left"/>
            </w:pPr>
            <w:r w:rsidRPr="005420C9">
              <w:t xml:space="preserve">Casual sessional academics </w:t>
            </w:r>
            <w:r w:rsidR="004E5089" w:rsidRPr="005420C9">
              <w:t>work</w:t>
            </w:r>
            <w:r w:rsidR="00EF1F47" w:rsidRPr="005420C9">
              <w:t xml:space="preserve"> as part of a team responsible for the </w:t>
            </w:r>
            <w:r w:rsidR="004E5089" w:rsidRPr="005420C9">
              <w:t>delivery of</w:t>
            </w:r>
            <w:r w:rsidR="00EF1F47" w:rsidRPr="005420C9">
              <w:t xml:space="preserve"> undergraduate and postgraduate coursework teaching programs </w:t>
            </w:r>
            <w:r w:rsidR="00AB2F40" w:rsidRPr="005420C9">
              <w:t>for</w:t>
            </w:r>
            <w:r w:rsidR="00EF1F47" w:rsidRPr="005420C9">
              <w:t xml:space="preserve"> the Research School of Management</w:t>
            </w:r>
            <w:r w:rsidR="004E5089" w:rsidRPr="005420C9">
              <w:t xml:space="preserve">. </w:t>
            </w:r>
            <w:r w:rsidR="00C02AE5">
              <w:t>Casual sessional academics assist with delivery of lectures, seminars, tutorials and workshops and managing or assisting with assessment as required.</w:t>
            </w:r>
          </w:p>
          <w:p w:rsidR="00EF1F47" w:rsidRPr="005420C9" w:rsidRDefault="00EF1F47" w:rsidP="001D29DC">
            <w:pPr>
              <w:spacing w:before="0" w:line="276" w:lineRule="auto"/>
              <w:jc w:val="left"/>
            </w:pPr>
          </w:p>
          <w:p w:rsidR="00D9514C" w:rsidRPr="005420C9" w:rsidRDefault="00D9514C" w:rsidP="001D29DC">
            <w:pPr>
              <w:spacing w:before="0" w:line="276" w:lineRule="auto"/>
              <w:rPr>
                <w:b/>
                <w:bCs/>
              </w:rPr>
            </w:pPr>
            <w:r w:rsidRPr="005420C9">
              <w:rPr>
                <w:b/>
                <w:bCs/>
              </w:rPr>
              <w:t>KEY ACCOUNTABILITY AREAS:</w:t>
            </w:r>
          </w:p>
          <w:p w:rsidR="00D9514C" w:rsidRPr="005420C9" w:rsidRDefault="00D9514C" w:rsidP="001D29DC">
            <w:pPr>
              <w:spacing w:before="0" w:line="276" w:lineRule="auto"/>
              <w:rPr>
                <w:b/>
                <w:bCs/>
              </w:rPr>
            </w:pPr>
            <w:r w:rsidRPr="005420C9">
              <w:rPr>
                <w:b/>
                <w:bCs/>
              </w:rPr>
              <w:t xml:space="preserve">Position Dimension &amp; Relationships: </w:t>
            </w:r>
          </w:p>
          <w:p w:rsidR="00D5244D" w:rsidRPr="005420C9" w:rsidRDefault="00EF1F47" w:rsidP="001D29DC">
            <w:pPr>
              <w:spacing w:before="0" w:line="276" w:lineRule="auto"/>
              <w:jc w:val="left"/>
            </w:pPr>
            <w:r w:rsidRPr="005420C9">
              <w:t>The Research School of Management</w:t>
            </w:r>
            <w:r w:rsidR="00F654FD" w:rsidRPr="005420C9">
              <w:t xml:space="preserve"> (RSM)</w:t>
            </w:r>
            <w:r w:rsidRPr="005420C9">
              <w:t xml:space="preserve"> is one of the four Research Schools within the ANU College of Business and Economics. </w:t>
            </w:r>
            <w:r w:rsidR="004E5089" w:rsidRPr="005420C9">
              <w:t xml:space="preserve">Working </w:t>
            </w:r>
            <w:r w:rsidR="00AD53A1" w:rsidRPr="005420C9">
              <w:t xml:space="preserve">closely with the </w:t>
            </w:r>
            <w:r w:rsidR="004604A2" w:rsidRPr="005420C9">
              <w:t>RSM</w:t>
            </w:r>
            <w:r w:rsidR="00AD53A1" w:rsidRPr="005420C9">
              <w:t xml:space="preserve"> Deputy Director (Education)</w:t>
            </w:r>
            <w:r w:rsidR="004E5089" w:rsidRPr="005420C9">
              <w:t xml:space="preserve">, </w:t>
            </w:r>
            <w:r w:rsidR="00AD53A1" w:rsidRPr="005420C9">
              <w:t>casual sessional lecturers</w:t>
            </w:r>
            <w:r w:rsidR="004E5089" w:rsidRPr="005420C9">
              <w:t xml:space="preserve"> </w:t>
            </w:r>
            <w:r w:rsidR="004604A2" w:rsidRPr="005420C9">
              <w:t xml:space="preserve">and tutors </w:t>
            </w:r>
            <w:r w:rsidR="004E5089" w:rsidRPr="005420C9">
              <w:t xml:space="preserve">have a significant teaching role in the </w:t>
            </w:r>
            <w:r w:rsidR="001600F1" w:rsidRPr="005420C9">
              <w:t xml:space="preserve">School. </w:t>
            </w:r>
          </w:p>
          <w:p w:rsidR="001D29DC" w:rsidRPr="005420C9" w:rsidRDefault="001D29DC" w:rsidP="001D29DC">
            <w:pPr>
              <w:spacing w:before="0" w:line="276" w:lineRule="auto"/>
              <w:jc w:val="left"/>
            </w:pPr>
          </w:p>
          <w:p w:rsidR="00D9514C" w:rsidRPr="005420C9" w:rsidRDefault="004604A2" w:rsidP="001D29DC">
            <w:pPr>
              <w:spacing w:before="0" w:line="276" w:lineRule="auto"/>
              <w:jc w:val="left"/>
              <w:rPr>
                <w:b/>
                <w:bCs/>
              </w:rPr>
            </w:pPr>
            <w:r w:rsidRPr="005420C9">
              <w:rPr>
                <w:b/>
                <w:bCs/>
              </w:rPr>
              <w:t>Role Statement:</w:t>
            </w:r>
          </w:p>
          <w:p w:rsidR="004604A2" w:rsidRPr="00511C29" w:rsidRDefault="00511C29" w:rsidP="00511C29">
            <w:pPr>
              <w:spacing w:after="240"/>
              <w:rPr>
                <w:bCs/>
              </w:rPr>
            </w:pPr>
            <w:r w:rsidRPr="00511C29">
              <w:t>Under the general direction of the Deputy Director (Education)</w:t>
            </w:r>
            <w:r w:rsidRPr="00511C29">
              <w:t xml:space="preserve">, </w:t>
            </w:r>
            <w:r w:rsidR="004604A2" w:rsidRPr="00511C29">
              <w:rPr>
                <w:bCs/>
              </w:rPr>
              <w:t xml:space="preserve">a </w:t>
            </w:r>
            <w:r w:rsidR="004604A2" w:rsidRPr="00511C29">
              <w:rPr>
                <w:b/>
                <w:bCs/>
              </w:rPr>
              <w:t>Casual Sessional Lecturer</w:t>
            </w:r>
            <w:r w:rsidR="004604A2" w:rsidRPr="00511C29">
              <w:rPr>
                <w:bCs/>
              </w:rPr>
              <w:t xml:space="preserve"> may:</w:t>
            </w:r>
          </w:p>
          <w:p w:rsidR="00AD53A1" w:rsidRDefault="00AD53A1" w:rsidP="00511C29">
            <w:pPr>
              <w:numPr>
                <w:ilvl w:val="0"/>
                <w:numId w:val="31"/>
              </w:numPr>
              <w:spacing w:line="276" w:lineRule="auto"/>
            </w:pPr>
            <w:r w:rsidRPr="005420C9">
              <w:t>Coordinate and administer all aspects of the delivery of a course, or courses, including:</w:t>
            </w:r>
          </w:p>
          <w:p w:rsidR="004E5089" w:rsidRPr="005420C9" w:rsidRDefault="00AD53A1" w:rsidP="00AD53A1">
            <w:pPr>
              <w:numPr>
                <w:ilvl w:val="1"/>
                <w:numId w:val="31"/>
              </w:numPr>
            </w:pPr>
            <w:r w:rsidRPr="005420C9">
              <w:t>Delivery of seminars/lectures</w:t>
            </w:r>
            <w:r w:rsidR="00925578" w:rsidRPr="005420C9">
              <w:t xml:space="preserve"> to undergraduate and/</w:t>
            </w:r>
            <w:r w:rsidR="007E1A69" w:rsidRPr="005420C9">
              <w:t xml:space="preserve">or </w:t>
            </w:r>
            <w:r w:rsidR="00925578" w:rsidRPr="005420C9">
              <w:t>postgraduate students on a weekly basis</w:t>
            </w:r>
            <w:r w:rsidR="004E5089" w:rsidRPr="005420C9">
              <w:t>.</w:t>
            </w:r>
          </w:p>
          <w:p w:rsidR="00AD53A1" w:rsidRPr="005420C9" w:rsidRDefault="00AD53A1" w:rsidP="00AD53A1">
            <w:pPr>
              <w:numPr>
                <w:ilvl w:val="1"/>
                <w:numId w:val="31"/>
              </w:numPr>
            </w:pPr>
            <w:r w:rsidRPr="005420C9">
              <w:t>Preparation and de</w:t>
            </w:r>
            <w:r w:rsidR="006B6F9A" w:rsidRPr="005420C9">
              <w:t>sign of seminars</w:t>
            </w:r>
            <w:r w:rsidR="001725C1">
              <w:t>/lectures</w:t>
            </w:r>
            <w:r w:rsidR="006B6F9A" w:rsidRPr="005420C9">
              <w:t xml:space="preserve"> and assessment</w:t>
            </w:r>
          </w:p>
          <w:p w:rsidR="00AD53A1" w:rsidRPr="005420C9" w:rsidRDefault="00AD53A1" w:rsidP="00AD53A1">
            <w:pPr>
              <w:numPr>
                <w:ilvl w:val="1"/>
                <w:numId w:val="31"/>
              </w:numPr>
            </w:pPr>
            <w:r w:rsidRPr="005420C9">
              <w:t>Development of the course site and materials on Wattle</w:t>
            </w:r>
          </w:p>
          <w:p w:rsidR="006B6F9A" w:rsidRPr="005420C9" w:rsidRDefault="00AD53A1" w:rsidP="006B6F9A">
            <w:pPr>
              <w:numPr>
                <w:ilvl w:val="1"/>
                <w:numId w:val="31"/>
              </w:numPr>
            </w:pPr>
            <w:r w:rsidRPr="005420C9">
              <w:t xml:space="preserve">Provision of email and face-to-face </w:t>
            </w:r>
            <w:r w:rsidR="004E5089" w:rsidRPr="005420C9">
              <w:t>consultation with students</w:t>
            </w:r>
          </w:p>
          <w:p w:rsidR="004E5089" w:rsidRPr="005420C9" w:rsidRDefault="00AD53A1" w:rsidP="00AB2F40">
            <w:pPr>
              <w:numPr>
                <w:ilvl w:val="1"/>
                <w:numId w:val="31"/>
              </w:numPr>
            </w:pPr>
            <w:r w:rsidRPr="005420C9">
              <w:t>Mark</w:t>
            </w:r>
            <w:r w:rsidR="00AB2F40" w:rsidRPr="005420C9">
              <w:t>ing</w:t>
            </w:r>
            <w:r w:rsidRPr="005420C9">
              <w:t xml:space="preserve"> </w:t>
            </w:r>
            <w:r w:rsidR="00F654FD" w:rsidRPr="005420C9">
              <w:t xml:space="preserve">and administration of </w:t>
            </w:r>
            <w:r w:rsidRPr="005420C9">
              <w:t>assessment items</w:t>
            </w:r>
            <w:r w:rsidR="00B06AD2">
              <w:t xml:space="preserve"> including development of marking rubrics</w:t>
            </w:r>
          </w:p>
          <w:p w:rsidR="006B6F9A" w:rsidRPr="005420C9" w:rsidRDefault="00F654FD" w:rsidP="00AB2F40">
            <w:pPr>
              <w:numPr>
                <w:ilvl w:val="1"/>
                <w:numId w:val="31"/>
              </w:numPr>
            </w:pPr>
            <w:r w:rsidRPr="005420C9">
              <w:t xml:space="preserve">Coordination and </w:t>
            </w:r>
            <w:r w:rsidR="00B06AD2">
              <w:t>oversight</w:t>
            </w:r>
            <w:r w:rsidR="00B06AD2" w:rsidRPr="005420C9">
              <w:t xml:space="preserve"> </w:t>
            </w:r>
            <w:r w:rsidRPr="005420C9">
              <w:t>of</w:t>
            </w:r>
            <w:r w:rsidR="00B43378" w:rsidRPr="005420C9">
              <w:t xml:space="preserve"> </w:t>
            </w:r>
            <w:r w:rsidR="006B6F9A" w:rsidRPr="005420C9">
              <w:t>course tutors</w:t>
            </w:r>
          </w:p>
          <w:p w:rsidR="00E73770" w:rsidRPr="005420C9" w:rsidRDefault="00E73770" w:rsidP="00511C29">
            <w:pPr>
              <w:numPr>
                <w:ilvl w:val="1"/>
                <w:numId w:val="31"/>
              </w:numPr>
              <w:spacing w:line="276" w:lineRule="auto"/>
            </w:pPr>
            <w:r w:rsidRPr="005420C9">
              <w:t>Attendance at meetings regarding cou</w:t>
            </w:r>
            <w:r w:rsidR="003B2637" w:rsidRPr="005420C9">
              <w:t>rse related matters as required</w:t>
            </w:r>
          </w:p>
          <w:p w:rsidR="004E5089" w:rsidRPr="005420C9" w:rsidRDefault="00D11943" w:rsidP="004E5089">
            <w:r w:rsidRPr="005420C9">
              <w:t>2. Other duties as appropriate to the level of appointment.</w:t>
            </w:r>
          </w:p>
          <w:p w:rsidR="004604A2" w:rsidRPr="005420C9" w:rsidRDefault="004604A2" w:rsidP="004E5089"/>
          <w:p w:rsidR="004604A2" w:rsidRPr="00511C29" w:rsidRDefault="00511C29" w:rsidP="00511C29">
            <w:pPr>
              <w:spacing w:after="240"/>
              <w:rPr>
                <w:bCs/>
              </w:rPr>
            </w:pPr>
            <w:r w:rsidRPr="00511C29">
              <w:t>Under the general direction of a course convenor</w:t>
            </w:r>
            <w:r w:rsidRPr="00511C29">
              <w:t xml:space="preserve">, </w:t>
            </w:r>
            <w:r w:rsidR="004604A2" w:rsidRPr="00511C29">
              <w:rPr>
                <w:bCs/>
              </w:rPr>
              <w:t xml:space="preserve">a </w:t>
            </w:r>
            <w:r w:rsidR="004604A2" w:rsidRPr="00511C29">
              <w:rPr>
                <w:b/>
                <w:bCs/>
              </w:rPr>
              <w:t>Casual Sessional Tutor</w:t>
            </w:r>
            <w:r w:rsidR="004604A2" w:rsidRPr="00511C29">
              <w:rPr>
                <w:bCs/>
              </w:rPr>
              <w:t xml:space="preserve"> may:</w:t>
            </w:r>
          </w:p>
          <w:p w:rsidR="004604A2" w:rsidRPr="005420C9" w:rsidRDefault="005420C9" w:rsidP="00511C29">
            <w:pPr>
              <w:spacing w:line="276" w:lineRule="auto"/>
            </w:pPr>
            <w:r w:rsidRPr="005420C9">
              <w:t xml:space="preserve">1. </w:t>
            </w:r>
            <w:r>
              <w:t xml:space="preserve">  </w:t>
            </w:r>
            <w:r w:rsidR="004604A2" w:rsidRPr="005420C9">
              <w:t>Prepare and deliver tutorial classes to undergraduate and/or postgrad</w:t>
            </w:r>
            <w:r>
              <w:t>uate students on a weekly basis</w:t>
            </w:r>
          </w:p>
          <w:p w:rsidR="004604A2" w:rsidRPr="005420C9" w:rsidRDefault="004604A2" w:rsidP="00511C29">
            <w:pPr>
              <w:numPr>
                <w:ilvl w:val="0"/>
                <w:numId w:val="31"/>
              </w:numPr>
              <w:spacing w:line="276" w:lineRule="auto"/>
            </w:pPr>
            <w:r w:rsidRPr="005420C9">
              <w:t>Be available for consultation with students outside of tutorials</w:t>
            </w:r>
          </w:p>
          <w:p w:rsidR="004604A2" w:rsidRPr="005420C9" w:rsidRDefault="004604A2" w:rsidP="00511C29">
            <w:pPr>
              <w:numPr>
                <w:ilvl w:val="0"/>
                <w:numId w:val="31"/>
              </w:numPr>
              <w:spacing w:line="276" w:lineRule="auto"/>
            </w:pPr>
            <w:r w:rsidRPr="005420C9">
              <w:t xml:space="preserve">Assist with tutorial administration and </w:t>
            </w:r>
            <w:r w:rsidR="00B06AD2">
              <w:t xml:space="preserve">marking of </w:t>
            </w:r>
            <w:r w:rsidRPr="005420C9">
              <w:t xml:space="preserve">assessment, </w:t>
            </w:r>
          </w:p>
          <w:p w:rsidR="004604A2" w:rsidRPr="005420C9" w:rsidRDefault="004604A2" w:rsidP="00511C29">
            <w:pPr>
              <w:numPr>
                <w:ilvl w:val="0"/>
                <w:numId w:val="31"/>
              </w:numPr>
              <w:spacing w:line="276" w:lineRule="auto"/>
            </w:pPr>
            <w:r w:rsidRPr="005420C9">
              <w:t>Other duties as appropriate to the level of appointment</w:t>
            </w:r>
          </w:p>
          <w:p w:rsidR="00CE3F8E" w:rsidRPr="005420C9" w:rsidRDefault="00CE3F8E" w:rsidP="004E5089">
            <w:pPr>
              <w:spacing w:before="0" w:line="276" w:lineRule="auto"/>
              <w:ind w:left="1080"/>
              <w:jc w:val="left"/>
            </w:pPr>
          </w:p>
        </w:tc>
      </w:tr>
    </w:tbl>
    <w:p w:rsidR="00F654FD" w:rsidRPr="005420C9" w:rsidRDefault="00F654FD" w:rsidP="001D29DC">
      <w:pPr>
        <w:pStyle w:val="norm10plus"/>
        <w:widowControl/>
        <w:overflowPunct w:val="0"/>
        <w:spacing w:before="0" w:after="0" w:line="276" w:lineRule="auto"/>
        <w:textAlignment w:val="baseline"/>
        <w:rPr>
          <w:lang w:val="en-US"/>
        </w:rPr>
      </w:pPr>
    </w:p>
    <w:p w:rsidR="00F654FD" w:rsidRPr="005420C9" w:rsidRDefault="00F654FD" w:rsidP="001D29DC">
      <w:pPr>
        <w:pStyle w:val="norm10plus"/>
        <w:widowControl/>
        <w:overflowPunct w:val="0"/>
        <w:spacing w:before="0" w:after="0" w:line="276" w:lineRule="auto"/>
        <w:textAlignment w:val="baseline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01D06" w:rsidRPr="005420C9" w:rsidTr="00801D06">
        <w:trPr>
          <w:trHeight w:val="2247"/>
        </w:trPr>
        <w:tc>
          <w:tcPr>
            <w:tcW w:w="10343" w:type="dxa"/>
          </w:tcPr>
          <w:p w:rsidR="00801D06" w:rsidRPr="005420C9" w:rsidRDefault="00801D06" w:rsidP="001D29DC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</w:pPr>
          </w:p>
          <w:p w:rsidR="00801D06" w:rsidRPr="005420C9" w:rsidRDefault="00801D06" w:rsidP="001D29DC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  <w:rPr>
                <w:b/>
              </w:rPr>
            </w:pPr>
            <w:r w:rsidRPr="005420C9">
              <w:rPr>
                <w:b/>
              </w:rPr>
              <w:t xml:space="preserve">SELECTION CRITERIA: </w:t>
            </w:r>
          </w:p>
          <w:p w:rsidR="004604A2" w:rsidRPr="005420C9" w:rsidRDefault="004604A2" w:rsidP="001D29DC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  <w:rPr>
                <w:b/>
              </w:rPr>
            </w:pPr>
          </w:p>
          <w:p w:rsidR="004604A2" w:rsidRPr="005420C9" w:rsidRDefault="004604A2" w:rsidP="005B577E">
            <w:pPr>
              <w:pStyle w:val="norm10plus"/>
              <w:widowControl/>
              <w:overflowPunct w:val="0"/>
              <w:spacing w:before="0" w:line="276" w:lineRule="auto"/>
              <w:textAlignment w:val="baseline"/>
              <w:rPr>
                <w:b/>
              </w:rPr>
            </w:pPr>
            <w:r w:rsidRPr="005420C9">
              <w:rPr>
                <w:b/>
                <w:bCs/>
              </w:rPr>
              <w:t>Criteria for Casual Sessional Lecturer:</w:t>
            </w:r>
          </w:p>
          <w:p w:rsidR="009708FF" w:rsidRPr="005420C9" w:rsidRDefault="00F654FD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 xml:space="preserve">At least four years of tertiary study in a relevant discipline and/or equivalent professional qualifications and/or industry experience. </w:t>
            </w:r>
          </w:p>
          <w:p w:rsidR="00F654FD" w:rsidRPr="005420C9" w:rsidRDefault="00F654FD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 xml:space="preserve">Demonstrated </w:t>
            </w:r>
            <w:r w:rsidR="001725C1">
              <w:t xml:space="preserve">teaching, research or </w:t>
            </w:r>
            <w:r w:rsidRPr="005420C9">
              <w:t>professional experience in one or more of the following disciplines: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Business Information Systems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Entrepreneurship and Innovation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Human Resource Management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International Business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Leadership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Management</w:t>
            </w:r>
          </w:p>
          <w:p w:rsidR="00F654FD" w:rsidRPr="005420C9" w:rsidRDefault="00F654FD" w:rsidP="00F654FD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M</w:t>
            </w:r>
            <w:r w:rsidRPr="005420C9">
              <w:rPr>
                <w:color w:val="111111"/>
                <w:spacing w:val="2"/>
                <w:shd w:val="clear" w:color="auto" w:fill="FFFFFF"/>
              </w:rPr>
              <w:t xml:space="preserve">arketing </w:t>
            </w:r>
          </w:p>
          <w:p w:rsidR="00F654FD" w:rsidRPr="00511C29" w:rsidRDefault="00F654FD" w:rsidP="005B577E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120" w:line="276" w:lineRule="auto"/>
              <w:ind w:left="714" w:hanging="357"/>
              <w:textAlignment w:val="baseline"/>
            </w:pPr>
            <w:r w:rsidRPr="005420C9">
              <w:rPr>
                <w:color w:val="111111"/>
                <w:spacing w:val="2"/>
                <w:shd w:val="clear" w:color="auto" w:fill="FFFFFF"/>
              </w:rPr>
              <w:t>Project Management</w:t>
            </w:r>
          </w:p>
          <w:p w:rsidR="001725C1" w:rsidRPr="001725C1" w:rsidRDefault="001725C1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1725C1">
              <w:t>Evidence of high quality teaching including preparation and delivery of lectures, tutorials and assessment, as demonstrated by good oral and written English communication skills and teaching evaluations.</w:t>
            </w:r>
          </w:p>
          <w:p w:rsidR="009708FF" w:rsidRPr="005420C9" w:rsidRDefault="00801D06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 xml:space="preserve">Ability to </w:t>
            </w:r>
            <w:r w:rsidR="00D04E7E">
              <w:t xml:space="preserve">manage all aspects of course delivery and administration, following University and School governance frameworks including the ability to </w:t>
            </w:r>
            <w:r w:rsidRPr="005420C9">
              <w:t xml:space="preserve">assist </w:t>
            </w:r>
            <w:r w:rsidR="00C17519" w:rsidRPr="005420C9">
              <w:t xml:space="preserve">course tutors in </w:t>
            </w:r>
            <w:r w:rsidR="00D04E7E">
              <w:t>their role</w:t>
            </w:r>
            <w:r w:rsidR="00C17519" w:rsidRPr="005420C9">
              <w:t>.</w:t>
            </w:r>
            <w:r w:rsidRPr="005420C9">
              <w:t xml:space="preserve"> </w:t>
            </w:r>
          </w:p>
          <w:p w:rsidR="009708FF" w:rsidRPr="005420C9" w:rsidRDefault="00F654FD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>D</w:t>
            </w:r>
            <w:r w:rsidR="00801D06" w:rsidRPr="005420C9">
              <w:t xml:space="preserve">emonstrated ability to establish and maintain effective relationships with </w:t>
            </w:r>
            <w:r w:rsidRPr="005420C9">
              <w:t xml:space="preserve">students and </w:t>
            </w:r>
            <w:r w:rsidR="00801D06" w:rsidRPr="005420C9">
              <w:t xml:space="preserve">colleagues in an academic environment as well as key stakeholders. </w:t>
            </w:r>
          </w:p>
          <w:p w:rsidR="009708FF" w:rsidRPr="005420C9" w:rsidRDefault="00801D06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 xml:space="preserve">Proven ability to work both independently and collaboratively as a member of a small team, establishing priorities and meeting deadlines. </w:t>
            </w:r>
          </w:p>
          <w:p w:rsidR="00801D06" w:rsidRPr="005420C9" w:rsidRDefault="00801D06" w:rsidP="005B577E">
            <w:pPr>
              <w:pStyle w:val="norm10plus"/>
              <w:numPr>
                <w:ilvl w:val="0"/>
                <w:numId w:val="46"/>
              </w:numPr>
              <w:spacing w:before="0" w:after="120" w:line="276" w:lineRule="auto"/>
              <w:ind w:left="357" w:hanging="357"/>
            </w:pPr>
            <w:r w:rsidRPr="005420C9">
              <w:t xml:space="preserve">A demonstrated understanding of </w:t>
            </w:r>
            <w:r w:rsidR="00F654FD" w:rsidRPr="005420C9">
              <w:t xml:space="preserve">WHS, </w:t>
            </w:r>
            <w:r w:rsidRPr="005420C9">
              <w:t>equal opportunity principles and policies and a commitment to their application in a university context.</w:t>
            </w:r>
          </w:p>
          <w:p w:rsidR="004604A2" w:rsidRPr="005420C9" w:rsidRDefault="004604A2" w:rsidP="001D29DC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</w:pPr>
          </w:p>
          <w:p w:rsidR="004604A2" w:rsidRPr="005420C9" w:rsidRDefault="004604A2" w:rsidP="001D29DC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  <w:rPr>
                <w:b/>
                <w:bCs/>
              </w:rPr>
            </w:pPr>
            <w:r w:rsidRPr="005420C9">
              <w:rPr>
                <w:b/>
                <w:bCs/>
              </w:rPr>
              <w:t>Criteria for Casual Sessional Tutor:</w:t>
            </w:r>
          </w:p>
          <w:p w:rsidR="004604A2" w:rsidRPr="005420C9" w:rsidRDefault="004604A2" w:rsidP="004604A2">
            <w:pPr>
              <w:pStyle w:val="norm10plus"/>
              <w:widowControl/>
              <w:overflowPunct w:val="0"/>
              <w:spacing w:before="0" w:after="0" w:line="276" w:lineRule="auto"/>
              <w:textAlignment w:val="baseline"/>
            </w:pPr>
          </w:p>
          <w:p w:rsidR="004604A2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</w:pPr>
            <w:r w:rsidRPr="005420C9">
              <w:t xml:space="preserve">At least four years of tertiary study in a relevant discipline and/or equivalent professional qualifications and/or industry experience. </w:t>
            </w:r>
          </w:p>
          <w:p w:rsidR="004604A2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  <w:ind w:left="357" w:hanging="357"/>
            </w:pPr>
            <w:r w:rsidRPr="005420C9">
              <w:t xml:space="preserve">Demonstrated </w:t>
            </w:r>
            <w:r w:rsidR="00B06AD2">
              <w:t xml:space="preserve">teaching, research or </w:t>
            </w:r>
            <w:r w:rsidRPr="005420C9">
              <w:t>professional experience in one or more of the following disciplines: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Business Information Systems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Entrepreneurship and Innovation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Human Resource Management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International Business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Leadership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Management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t>M</w:t>
            </w:r>
            <w:r w:rsidRPr="005420C9">
              <w:rPr>
                <w:color w:val="111111"/>
                <w:spacing w:val="2"/>
                <w:shd w:val="clear" w:color="auto" w:fill="FFFFFF"/>
              </w:rPr>
              <w:t xml:space="preserve">arketing </w:t>
            </w:r>
          </w:p>
          <w:p w:rsidR="004604A2" w:rsidRPr="005420C9" w:rsidRDefault="004604A2" w:rsidP="004604A2">
            <w:pPr>
              <w:pStyle w:val="norm10plus"/>
              <w:widowControl/>
              <w:numPr>
                <w:ilvl w:val="0"/>
                <w:numId w:val="44"/>
              </w:numPr>
              <w:overflowPunct w:val="0"/>
              <w:spacing w:before="0" w:after="0" w:line="276" w:lineRule="auto"/>
              <w:textAlignment w:val="baseline"/>
            </w:pPr>
            <w:r w:rsidRPr="005420C9">
              <w:rPr>
                <w:color w:val="111111"/>
                <w:spacing w:val="2"/>
                <w:shd w:val="clear" w:color="auto" w:fill="FFFFFF"/>
              </w:rPr>
              <w:t>Project Management</w:t>
            </w:r>
          </w:p>
          <w:p w:rsidR="004604A2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  <w:ind w:left="357" w:hanging="357"/>
            </w:pPr>
            <w:r w:rsidRPr="005420C9">
              <w:t xml:space="preserve">Demonstrated experience in administration and delivery of tutorials.  </w:t>
            </w:r>
          </w:p>
          <w:p w:rsidR="004604A2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  <w:ind w:left="357" w:hanging="357"/>
            </w:pPr>
            <w:r w:rsidRPr="005420C9">
              <w:t xml:space="preserve">Demonstrated ability to establish and maintain effective relationships with students and colleagues in an academic environment as well as key stakeholders. </w:t>
            </w:r>
          </w:p>
          <w:p w:rsidR="004604A2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  <w:ind w:left="357" w:hanging="357"/>
            </w:pPr>
            <w:r w:rsidRPr="005420C9">
              <w:t xml:space="preserve">Proven ability to work both independently and collaboratively as a member of a small team, establishing priorities and meeting deadlines. </w:t>
            </w:r>
          </w:p>
          <w:p w:rsidR="00801D06" w:rsidRPr="005420C9" w:rsidRDefault="004604A2" w:rsidP="005B577E">
            <w:pPr>
              <w:pStyle w:val="norm10plus"/>
              <w:numPr>
                <w:ilvl w:val="0"/>
                <w:numId w:val="48"/>
              </w:numPr>
              <w:spacing w:before="0" w:after="120" w:line="276" w:lineRule="auto"/>
              <w:ind w:left="357" w:hanging="357"/>
              <w:rPr>
                <w:lang w:val="en-US"/>
              </w:rPr>
            </w:pPr>
            <w:r w:rsidRPr="005420C9">
              <w:t>A demonstrated understanding of WHS, equal opportunity principles and policies and a commitment to their application in a university context.</w:t>
            </w:r>
          </w:p>
        </w:tc>
      </w:tr>
    </w:tbl>
    <w:p w:rsidR="000236AA" w:rsidRPr="005420C9" w:rsidRDefault="000236AA" w:rsidP="00982402">
      <w:pPr>
        <w:pStyle w:val="Heading1"/>
        <w:spacing w:before="0" w:line="276" w:lineRule="auto"/>
      </w:pPr>
    </w:p>
    <w:sectPr w:rsidR="000236AA" w:rsidRPr="005420C9" w:rsidSect="007141C1">
      <w:headerReference w:type="default" r:id="rId9"/>
      <w:headerReference w:type="first" r:id="rId10"/>
      <w:type w:val="continuous"/>
      <w:pgSz w:w="11907" w:h="16840" w:code="9"/>
      <w:pgMar w:top="709" w:right="397" w:bottom="40" w:left="794" w:header="0" w:footer="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38" w:rsidRDefault="002E1038">
      <w:r>
        <w:separator/>
      </w:r>
    </w:p>
  </w:endnote>
  <w:endnote w:type="continuationSeparator" w:id="0">
    <w:p w:rsidR="002E1038" w:rsidRDefault="002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38" w:rsidRDefault="002E1038">
      <w:r>
        <w:separator/>
      </w:r>
    </w:p>
  </w:footnote>
  <w:footnote w:type="continuationSeparator" w:id="0">
    <w:p w:rsidR="002E1038" w:rsidRDefault="002E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38" w:rsidRDefault="002E10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38" w:rsidRDefault="002E1038">
    <w:pPr>
      <w:pStyle w:val="BalloonText"/>
      <w:tabs>
        <w:tab w:val="center" w:pos="5159"/>
        <w:tab w:val="right" w:pos="10319"/>
      </w:tabs>
      <w:rPr>
        <w:rFonts w:ascii="Arial" w:hAnsi="Arial" w:cs="Arial"/>
      </w:rPr>
    </w:pPr>
    <w:r>
      <w:rPr>
        <w:rFonts w:ascii="Arial" w:hAnsi="Arial" w:cs="Arial"/>
      </w:rPr>
      <w:tab/>
      <w:t xml:space="preserve"> HR27</w:t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B577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5B577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2E1038" w:rsidRDefault="002E1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EC8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E6E9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0CE0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2AFE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56C1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9A44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49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00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4E6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807F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02FC1D2E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AE94923"/>
    <w:multiLevelType w:val="hybridMultilevel"/>
    <w:tmpl w:val="1898C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A2802"/>
    <w:multiLevelType w:val="hybridMultilevel"/>
    <w:tmpl w:val="19D0A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13B33"/>
    <w:multiLevelType w:val="hybridMultilevel"/>
    <w:tmpl w:val="85BC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E92CC2"/>
    <w:multiLevelType w:val="hybridMultilevel"/>
    <w:tmpl w:val="AD948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F88"/>
    <w:multiLevelType w:val="hybridMultilevel"/>
    <w:tmpl w:val="C9A42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69BA"/>
    <w:multiLevelType w:val="hybridMultilevel"/>
    <w:tmpl w:val="85BC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062FE3"/>
    <w:multiLevelType w:val="hybridMultilevel"/>
    <w:tmpl w:val="86B4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533F0"/>
    <w:multiLevelType w:val="hybridMultilevel"/>
    <w:tmpl w:val="85BC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169DD"/>
    <w:multiLevelType w:val="hybridMultilevel"/>
    <w:tmpl w:val="85BC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992B00"/>
    <w:multiLevelType w:val="hybridMultilevel"/>
    <w:tmpl w:val="C6EA845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5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3"/>
  </w:num>
  <w:num w:numId="36">
    <w:abstractNumId w:val="23"/>
  </w:num>
  <w:num w:numId="37">
    <w:abstractNumId w:val="22"/>
  </w:num>
  <w:num w:numId="38">
    <w:abstractNumId w:val="14"/>
  </w:num>
  <w:num w:numId="39">
    <w:abstractNumId w:val="12"/>
  </w:num>
  <w:num w:numId="40">
    <w:abstractNumId w:val="17"/>
  </w:num>
  <w:num w:numId="41">
    <w:abstractNumId w:val="25"/>
  </w:num>
  <w:num w:numId="42">
    <w:abstractNumId w:val="18"/>
  </w:num>
  <w:num w:numId="43">
    <w:abstractNumId w:val="11"/>
  </w:num>
  <w:num w:numId="44">
    <w:abstractNumId w:val="20"/>
  </w:num>
  <w:num w:numId="45">
    <w:abstractNumId w:val="13"/>
  </w:num>
  <w:num w:numId="46">
    <w:abstractNumId w:val="24"/>
  </w:num>
  <w:num w:numId="47">
    <w:abstractNumId w:val="19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1B"/>
    <w:rsid w:val="000236AA"/>
    <w:rsid w:val="00052B33"/>
    <w:rsid w:val="00080947"/>
    <w:rsid w:val="00093D39"/>
    <w:rsid w:val="0009650C"/>
    <w:rsid w:val="00097667"/>
    <w:rsid w:val="000B1C02"/>
    <w:rsid w:val="000B2507"/>
    <w:rsid w:val="000C0C58"/>
    <w:rsid w:val="000E1443"/>
    <w:rsid w:val="000E7A87"/>
    <w:rsid w:val="000F0CE4"/>
    <w:rsid w:val="000F31DA"/>
    <w:rsid w:val="00106845"/>
    <w:rsid w:val="0012062D"/>
    <w:rsid w:val="00125646"/>
    <w:rsid w:val="00132802"/>
    <w:rsid w:val="00134F23"/>
    <w:rsid w:val="00152D94"/>
    <w:rsid w:val="001600F1"/>
    <w:rsid w:val="001708FA"/>
    <w:rsid w:val="001725C1"/>
    <w:rsid w:val="001738FE"/>
    <w:rsid w:val="00192442"/>
    <w:rsid w:val="00196677"/>
    <w:rsid w:val="001A1C1A"/>
    <w:rsid w:val="001C382D"/>
    <w:rsid w:val="001D29DC"/>
    <w:rsid w:val="001D2BDE"/>
    <w:rsid w:val="001D4872"/>
    <w:rsid w:val="001F01C6"/>
    <w:rsid w:val="001F72BA"/>
    <w:rsid w:val="001F7D34"/>
    <w:rsid w:val="0020014D"/>
    <w:rsid w:val="00204884"/>
    <w:rsid w:val="00216377"/>
    <w:rsid w:val="002221BD"/>
    <w:rsid w:val="002231AA"/>
    <w:rsid w:val="00246D07"/>
    <w:rsid w:val="002537AF"/>
    <w:rsid w:val="00253AB9"/>
    <w:rsid w:val="00254A34"/>
    <w:rsid w:val="00255A85"/>
    <w:rsid w:val="0026676D"/>
    <w:rsid w:val="00273100"/>
    <w:rsid w:val="002750E4"/>
    <w:rsid w:val="002751F1"/>
    <w:rsid w:val="00281D0B"/>
    <w:rsid w:val="002846FD"/>
    <w:rsid w:val="00290FFE"/>
    <w:rsid w:val="002A0CD1"/>
    <w:rsid w:val="002A2501"/>
    <w:rsid w:val="002A638B"/>
    <w:rsid w:val="002B1FE3"/>
    <w:rsid w:val="002C188C"/>
    <w:rsid w:val="002C631B"/>
    <w:rsid w:val="002D7CCF"/>
    <w:rsid w:val="002E1038"/>
    <w:rsid w:val="002F0061"/>
    <w:rsid w:val="00300F0E"/>
    <w:rsid w:val="00302313"/>
    <w:rsid w:val="003038B2"/>
    <w:rsid w:val="003053E7"/>
    <w:rsid w:val="0031460E"/>
    <w:rsid w:val="00316E38"/>
    <w:rsid w:val="00327A7B"/>
    <w:rsid w:val="00352D87"/>
    <w:rsid w:val="003642CB"/>
    <w:rsid w:val="003722CB"/>
    <w:rsid w:val="0037619A"/>
    <w:rsid w:val="00382AEA"/>
    <w:rsid w:val="00385811"/>
    <w:rsid w:val="003858DC"/>
    <w:rsid w:val="0038628B"/>
    <w:rsid w:val="00394BDE"/>
    <w:rsid w:val="003A1461"/>
    <w:rsid w:val="003B2637"/>
    <w:rsid w:val="003D27D7"/>
    <w:rsid w:val="003D6E2B"/>
    <w:rsid w:val="003E2C77"/>
    <w:rsid w:val="003E449D"/>
    <w:rsid w:val="003F2DAF"/>
    <w:rsid w:val="004107A1"/>
    <w:rsid w:val="00414E59"/>
    <w:rsid w:val="004159A9"/>
    <w:rsid w:val="00432133"/>
    <w:rsid w:val="00444DD1"/>
    <w:rsid w:val="004547E2"/>
    <w:rsid w:val="004604A2"/>
    <w:rsid w:val="004735CD"/>
    <w:rsid w:val="004A0C14"/>
    <w:rsid w:val="004A167A"/>
    <w:rsid w:val="004B2E39"/>
    <w:rsid w:val="004B5221"/>
    <w:rsid w:val="004E5089"/>
    <w:rsid w:val="004F41B1"/>
    <w:rsid w:val="004F5568"/>
    <w:rsid w:val="0050339C"/>
    <w:rsid w:val="00511C29"/>
    <w:rsid w:val="00512C19"/>
    <w:rsid w:val="00514561"/>
    <w:rsid w:val="00514764"/>
    <w:rsid w:val="0051513B"/>
    <w:rsid w:val="00516202"/>
    <w:rsid w:val="0051634E"/>
    <w:rsid w:val="0051714C"/>
    <w:rsid w:val="00521E74"/>
    <w:rsid w:val="005420C9"/>
    <w:rsid w:val="00547CA0"/>
    <w:rsid w:val="00552A70"/>
    <w:rsid w:val="00565247"/>
    <w:rsid w:val="0056528B"/>
    <w:rsid w:val="005712A7"/>
    <w:rsid w:val="0057738B"/>
    <w:rsid w:val="005B577E"/>
    <w:rsid w:val="005B7DC5"/>
    <w:rsid w:val="005D3040"/>
    <w:rsid w:val="005D4A82"/>
    <w:rsid w:val="005F463F"/>
    <w:rsid w:val="0060355D"/>
    <w:rsid w:val="00615BB1"/>
    <w:rsid w:val="006213C8"/>
    <w:rsid w:val="00622849"/>
    <w:rsid w:val="006472C6"/>
    <w:rsid w:val="00653606"/>
    <w:rsid w:val="00662D65"/>
    <w:rsid w:val="00664ADE"/>
    <w:rsid w:val="00667CCE"/>
    <w:rsid w:val="0069344C"/>
    <w:rsid w:val="006B6F9A"/>
    <w:rsid w:val="006B7681"/>
    <w:rsid w:val="006C1533"/>
    <w:rsid w:val="006E792F"/>
    <w:rsid w:val="006F63D0"/>
    <w:rsid w:val="00701497"/>
    <w:rsid w:val="00707206"/>
    <w:rsid w:val="007141C1"/>
    <w:rsid w:val="007147D9"/>
    <w:rsid w:val="00714878"/>
    <w:rsid w:val="00721144"/>
    <w:rsid w:val="007220DE"/>
    <w:rsid w:val="00735496"/>
    <w:rsid w:val="0074312F"/>
    <w:rsid w:val="007538BD"/>
    <w:rsid w:val="0075426A"/>
    <w:rsid w:val="007551DE"/>
    <w:rsid w:val="00767D5A"/>
    <w:rsid w:val="00777B49"/>
    <w:rsid w:val="00781CD1"/>
    <w:rsid w:val="007943B7"/>
    <w:rsid w:val="007A09AE"/>
    <w:rsid w:val="007A4E47"/>
    <w:rsid w:val="007B64D9"/>
    <w:rsid w:val="007C777D"/>
    <w:rsid w:val="007D404E"/>
    <w:rsid w:val="007E1A69"/>
    <w:rsid w:val="007F6D38"/>
    <w:rsid w:val="00801D06"/>
    <w:rsid w:val="00813F3A"/>
    <w:rsid w:val="00814778"/>
    <w:rsid w:val="00820D76"/>
    <w:rsid w:val="00841052"/>
    <w:rsid w:val="00841802"/>
    <w:rsid w:val="00842A4C"/>
    <w:rsid w:val="0086076A"/>
    <w:rsid w:val="00866F85"/>
    <w:rsid w:val="0088437C"/>
    <w:rsid w:val="00892CF4"/>
    <w:rsid w:val="008A3D1F"/>
    <w:rsid w:val="008A6895"/>
    <w:rsid w:val="008B05A9"/>
    <w:rsid w:val="008B63DC"/>
    <w:rsid w:val="008E1B4C"/>
    <w:rsid w:val="008E36AD"/>
    <w:rsid w:val="008E60B8"/>
    <w:rsid w:val="008F040C"/>
    <w:rsid w:val="009176FB"/>
    <w:rsid w:val="00925578"/>
    <w:rsid w:val="009272C9"/>
    <w:rsid w:val="00927A87"/>
    <w:rsid w:val="00937A58"/>
    <w:rsid w:val="00937F79"/>
    <w:rsid w:val="0094140A"/>
    <w:rsid w:val="00943708"/>
    <w:rsid w:val="00961C77"/>
    <w:rsid w:val="009646E7"/>
    <w:rsid w:val="009708FF"/>
    <w:rsid w:val="00977EE2"/>
    <w:rsid w:val="00982402"/>
    <w:rsid w:val="00982E0A"/>
    <w:rsid w:val="00987E6D"/>
    <w:rsid w:val="009A7616"/>
    <w:rsid w:val="009B0512"/>
    <w:rsid w:val="009C3BD7"/>
    <w:rsid w:val="009C5CA3"/>
    <w:rsid w:val="009D7314"/>
    <w:rsid w:val="00A06E52"/>
    <w:rsid w:val="00A12AF5"/>
    <w:rsid w:val="00A2327A"/>
    <w:rsid w:val="00A329A9"/>
    <w:rsid w:val="00A33B42"/>
    <w:rsid w:val="00A44FD7"/>
    <w:rsid w:val="00A5637F"/>
    <w:rsid w:val="00A5794A"/>
    <w:rsid w:val="00A62A1C"/>
    <w:rsid w:val="00A64C1B"/>
    <w:rsid w:val="00A64CC2"/>
    <w:rsid w:val="00A64F35"/>
    <w:rsid w:val="00A746DA"/>
    <w:rsid w:val="00A954EF"/>
    <w:rsid w:val="00A95C3A"/>
    <w:rsid w:val="00A971BD"/>
    <w:rsid w:val="00AA2E90"/>
    <w:rsid w:val="00AB2F40"/>
    <w:rsid w:val="00AD1C80"/>
    <w:rsid w:val="00AD53A1"/>
    <w:rsid w:val="00AD5C69"/>
    <w:rsid w:val="00AE719D"/>
    <w:rsid w:val="00B00DB1"/>
    <w:rsid w:val="00B014E4"/>
    <w:rsid w:val="00B06AD2"/>
    <w:rsid w:val="00B21375"/>
    <w:rsid w:val="00B43378"/>
    <w:rsid w:val="00B53300"/>
    <w:rsid w:val="00B54373"/>
    <w:rsid w:val="00B55984"/>
    <w:rsid w:val="00B62041"/>
    <w:rsid w:val="00B66AE2"/>
    <w:rsid w:val="00B858E8"/>
    <w:rsid w:val="00B9031A"/>
    <w:rsid w:val="00B93E40"/>
    <w:rsid w:val="00BC7F90"/>
    <w:rsid w:val="00BD1188"/>
    <w:rsid w:val="00BD660D"/>
    <w:rsid w:val="00BE390D"/>
    <w:rsid w:val="00BE50A1"/>
    <w:rsid w:val="00C02AE5"/>
    <w:rsid w:val="00C1200A"/>
    <w:rsid w:val="00C13B9C"/>
    <w:rsid w:val="00C17519"/>
    <w:rsid w:val="00C2200E"/>
    <w:rsid w:val="00C30A77"/>
    <w:rsid w:val="00C3370C"/>
    <w:rsid w:val="00C37AE8"/>
    <w:rsid w:val="00C51F25"/>
    <w:rsid w:val="00C602BD"/>
    <w:rsid w:val="00C857C2"/>
    <w:rsid w:val="00C85954"/>
    <w:rsid w:val="00C96601"/>
    <w:rsid w:val="00CA1E4F"/>
    <w:rsid w:val="00CC2F15"/>
    <w:rsid w:val="00CC4696"/>
    <w:rsid w:val="00CD2C3E"/>
    <w:rsid w:val="00CD3839"/>
    <w:rsid w:val="00CD757A"/>
    <w:rsid w:val="00CE1CCA"/>
    <w:rsid w:val="00CE2C8F"/>
    <w:rsid w:val="00CE3F8E"/>
    <w:rsid w:val="00CE495B"/>
    <w:rsid w:val="00CF6783"/>
    <w:rsid w:val="00D04E7E"/>
    <w:rsid w:val="00D07542"/>
    <w:rsid w:val="00D11943"/>
    <w:rsid w:val="00D129D2"/>
    <w:rsid w:val="00D14B9C"/>
    <w:rsid w:val="00D21A5E"/>
    <w:rsid w:val="00D23A23"/>
    <w:rsid w:val="00D32380"/>
    <w:rsid w:val="00D45E9C"/>
    <w:rsid w:val="00D51422"/>
    <w:rsid w:val="00D5244D"/>
    <w:rsid w:val="00D712A3"/>
    <w:rsid w:val="00D749CB"/>
    <w:rsid w:val="00D93170"/>
    <w:rsid w:val="00D9514C"/>
    <w:rsid w:val="00D97C06"/>
    <w:rsid w:val="00DA06B0"/>
    <w:rsid w:val="00DA2014"/>
    <w:rsid w:val="00DA3F41"/>
    <w:rsid w:val="00DC078A"/>
    <w:rsid w:val="00DD434B"/>
    <w:rsid w:val="00DD7835"/>
    <w:rsid w:val="00DE5773"/>
    <w:rsid w:val="00DE681B"/>
    <w:rsid w:val="00E00558"/>
    <w:rsid w:val="00E0268B"/>
    <w:rsid w:val="00E02DD6"/>
    <w:rsid w:val="00E1556C"/>
    <w:rsid w:val="00E20F48"/>
    <w:rsid w:val="00E327C1"/>
    <w:rsid w:val="00E3460B"/>
    <w:rsid w:val="00E406D1"/>
    <w:rsid w:val="00E43642"/>
    <w:rsid w:val="00E46200"/>
    <w:rsid w:val="00E5018A"/>
    <w:rsid w:val="00E5418D"/>
    <w:rsid w:val="00E73770"/>
    <w:rsid w:val="00EA7CD0"/>
    <w:rsid w:val="00EB3716"/>
    <w:rsid w:val="00EB3C65"/>
    <w:rsid w:val="00ED713C"/>
    <w:rsid w:val="00EE4E59"/>
    <w:rsid w:val="00EF1DC2"/>
    <w:rsid w:val="00EF1F47"/>
    <w:rsid w:val="00F0553A"/>
    <w:rsid w:val="00F071AA"/>
    <w:rsid w:val="00F36670"/>
    <w:rsid w:val="00F53339"/>
    <w:rsid w:val="00F56407"/>
    <w:rsid w:val="00F575CA"/>
    <w:rsid w:val="00F654FD"/>
    <w:rsid w:val="00F92D60"/>
    <w:rsid w:val="00F937DA"/>
    <w:rsid w:val="00FA4CE0"/>
    <w:rsid w:val="00FA7AB0"/>
    <w:rsid w:val="00FB063D"/>
    <w:rsid w:val="00FB220D"/>
    <w:rsid w:val="00FC05AA"/>
    <w:rsid w:val="00FD23A2"/>
    <w:rsid w:val="00FD2454"/>
    <w:rsid w:val="00FD35E5"/>
    <w:rsid w:val="00FF5518"/>
    <w:rsid w:val="00FF5EB4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222FE2-673A-4AB8-A09B-4C81A3B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jc w:val="left"/>
      <w:outlineLvl w:val="6"/>
    </w:pPr>
    <w:rPr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jc w:val="left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jc w:val="left"/>
      <w:outlineLvl w:val="8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ahoma" w:hAnsi="Tahoma" w:cs="Tahoma"/>
      <w:b/>
      <w:bCs/>
      <w:sz w:val="20"/>
      <w:szCs w:val="20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ullet1">
    <w:name w:val="bullet1"/>
    <w:basedOn w:val="NormalIndent"/>
    <w:uiPriority w:val="99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Times New Roman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locked/>
    <w:rPr>
      <w:rFonts w:ascii="Arial" w:hAnsi="Arial" w:cs="Arial"/>
      <w:sz w:val="20"/>
      <w:szCs w:val="20"/>
      <w:lang w:val="x-none" w:eastAsia="en-US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0"/>
      <w:szCs w:val="20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before="0"/>
      <w:jc w:val="left"/>
    </w:pPr>
    <w:rPr>
      <w:i/>
      <w:i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ListBullet">
    <w:name w:val="List Bullet"/>
    <w:basedOn w:val="Normal"/>
    <w:autoRedefine/>
    <w:uiPriority w:val="99"/>
    <w:pPr>
      <w:widowControl w:val="0"/>
      <w:numPr>
        <w:numId w:val="1"/>
      </w:numPr>
      <w:overflowPunct/>
      <w:spacing w:before="0"/>
      <w:jc w:val="left"/>
      <w:textAlignment w:val="auto"/>
    </w:pPr>
    <w:rPr>
      <w:lang w:val="en-US"/>
    </w:rPr>
  </w:style>
  <w:style w:type="paragraph" w:styleId="ListBullet2">
    <w:name w:val="List Bullet 2"/>
    <w:basedOn w:val="Normal"/>
    <w:autoRedefine/>
    <w:uiPriority w:val="99"/>
    <w:pPr>
      <w:widowControl w:val="0"/>
      <w:numPr>
        <w:numId w:val="2"/>
      </w:numPr>
      <w:overflowPunct/>
      <w:spacing w:before="0"/>
      <w:jc w:val="left"/>
      <w:textAlignment w:val="auto"/>
    </w:pPr>
    <w:rPr>
      <w:lang w:val="en-US"/>
    </w:rPr>
  </w:style>
  <w:style w:type="paragraph" w:styleId="ListBullet3">
    <w:name w:val="List Bullet 3"/>
    <w:basedOn w:val="Normal"/>
    <w:autoRedefine/>
    <w:uiPriority w:val="99"/>
    <w:pPr>
      <w:widowControl w:val="0"/>
      <w:numPr>
        <w:numId w:val="3"/>
      </w:numPr>
      <w:overflowPunct/>
      <w:spacing w:before="0"/>
      <w:jc w:val="left"/>
      <w:textAlignment w:val="auto"/>
    </w:pPr>
    <w:rPr>
      <w:lang w:val="en-US"/>
    </w:rPr>
  </w:style>
  <w:style w:type="paragraph" w:styleId="ListBullet4">
    <w:name w:val="List Bullet 4"/>
    <w:basedOn w:val="Normal"/>
    <w:autoRedefine/>
    <w:uiPriority w:val="99"/>
    <w:pPr>
      <w:widowControl w:val="0"/>
      <w:numPr>
        <w:numId w:val="4"/>
      </w:numPr>
      <w:overflowPunct/>
      <w:spacing w:before="0"/>
      <w:jc w:val="left"/>
      <w:textAlignment w:val="auto"/>
    </w:pPr>
    <w:rPr>
      <w:lang w:val="en-US"/>
    </w:rPr>
  </w:style>
  <w:style w:type="paragraph" w:styleId="ListBullet5">
    <w:name w:val="List Bullet 5"/>
    <w:basedOn w:val="Normal"/>
    <w:autoRedefine/>
    <w:uiPriority w:val="99"/>
    <w:pPr>
      <w:widowControl w:val="0"/>
      <w:numPr>
        <w:numId w:val="5"/>
      </w:numPr>
      <w:overflowPunct/>
      <w:spacing w:before="0"/>
      <w:jc w:val="left"/>
      <w:textAlignment w:val="auto"/>
    </w:pPr>
    <w:rPr>
      <w:lang w:val="en-US"/>
    </w:rPr>
  </w:style>
  <w:style w:type="paragraph" w:styleId="ListNumber">
    <w:name w:val="List Number"/>
    <w:basedOn w:val="Normal"/>
    <w:uiPriority w:val="99"/>
    <w:pPr>
      <w:widowControl w:val="0"/>
      <w:numPr>
        <w:numId w:val="6"/>
      </w:numPr>
      <w:overflowPunct/>
      <w:spacing w:before="0"/>
      <w:jc w:val="left"/>
      <w:textAlignment w:val="auto"/>
    </w:pPr>
    <w:rPr>
      <w:lang w:val="en-US"/>
    </w:rPr>
  </w:style>
  <w:style w:type="paragraph" w:styleId="ListNumber2">
    <w:name w:val="List Number 2"/>
    <w:basedOn w:val="Normal"/>
    <w:uiPriority w:val="99"/>
    <w:pPr>
      <w:widowControl w:val="0"/>
      <w:numPr>
        <w:numId w:val="7"/>
      </w:numPr>
      <w:overflowPunct/>
      <w:spacing w:before="0"/>
      <w:jc w:val="left"/>
      <w:textAlignment w:val="auto"/>
    </w:pPr>
    <w:rPr>
      <w:lang w:val="en-US"/>
    </w:rPr>
  </w:style>
  <w:style w:type="paragraph" w:styleId="ListNumber3">
    <w:name w:val="List Number 3"/>
    <w:basedOn w:val="Normal"/>
    <w:uiPriority w:val="99"/>
    <w:pPr>
      <w:widowControl w:val="0"/>
      <w:numPr>
        <w:numId w:val="8"/>
      </w:numPr>
      <w:overflowPunct/>
      <w:spacing w:before="0"/>
      <w:jc w:val="left"/>
      <w:textAlignment w:val="auto"/>
    </w:pPr>
    <w:rPr>
      <w:lang w:val="en-US"/>
    </w:rPr>
  </w:style>
  <w:style w:type="paragraph" w:styleId="ListNumber4">
    <w:name w:val="List Number 4"/>
    <w:basedOn w:val="Normal"/>
    <w:uiPriority w:val="99"/>
    <w:pPr>
      <w:widowControl w:val="0"/>
      <w:numPr>
        <w:numId w:val="9"/>
      </w:numPr>
      <w:overflowPunct/>
      <w:spacing w:before="0"/>
      <w:jc w:val="left"/>
      <w:textAlignment w:val="auto"/>
    </w:pPr>
    <w:rPr>
      <w:lang w:val="en-US"/>
    </w:rPr>
  </w:style>
  <w:style w:type="paragraph" w:styleId="ListNumber5">
    <w:name w:val="List Number 5"/>
    <w:basedOn w:val="Normal"/>
    <w:uiPriority w:val="99"/>
    <w:pPr>
      <w:widowControl w:val="0"/>
      <w:numPr>
        <w:numId w:val="10"/>
      </w:numPr>
      <w:overflowPunct/>
      <w:spacing w:before="0"/>
      <w:jc w:val="left"/>
      <w:textAlignment w:val="auto"/>
    </w:pPr>
    <w:rPr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36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spacing w:after="60"/>
    </w:pPr>
    <w:rPr>
      <w:rFonts w:ascii="Tahoma" w:hAnsi="Tahoma" w:cs="Tahoma"/>
      <w:b/>
      <w:bCs/>
      <w:sz w:val="32"/>
      <w:szCs w:val="32"/>
    </w:rPr>
  </w:style>
  <w:style w:type="character" w:styleId="Strong">
    <w:name w:val="Strong"/>
    <w:uiPriority w:val="22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rFonts w:ascii="Tahoma" w:hAnsi="Tahoma" w:cs="Tahoma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34F23"/>
    <w:pPr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667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9B39-E7FF-4E57-9BBD-FF0E7124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4445</CharactersWithSpaces>
  <SharedDoc>false</SharedDoc>
  <HLinks>
    <vt:vector size="90" baseType="variant">
      <vt:variant>
        <vt:i4>4784215</vt:i4>
      </vt:variant>
      <vt:variant>
        <vt:i4>148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145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7209086</vt:i4>
      </vt:variant>
      <vt:variant>
        <vt:i4>142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1900637</vt:i4>
      </vt:variant>
      <vt:variant>
        <vt:i4>139</vt:i4>
      </vt:variant>
      <vt:variant>
        <vt:i4>0</vt:i4>
      </vt:variant>
      <vt:variant>
        <vt:i4>5</vt:i4>
      </vt:variant>
      <vt:variant>
        <vt:lpwstr>http://hr.anu.edu.au/staff-equity/gender/academic-staff-eeo-criteria</vt:lpwstr>
      </vt:variant>
      <vt:variant>
        <vt:lpwstr/>
      </vt:variant>
      <vt:variant>
        <vt:i4>1441880</vt:i4>
      </vt:variant>
      <vt:variant>
        <vt:i4>136</vt:i4>
      </vt:variant>
      <vt:variant>
        <vt:i4>0</vt:i4>
      </vt:variant>
      <vt:variant>
        <vt:i4>5</vt:i4>
      </vt:variant>
      <vt:variant>
        <vt:lpwstr>http://hr.anu.edu.au/staff-equity/gender/professional-staff-eeo-criteria</vt:lpwstr>
      </vt:variant>
      <vt:variant>
        <vt:lpwstr/>
      </vt:variant>
      <vt:variant>
        <vt:i4>4784215</vt:i4>
      </vt:variant>
      <vt:variant>
        <vt:i4>133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130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4784215</vt:i4>
      </vt:variant>
      <vt:variant>
        <vt:i4>127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124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  <vt:variant>
        <vt:i4>131094</vt:i4>
      </vt:variant>
      <vt:variant>
        <vt:i4>81</vt:i4>
      </vt:variant>
      <vt:variant>
        <vt:i4>0</vt:i4>
      </vt:variant>
      <vt:variant>
        <vt:i4>5</vt:i4>
      </vt:variant>
      <vt:variant>
        <vt:lpwstr>http://hr.anu.edu.au/staff-equity</vt:lpwstr>
      </vt:variant>
      <vt:variant>
        <vt:lpwstr/>
      </vt:variant>
      <vt:variant>
        <vt:i4>3211271</vt:i4>
      </vt:variant>
      <vt:variant>
        <vt:i4>78</vt:i4>
      </vt:variant>
      <vt:variant>
        <vt:i4>0</vt:i4>
      </vt:variant>
      <vt:variant>
        <vt:i4>5</vt:i4>
      </vt:variant>
      <vt:variant>
        <vt:lpwstr>mailto:indigenous.employment@anu.edu.au</vt:lpwstr>
      </vt:variant>
      <vt:variant>
        <vt:lpwstr/>
      </vt:variant>
      <vt:variant>
        <vt:i4>65613</vt:i4>
      </vt:variant>
      <vt:variant>
        <vt:i4>51</vt:i4>
      </vt:variant>
      <vt:variant>
        <vt:i4>0</vt:i4>
      </vt:variant>
      <vt:variant>
        <vt:i4>5</vt:i4>
      </vt:variant>
      <vt:variant>
        <vt:lpwstr>http://about.anu.edu.au/governance-structure/delegations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http://hr.anu.edu.au/employment-at-anu/enterprise-agreement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http://hr.anu.edu.au/employment-at-anu/enterprise-agreement/2010-2012/schedule-4</vt:lpwstr>
      </vt:variant>
      <vt:variant>
        <vt:lpwstr/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http://hr.anu.edu.au/employment-at-anu/enterprise-agreement/2010-2012/schedule-5-general-staff-classification-descriptiors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HR Division</dc:creator>
  <cp:lastModifiedBy>Julia Woodruff</cp:lastModifiedBy>
  <cp:revision>2</cp:revision>
  <cp:lastPrinted>2017-04-06T05:01:00Z</cp:lastPrinted>
  <dcterms:created xsi:type="dcterms:W3CDTF">2017-04-19T05:57:00Z</dcterms:created>
  <dcterms:modified xsi:type="dcterms:W3CDTF">2017-04-19T05:57:00Z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ANUP_000943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http://policies-auth.anu.edu.au/cs/idcplg</vt:lpwstr>
  </property>
  <property fmtid="{D5CDD505-2E9C-101B-9397-08002B2CF9AE}" pid="5" name="DISdUser">
    <vt:lpwstr>hruser1</vt:lpwstr>
  </property>
  <property fmtid="{D5CDD505-2E9C-101B-9397-08002B2CF9AE}" pid="6" name="DISdID">
    <vt:lpwstr>4606</vt:lpwstr>
  </property>
  <property fmtid="{D5CDD505-2E9C-101B-9397-08002B2CF9AE}" pid="7" name="DISidcName">
    <vt:lpwstr>prcts1anueduau16200</vt:lpwstr>
  </property>
  <property fmtid="{D5CDD505-2E9C-101B-9397-08002B2CF9AE}" pid="8" name="DISTaskPaneUrl">
    <vt:lpwstr>http://policies-auth.anu.edu.au/cs/idcplg?IdcService=DESKTOP_DOC_INFO&amp;dDocName=ANUP_000943&amp;dID=4606&amp;ClientControlled=DocMan,taskpane&amp;coreContentOnly=1</vt:lpwstr>
  </property>
</Properties>
</file>