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969" w:rsidRPr="006C2ED7" w:rsidRDefault="005D5969" w:rsidP="006C2ED7">
      <w:pPr>
        <w:pStyle w:val="Heading1"/>
        <w:jc w:val="center"/>
      </w:pPr>
      <w:bookmarkStart w:id="0" w:name="_GoBack"/>
      <w:bookmarkEnd w:id="0"/>
      <w:r w:rsidRPr="006C2ED7">
        <w:t xml:space="preserve">Department of </w:t>
      </w:r>
      <w:r w:rsidR="006C2ED7" w:rsidRPr="006C2ED7">
        <w:t>State Growth</w:t>
      </w:r>
    </w:p>
    <w:p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rsidR="007F73E6" w:rsidRPr="001327D4" w:rsidRDefault="007F73E6" w:rsidP="00B232E2">
      <w:pPr>
        <w:pBdr>
          <w:bottom w:val="single" w:sz="4" w:space="1" w:color="auto"/>
        </w:pBdr>
        <w:spacing w:before="0"/>
        <w:rPr>
          <w:sz w:val="22"/>
        </w:rPr>
      </w:pPr>
    </w:p>
    <w:p w:rsidR="006C2ED7"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36495E" w:rsidRPr="00E54A0B">
        <w:rPr>
          <w:rStyle w:val="Heading3Char"/>
          <w:b w:val="0"/>
          <w:sz w:val="22"/>
        </w:rPr>
        <w:t>Manager</w:t>
      </w:r>
      <w:r w:rsidR="0036495E">
        <w:rPr>
          <w:rStyle w:val="Heading3Char"/>
          <w:sz w:val="22"/>
        </w:rPr>
        <w:t xml:space="preserve"> </w:t>
      </w:r>
      <w:r w:rsidR="009301AF">
        <w:rPr>
          <w:rStyle w:val="Heading3Char"/>
          <w:b w:val="0"/>
          <w:sz w:val="22"/>
        </w:rPr>
        <w:t xml:space="preserve">Budget &amp; </w:t>
      </w:r>
      <w:r w:rsidR="0036495E">
        <w:rPr>
          <w:rStyle w:val="Heading3Char"/>
          <w:b w:val="0"/>
          <w:sz w:val="22"/>
        </w:rPr>
        <w:t>Program Support</w:t>
      </w:r>
      <w:r w:rsidR="00094E6B" w:rsidRPr="00094E6B">
        <w:rPr>
          <w:rStyle w:val="Heading3Char"/>
          <w:b w:val="0"/>
          <w:sz w:val="22"/>
        </w:rPr>
        <w:t xml:space="preserve"> </w:t>
      </w:r>
    </w:p>
    <w:p w:rsidR="006C2ED7" w:rsidRDefault="009D522C" w:rsidP="006C2ED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9301AF">
        <w:rPr>
          <w:rStyle w:val="Heading3Char"/>
          <w:b w:val="0"/>
          <w:sz w:val="22"/>
        </w:rPr>
        <w:t>372025</w:t>
      </w:r>
    </w:p>
    <w:p w:rsidR="00D72CDA" w:rsidRPr="001327D4" w:rsidRDefault="009D522C" w:rsidP="006C2ED7">
      <w:pPr>
        <w:tabs>
          <w:tab w:val="clear" w:pos="2835"/>
          <w:tab w:val="right" w:pos="0"/>
          <w:tab w:val="left" w:pos="3119"/>
        </w:tabs>
        <w:ind w:left="3969" w:right="-1" w:hanging="3969"/>
        <w:jc w:val="both"/>
        <w:rPr>
          <w:sz w:val="22"/>
        </w:rPr>
      </w:pPr>
      <w:r w:rsidRPr="001327D4">
        <w:rPr>
          <w:rStyle w:val="Heading3Char"/>
          <w:sz w:val="22"/>
        </w:rPr>
        <w:t>Award/Agreement:</w:t>
      </w:r>
      <w:r w:rsidR="00D72CDA" w:rsidRPr="001327D4">
        <w:rPr>
          <w:sz w:val="22"/>
        </w:rPr>
        <w:t xml:space="preserve"> </w:t>
      </w:r>
      <w:r w:rsidR="00D72CDA" w:rsidRPr="001327D4">
        <w:rPr>
          <w:sz w:val="22"/>
        </w:rPr>
        <w:tab/>
      </w:r>
      <w:r w:rsidR="009301AF">
        <w:rPr>
          <w:sz w:val="22"/>
        </w:rPr>
        <w:t>Tasmanian State Service Award</w:t>
      </w:r>
    </w:p>
    <w:p w:rsidR="009D522C" w:rsidRPr="001327D4" w:rsidRDefault="009D522C" w:rsidP="006C2ED7">
      <w:pPr>
        <w:tabs>
          <w:tab w:val="clear" w:pos="2835"/>
          <w:tab w:val="left" w:pos="3119"/>
          <w:tab w:val="left" w:pos="3261"/>
        </w:tabs>
        <w:rPr>
          <w:sz w:val="22"/>
        </w:rPr>
      </w:pPr>
      <w:r w:rsidRPr="001327D4">
        <w:rPr>
          <w:rStyle w:val="Heading3Char"/>
          <w:sz w:val="22"/>
        </w:rPr>
        <w:t>Classification level:</w:t>
      </w:r>
      <w:r w:rsidR="00D72CDA" w:rsidRPr="001327D4">
        <w:rPr>
          <w:sz w:val="22"/>
        </w:rPr>
        <w:tab/>
      </w:r>
      <w:r w:rsidR="009301AF">
        <w:rPr>
          <w:rStyle w:val="Heading3Char"/>
          <w:b w:val="0"/>
          <w:sz w:val="22"/>
        </w:rPr>
        <w:t xml:space="preserve">General Stream Band </w:t>
      </w:r>
      <w:r w:rsidR="0036495E">
        <w:rPr>
          <w:rStyle w:val="Heading3Char"/>
          <w:b w:val="0"/>
          <w:sz w:val="22"/>
        </w:rPr>
        <w:t>7</w:t>
      </w:r>
    </w:p>
    <w:p w:rsidR="009D522C" w:rsidRPr="001327D4" w:rsidRDefault="009D522C" w:rsidP="006C2ED7">
      <w:pPr>
        <w:tabs>
          <w:tab w:val="clear" w:pos="2835"/>
          <w:tab w:val="left" w:pos="3119"/>
          <w:tab w:val="left" w:pos="3261"/>
        </w:tabs>
        <w:rPr>
          <w:b/>
          <w:sz w:val="22"/>
        </w:rPr>
      </w:pPr>
      <w:r w:rsidRPr="001327D4">
        <w:rPr>
          <w:rStyle w:val="Heading3Char"/>
          <w:sz w:val="22"/>
        </w:rPr>
        <w:t>Division/branch/section:</w:t>
      </w:r>
      <w:r w:rsidRPr="001327D4">
        <w:rPr>
          <w:rStyle w:val="Heading3Char"/>
          <w:sz w:val="22"/>
        </w:rPr>
        <w:tab/>
      </w:r>
      <w:r w:rsidR="009301AF">
        <w:rPr>
          <w:rStyle w:val="Heading3Char"/>
          <w:b w:val="0"/>
          <w:sz w:val="22"/>
        </w:rPr>
        <w:t xml:space="preserve">State Roads – </w:t>
      </w:r>
      <w:r w:rsidR="0036495E">
        <w:rPr>
          <w:rStyle w:val="Heading3Char"/>
          <w:b w:val="0"/>
          <w:sz w:val="22"/>
        </w:rPr>
        <w:t>Support Services</w:t>
      </w:r>
    </w:p>
    <w:p w:rsidR="00DF4AC4" w:rsidRPr="001327D4" w:rsidRDefault="00DF4AC4" w:rsidP="00DF4AC4">
      <w:pPr>
        <w:tabs>
          <w:tab w:val="clear" w:pos="2835"/>
          <w:tab w:val="left" w:pos="3119"/>
          <w:tab w:val="left" w:pos="3261"/>
        </w:tabs>
        <w:rPr>
          <w:sz w:val="22"/>
        </w:rPr>
      </w:pPr>
      <w:r w:rsidRPr="001327D4">
        <w:rPr>
          <w:rStyle w:val="Heading3Char"/>
          <w:sz w:val="22"/>
        </w:rPr>
        <w:t>Supervisor:</w:t>
      </w:r>
      <w:r w:rsidRPr="001327D4">
        <w:rPr>
          <w:sz w:val="22"/>
        </w:rPr>
        <w:tab/>
      </w:r>
      <w:r>
        <w:rPr>
          <w:rStyle w:val="Heading3Char"/>
          <w:b w:val="0"/>
          <w:sz w:val="22"/>
        </w:rPr>
        <w:t>Manager Support Services</w:t>
      </w:r>
    </w:p>
    <w:p w:rsidR="00490402" w:rsidRPr="001327D4" w:rsidRDefault="00490402" w:rsidP="006C2ED7">
      <w:pPr>
        <w:tabs>
          <w:tab w:val="clear" w:pos="2835"/>
          <w:tab w:val="left" w:pos="3119"/>
          <w:tab w:val="left" w:pos="3261"/>
        </w:tabs>
        <w:rPr>
          <w:sz w:val="22"/>
        </w:rPr>
      </w:pPr>
      <w:r w:rsidRPr="001327D4">
        <w:rPr>
          <w:rStyle w:val="Heading3Char"/>
          <w:sz w:val="22"/>
        </w:rPr>
        <w:t>Location:</w:t>
      </w:r>
      <w:r w:rsidR="00905B48">
        <w:rPr>
          <w:sz w:val="22"/>
        </w:rPr>
        <w:tab/>
      </w:r>
      <w:r w:rsidR="009301AF">
        <w:rPr>
          <w:rStyle w:val="Heading3Char"/>
          <w:b w:val="0"/>
          <w:sz w:val="22"/>
        </w:rPr>
        <w:t>South</w:t>
      </w:r>
    </w:p>
    <w:p w:rsidR="009D522C" w:rsidRDefault="009D522C" w:rsidP="006C2ED7">
      <w:pPr>
        <w:tabs>
          <w:tab w:val="clear" w:pos="2835"/>
          <w:tab w:val="left" w:pos="3119"/>
          <w:tab w:val="left" w:pos="3261"/>
        </w:tabs>
        <w:rPr>
          <w:rStyle w:val="Heading3Char"/>
          <w:b w:val="0"/>
          <w:sz w:val="22"/>
        </w:rPr>
      </w:pPr>
      <w:r w:rsidRPr="001327D4">
        <w:rPr>
          <w:rStyle w:val="Heading3Char"/>
          <w:sz w:val="22"/>
        </w:rPr>
        <w:t>Employment status:</w:t>
      </w:r>
      <w:r w:rsidR="00D72CDA" w:rsidRPr="001327D4">
        <w:rPr>
          <w:sz w:val="22"/>
        </w:rPr>
        <w:tab/>
      </w:r>
      <w:r w:rsidR="00DF4AC4">
        <w:rPr>
          <w:rStyle w:val="Heading3Char"/>
          <w:b w:val="0"/>
          <w:sz w:val="22"/>
        </w:rPr>
        <w:t>Flexible</w:t>
      </w:r>
    </w:p>
    <w:p w:rsidR="00DF4AC4" w:rsidRPr="007234C9" w:rsidRDefault="00DF4AC4" w:rsidP="00DF4AC4">
      <w:pPr>
        <w:tabs>
          <w:tab w:val="clear" w:pos="2835"/>
          <w:tab w:val="left" w:pos="3119"/>
          <w:tab w:val="left" w:pos="3261"/>
        </w:tabs>
        <w:ind w:left="3119"/>
        <w:rPr>
          <w:rStyle w:val="Heading3Char"/>
          <w:sz w:val="22"/>
        </w:rPr>
      </w:pPr>
      <w:r>
        <w:rPr>
          <w:i/>
          <w:iCs/>
          <w:sz w:val="18"/>
          <w:szCs w:val="18"/>
          <w:lang w:eastAsia="en-AU"/>
        </w:rPr>
        <w:t>We are a diverse and inclusive workplace that understands the importance of flexibility. Talk to us about what flexibility may look like for you.</w:t>
      </w:r>
    </w:p>
    <w:p w:rsidR="00A27736" w:rsidRPr="001327D4" w:rsidRDefault="00A27736" w:rsidP="00A44F84">
      <w:pPr>
        <w:pStyle w:val="Heading3"/>
        <w:pBdr>
          <w:top w:val="single" w:sz="4" w:space="1" w:color="auto"/>
        </w:pBdr>
        <w:spacing w:before="0" w:after="0" w:line="240" w:lineRule="auto"/>
        <w:rPr>
          <w:b w:val="0"/>
          <w:sz w:val="22"/>
        </w:rPr>
      </w:pPr>
    </w:p>
    <w:p w:rsidR="00CD42F8" w:rsidRPr="00B5403C" w:rsidRDefault="00CD42F8" w:rsidP="00B5403C">
      <w:pPr>
        <w:pStyle w:val="Heading3"/>
      </w:pPr>
      <w:r w:rsidRPr="00B5403C">
        <w:t>Position Objective</w:t>
      </w:r>
    </w:p>
    <w:p w:rsidR="009301AF" w:rsidRDefault="0080068E" w:rsidP="009301AF">
      <w:pPr>
        <w:pStyle w:val="BodyText"/>
        <w:spacing w:after="240"/>
        <w:ind w:right="142"/>
        <w:jc w:val="both"/>
        <w:rPr>
          <w:sz w:val="22"/>
        </w:rPr>
      </w:pPr>
      <w:r>
        <w:rPr>
          <w:rFonts w:cs="Arial"/>
          <w:sz w:val="22"/>
        </w:rPr>
        <w:t xml:space="preserve">Provide definitive </w:t>
      </w:r>
      <w:r w:rsidR="009301AF" w:rsidRPr="005A4FFD">
        <w:rPr>
          <w:rFonts w:cs="Arial"/>
          <w:sz w:val="22"/>
        </w:rPr>
        <w:t xml:space="preserve">advice, recommendations and support to </w:t>
      </w:r>
      <w:r w:rsidR="00FE4144">
        <w:rPr>
          <w:rFonts w:cs="Arial"/>
          <w:sz w:val="22"/>
        </w:rPr>
        <w:t>Senior Managers</w:t>
      </w:r>
      <w:r w:rsidR="009301AF" w:rsidRPr="005A4FFD">
        <w:rPr>
          <w:rFonts w:cs="Arial"/>
          <w:sz w:val="22"/>
        </w:rPr>
        <w:t xml:space="preserve"> in relation to the development, documentation and reporting of the </w:t>
      </w:r>
      <w:r w:rsidR="0036495E">
        <w:rPr>
          <w:rFonts w:cs="Arial"/>
          <w:sz w:val="22"/>
        </w:rPr>
        <w:t xml:space="preserve">budget for the </w:t>
      </w:r>
      <w:r w:rsidR="009301AF" w:rsidRPr="005A4FFD">
        <w:rPr>
          <w:rFonts w:cs="Arial"/>
          <w:sz w:val="22"/>
        </w:rPr>
        <w:t>Roads Program</w:t>
      </w:r>
      <w:r w:rsidR="0036495E">
        <w:rPr>
          <w:rFonts w:cs="Arial"/>
          <w:sz w:val="22"/>
        </w:rPr>
        <w:t xml:space="preserve"> and the </w:t>
      </w:r>
      <w:r w:rsidR="00890123">
        <w:rPr>
          <w:rFonts w:cs="Arial"/>
          <w:sz w:val="22"/>
        </w:rPr>
        <w:t>Group</w:t>
      </w:r>
      <w:r w:rsidR="0036495E">
        <w:rPr>
          <w:rFonts w:cs="Arial"/>
          <w:sz w:val="22"/>
        </w:rPr>
        <w:t>’s operations</w:t>
      </w:r>
      <w:r w:rsidR="009301AF" w:rsidRPr="005A4FFD">
        <w:rPr>
          <w:rFonts w:cs="Arial"/>
          <w:sz w:val="22"/>
        </w:rPr>
        <w:t>.</w:t>
      </w:r>
    </w:p>
    <w:p w:rsidR="00CD42F8" w:rsidRPr="001327D4" w:rsidRDefault="00CD42F8" w:rsidP="009F6C23">
      <w:pPr>
        <w:pStyle w:val="Heading3"/>
      </w:pPr>
      <w:r w:rsidRPr="001327D4">
        <w:t>Major Duties</w:t>
      </w:r>
    </w:p>
    <w:p w:rsidR="0036495E" w:rsidRDefault="0036495E" w:rsidP="009301AF">
      <w:pPr>
        <w:pStyle w:val="numbers"/>
        <w:numPr>
          <w:ilvl w:val="0"/>
          <w:numId w:val="27"/>
        </w:numPr>
        <w:tabs>
          <w:tab w:val="num" w:pos="426"/>
        </w:tabs>
        <w:spacing w:after="120"/>
        <w:ind w:right="142"/>
        <w:rPr>
          <w:rFonts w:ascii="Gill Sans MT" w:hAnsi="Gill Sans MT"/>
          <w:sz w:val="22"/>
          <w:szCs w:val="22"/>
          <w:lang w:val="en-AU"/>
        </w:rPr>
      </w:pPr>
      <w:r>
        <w:rPr>
          <w:rFonts w:ascii="Gill Sans MT" w:hAnsi="Gill Sans MT"/>
          <w:sz w:val="22"/>
          <w:szCs w:val="22"/>
          <w:lang w:val="en-AU"/>
        </w:rPr>
        <w:t xml:space="preserve">Manage </w:t>
      </w:r>
      <w:r w:rsidR="00890123">
        <w:rPr>
          <w:rFonts w:ascii="Gill Sans MT" w:hAnsi="Gill Sans MT"/>
          <w:sz w:val="22"/>
          <w:szCs w:val="22"/>
          <w:lang w:val="en-AU"/>
        </w:rPr>
        <w:t>all budget support activities</w:t>
      </w:r>
      <w:r w:rsidR="000F20E3">
        <w:rPr>
          <w:rFonts w:ascii="Gill Sans MT" w:hAnsi="Gill Sans MT"/>
          <w:sz w:val="22"/>
          <w:szCs w:val="22"/>
          <w:lang w:val="en-AU"/>
        </w:rPr>
        <w:t xml:space="preserve"> from all sources of funds</w:t>
      </w:r>
      <w:r w:rsidR="00890123">
        <w:rPr>
          <w:rFonts w:ascii="Gill Sans MT" w:hAnsi="Gill Sans MT"/>
          <w:sz w:val="22"/>
          <w:szCs w:val="22"/>
          <w:lang w:val="en-AU"/>
        </w:rPr>
        <w:t xml:space="preserve"> within Transport Services Group including management of the </w:t>
      </w:r>
      <w:r>
        <w:rPr>
          <w:rFonts w:ascii="Gill Sans MT" w:hAnsi="Gill Sans MT"/>
          <w:sz w:val="22"/>
          <w:szCs w:val="22"/>
          <w:lang w:val="en-AU"/>
        </w:rPr>
        <w:t>Budget Support Team</w:t>
      </w:r>
      <w:r w:rsidR="00E54A0B">
        <w:rPr>
          <w:rFonts w:ascii="Gill Sans MT" w:hAnsi="Gill Sans MT"/>
          <w:sz w:val="22"/>
          <w:szCs w:val="22"/>
          <w:lang w:val="en-AU"/>
        </w:rPr>
        <w:t xml:space="preserve"> </w:t>
      </w:r>
      <w:r w:rsidR="00890123">
        <w:rPr>
          <w:rFonts w:ascii="Gill Sans MT" w:hAnsi="Gill Sans MT"/>
          <w:sz w:val="22"/>
          <w:szCs w:val="22"/>
          <w:lang w:val="en-AU"/>
        </w:rPr>
        <w:t>(</w:t>
      </w:r>
      <w:r w:rsidR="00135B2D">
        <w:rPr>
          <w:rFonts w:ascii="Gill Sans MT" w:hAnsi="Gill Sans MT"/>
          <w:sz w:val="22"/>
          <w:szCs w:val="22"/>
          <w:lang w:val="en-AU"/>
        </w:rPr>
        <w:t xml:space="preserve">human, </w:t>
      </w:r>
      <w:r w:rsidR="00E54A0B">
        <w:rPr>
          <w:rFonts w:ascii="Gill Sans MT" w:hAnsi="Gill Sans MT"/>
          <w:sz w:val="22"/>
          <w:szCs w:val="22"/>
          <w:lang w:val="en-AU"/>
        </w:rPr>
        <w:t>physical and financial resources</w:t>
      </w:r>
      <w:r w:rsidR="00890123">
        <w:rPr>
          <w:rFonts w:ascii="Gill Sans MT" w:hAnsi="Gill Sans MT"/>
          <w:sz w:val="22"/>
          <w:szCs w:val="22"/>
          <w:lang w:val="en-AU"/>
        </w:rPr>
        <w:t>)</w:t>
      </w:r>
      <w:r w:rsidR="000F20E3">
        <w:rPr>
          <w:rFonts w:ascii="Gill Sans MT" w:hAnsi="Gill Sans MT"/>
          <w:sz w:val="22"/>
          <w:szCs w:val="22"/>
          <w:lang w:val="en-AU"/>
        </w:rPr>
        <w:t xml:space="preserve"> and the provision of expert advice and budget support to the senior managers in the Transport Services Group.</w:t>
      </w:r>
    </w:p>
    <w:p w:rsidR="00F10889" w:rsidRDefault="00E54A0B" w:rsidP="00F10889">
      <w:pPr>
        <w:pStyle w:val="numbers"/>
        <w:numPr>
          <w:ilvl w:val="0"/>
          <w:numId w:val="27"/>
        </w:numPr>
        <w:tabs>
          <w:tab w:val="num" w:pos="426"/>
        </w:tabs>
        <w:spacing w:after="120"/>
        <w:ind w:right="142"/>
        <w:rPr>
          <w:rFonts w:ascii="Gill Sans MT" w:hAnsi="Gill Sans MT"/>
          <w:sz w:val="22"/>
          <w:szCs w:val="22"/>
          <w:lang w:val="en-AU"/>
        </w:rPr>
      </w:pPr>
      <w:r>
        <w:rPr>
          <w:rFonts w:ascii="Gill Sans MT" w:hAnsi="Gill Sans MT"/>
          <w:sz w:val="22"/>
          <w:szCs w:val="22"/>
          <w:lang w:val="en-AU"/>
        </w:rPr>
        <w:t>Support the General Manager State Roads with</w:t>
      </w:r>
      <w:r w:rsidR="00F10889" w:rsidRPr="00190341">
        <w:rPr>
          <w:rFonts w:ascii="Gill Sans MT" w:hAnsi="Gill Sans MT"/>
          <w:sz w:val="22"/>
          <w:szCs w:val="22"/>
          <w:lang w:val="en-AU"/>
        </w:rPr>
        <w:t xml:space="preserve"> </w:t>
      </w:r>
      <w:r w:rsidR="0080068E">
        <w:rPr>
          <w:rFonts w:ascii="Gill Sans MT" w:hAnsi="Gill Sans MT"/>
          <w:sz w:val="22"/>
          <w:szCs w:val="22"/>
          <w:lang w:val="en-AU"/>
        </w:rPr>
        <w:t xml:space="preserve">(leading) </w:t>
      </w:r>
      <w:r w:rsidR="00F10889" w:rsidRPr="00190341">
        <w:rPr>
          <w:rFonts w:ascii="Gill Sans MT" w:hAnsi="Gill Sans MT"/>
          <w:sz w:val="22"/>
          <w:szCs w:val="22"/>
          <w:lang w:val="en-AU"/>
        </w:rPr>
        <w:t>the allocation of funding from the Capital Investment Program budget and other funding sources in accordance with public sector principles and practices</w:t>
      </w:r>
      <w:r w:rsidR="000F20E3">
        <w:rPr>
          <w:rFonts w:ascii="Gill Sans MT" w:hAnsi="Gill Sans MT"/>
          <w:sz w:val="22"/>
          <w:szCs w:val="22"/>
          <w:lang w:val="en-AU"/>
        </w:rPr>
        <w:t xml:space="preserve"> including:</w:t>
      </w:r>
    </w:p>
    <w:p w:rsidR="00E54A0B" w:rsidRPr="00190341" w:rsidRDefault="00E54A0B" w:rsidP="000F20E3">
      <w:pPr>
        <w:pStyle w:val="numbers"/>
        <w:numPr>
          <w:ilvl w:val="0"/>
          <w:numId w:val="34"/>
        </w:numPr>
        <w:spacing w:after="120"/>
        <w:ind w:left="1134" w:right="142" w:hanging="425"/>
        <w:rPr>
          <w:rFonts w:ascii="Gill Sans MT" w:hAnsi="Gill Sans MT"/>
          <w:sz w:val="22"/>
          <w:szCs w:val="22"/>
          <w:lang w:val="en-AU"/>
        </w:rPr>
      </w:pPr>
      <w:r w:rsidRPr="00190341">
        <w:rPr>
          <w:rFonts w:ascii="Gill Sans MT" w:hAnsi="Gill Sans MT"/>
          <w:sz w:val="22"/>
          <w:szCs w:val="22"/>
          <w:lang w:val="en-AU"/>
        </w:rPr>
        <w:t>Prov</w:t>
      </w:r>
      <w:r w:rsidR="000F20E3">
        <w:rPr>
          <w:rFonts w:ascii="Gill Sans MT" w:hAnsi="Gill Sans MT"/>
          <w:sz w:val="22"/>
          <w:szCs w:val="22"/>
          <w:lang w:val="en-AU"/>
        </w:rPr>
        <w:t xml:space="preserve">ision of </w:t>
      </w:r>
      <w:r w:rsidRPr="00190341">
        <w:rPr>
          <w:rFonts w:ascii="Gill Sans MT" w:hAnsi="Gill Sans MT"/>
          <w:sz w:val="22"/>
          <w:szCs w:val="22"/>
          <w:lang w:val="en-AU"/>
        </w:rPr>
        <w:t xml:space="preserve">high level executive support to the </w:t>
      </w:r>
      <w:r w:rsidR="000F20E3">
        <w:rPr>
          <w:rFonts w:ascii="Gill Sans MT" w:hAnsi="Gill Sans MT"/>
          <w:sz w:val="22"/>
          <w:szCs w:val="22"/>
          <w:lang w:val="en-AU"/>
        </w:rPr>
        <w:t xml:space="preserve">State Road’s </w:t>
      </w:r>
      <w:r>
        <w:rPr>
          <w:rFonts w:ascii="Gill Sans MT" w:hAnsi="Gill Sans MT"/>
          <w:sz w:val="22"/>
          <w:szCs w:val="22"/>
          <w:lang w:val="en-AU"/>
        </w:rPr>
        <w:t>Program Executive</w:t>
      </w:r>
      <w:r w:rsidRPr="00190341">
        <w:rPr>
          <w:rFonts w:ascii="Gill Sans MT" w:hAnsi="Gill Sans MT"/>
          <w:sz w:val="22"/>
          <w:szCs w:val="22"/>
          <w:lang w:val="en-AU"/>
        </w:rPr>
        <w:t xml:space="preserve"> Group with regard to the planning, monitoring, coordination and reporting of the Capital Expenditure Program</w:t>
      </w:r>
      <w:r w:rsidR="000F20E3">
        <w:rPr>
          <w:rFonts w:ascii="Gill Sans MT" w:hAnsi="Gill Sans MT"/>
          <w:sz w:val="22"/>
          <w:szCs w:val="22"/>
          <w:lang w:val="en-AU"/>
        </w:rPr>
        <w:t>; and</w:t>
      </w:r>
    </w:p>
    <w:p w:rsidR="009301AF" w:rsidRDefault="00E54A0B" w:rsidP="000F20E3">
      <w:pPr>
        <w:pStyle w:val="numbers"/>
        <w:numPr>
          <w:ilvl w:val="0"/>
          <w:numId w:val="34"/>
        </w:numPr>
        <w:spacing w:after="120"/>
        <w:ind w:left="1134" w:right="142" w:hanging="425"/>
        <w:rPr>
          <w:rFonts w:ascii="Gill Sans MT" w:hAnsi="Gill Sans MT"/>
          <w:sz w:val="22"/>
          <w:szCs w:val="22"/>
          <w:lang w:val="en-AU"/>
        </w:rPr>
      </w:pPr>
      <w:r>
        <w:rPr>
          <w:rFonts w:ascii="Gill Sans MT" w:hAnsi="Gill Sans MT"/>
          <w:sz w:val="22"/>
          <w:szCs w:val="22"/>
          <w:lang w:val="en-AU"/>
        </w:rPr>
        <w:t>P</w:t>
      </w:r>
      <w:r w:rsidR="0080068E">
        <w:rPr>
          <w:rFonts w:ascii="Gill Sans MT" w:hAnsi="Gill Sans MT"/>
          <w:sz w:val="22"/>
          <w:szCs w:val="22"/>
          <w:lang w:val="en-AU"/>
        </w:rPr>
        <w:t>rovi</w:t>
      </w:r>
      <w:r w:rsidR="000F20E3">
        <w:rPr>
          <w:rFonts w:ascii="Gill Sans MT" w:hAnsi="Gill Sans MT"/>
          <w:sz w:val="22"/>
          <w:szCs w:val="22"/>
          <w:lang w:val="en-AU"/>
        </w:rPr>
        <w:t>sion of</w:t>
      </w:r>
      <w:r w:rsidR="0080068E">
        <w:rPr>
          <w:rFonts w:ascii="Gill Sans MT" w:hAnsi="Gill Sans MT"/>
          <w:sz w:val="22"/>
          <w:szCs w:val="22"/>
          <w:lang w:val="en-AU"/>
        </w:rPr>
        <w:t xml:space="preserve"> specialised</w:t>
      </w:r>
      <w:r w:rsidR="00F10889" w:rsidRPr="00190341">
        <w:rPr>
          <w:rFonts w:ascii="Gill Sans MT" w:hAnsi="Gill Sans MT"/>
          <w:sz w:val="22"/>
          <w:szCs w:val="22"/>
          <w:lang w:val="en-AU"/>
        </w:rPr>
        <w:t xml:space="preserve"> </w:t>
      </w:r>
      <w:r w:rsidR="0080068E">
        <w:rPr>
          <w:rFonts w:ascii="Gill Sans MT" w:hAnsi="Gill Sans MT"/>
          <w:sz w:val="22"/>
          <w:szCs w:val="22"/>
          <w:lang w:val="en-AU"/>
        </w:rPr>
        <w:t xml:space="preserve">expert </w:t>
      </w:r>
      <w:r w:rsidR="00F10889" w:rsidRPr="00190341">
        <w:rPr>
          <w:rFonts w:ascii="Gill Sans MT" w:hAnsi="Gill Sans MT"/>
          <w:sz w:val="22"/>
          <w:szCs w:val="22"/>
          <w:lang w:val="en-AU"/>
        </w:rPr>
        <w:t xml:space="preserve">advice and support to the General Manager </w:t>
      </w:r>
      <w:r w:rsidR="00F10889">
        <w:rPr>
          <w:rFonts w:ascii="Gill Sans MT" w:hAnsi="Gill Sans MT"/>
          <w:sz w:val="22"/>
          <w:szCs w:val="22"/>
          <w:lang w:val="en-AU"/>
        </w:rPr>
        <w:t>State Roads</w:t>
      </w:r>
      <w:r w:rsidR="00F10889" w:rsidRPr="00190341">
        <w:rPr>
          <w:rFonts w:ascii="Gill Sans MT" w:hAnsi="Gill Sans MT"/>
          <w:sz w:val="22"/>
          <w:szCs w:val="22"/>
          <w:lang w:val="en-AU"/>
        </w:rPr>
        <w:t xml:space="preserve"> in the monitoring and reporting of all financial aspects of the Roads program, including funding allocations and </w:t>
      </w:r>
      <w:r w:rsidR="00F10889">
        <w:rPr>
          <w:rFonts w:ascii="Gill Sans MT" w:hAnsi="Gill Sans MT"/>
          <w:sz w:val="22"/>
          <w:szCs w:val="22"/>
          <w:lang w:val="en-AU"/>
        </w:rPr>
        <w:t xml:space="preserve">emerging </w:t>
      </w:r>
      <w:r w:rsidR="00F10889" w:rsidRPr="00190341">
        <w:rPr>
          <w:rFonts w:ascii="Gill Sans MT" w:hAnsi="Gill Sans MT"/>
          <w:sz w:val="22"/>
          <w:szCs w:val="22"/>
          <w:lang w:val="en-AU"/>
        </w:rPr>
        <w:t>budgetary issues.</w:t>
      </w:r>
    </w:p>
    <w:p w:rsidR="009301AF" w:rsidRPr="00190341" w:rsidRDefault="009301AF" w:rsidP="009301AF">
      <w:pPr>
        <w:pStyle w:val="numbers"/>
        <w:numPr>
          <w:ilvl w:val="0"/>
          <w:numId w:val="27"/>
        </w:numPr>
        <w:tabs>
          <w:tab w:val="num" w:pos="426"/>
        </w:tabs>
        <w:spacing w:after="120"/>
        <w:ind w:right="142"/>
        <w:rPr>
          <w:rFonts w:ascii="Gill Sans MT" w:hAnsi="Gill Sans MT"/>
          <w:sz w:val="22"/>
          <w:szCs w:val="22"/>
          <w:lang w:val="en-AU"/>
        </w:rPr>
      </w:pPr>
      <w:r w:rsidRPr="00190341">
        <w:rPr>
          <w:rFonts w:ascii="Gill Sans MT" w:hAnsi="Gill Sans MT"/>
          <w:sz w:val="22"/>
          <w:szCs w:val="22"/>
          <w:lang w:val="en-AU"/>
        </w:rPr>
        <w:t>Develop, implement and mainta</w:t>
      </w:r>
      <w:r w:rsidR="00030505">
        <w:rPr>
          <w:rFonts w:ascii="Gill Sans MT" w:hAnsi="Gill Sans MT"/>
          <w:sz w:val="22"/>
          <w:szCs w:val="22"/>
          <w:lang w:val="en-AU"/>
        </w:rPr>
        <w:t>in policies</w:t>
      </w:r>
      <w:r w:rsidRPr="00190341">
        <w:rPr>
          <w:rFonts w:ascii="Gill Sans MT" w:hAnsi="Gill Sans MT"/>
          <w:sz w:val="22"/>
          <w:szCs w:val="22"/>
          <w:lang w:val="en-AU"/>
        </w:rPr>
        <w:t xml:space="preserve">, systems and procedures to effectively administer processes associated with </w:t>
      </w:r>
      <w:r w:rsidR="00FE4144">
        <w:rPr>
          <w:rFonts w:ascii="Gill Sans MT" w:hAnsi="Gill Sans MT"/>
          <w:sz w:val="22"/>
          <w:szCs w:val="22"/>
          <w:lang w:val="en-AU"/>
        </w:rPr>
        <w:t>budget support</w:t>
      </w:r>
      <w:r w:rsidRPr="00190341">
        <w:rPr>
          <w:rFonts w:ascii="Gill Sans MT" w:hAnsi="Gill Sans MT"/>
          <w:sz w:val="22"/>
          <w:szCs w:val="22"/>
          <w:lang w:val="en-AU"/>
        </w:rPr>
        <w:t>.</w:t>
      </w:r>
    </w:p>
    <w:p w:rsidR="00360930" w:rsidRDefault="00360930" w:rsidP="006C2ED7">
      <w:pPr>
        <w:pStyle w:val="Heading3"/>
      </w:pPr>
    </w:p>
    <w:p w:rsidR="00A70503" w:rsidRDefault="00A70503" w:rsidP="00A70503"/>
    <w:p w:rsidR="00A70503" w:rsidRDefault="00A70503" w:rsidP="00A70503"/>
    <w:p w:rsidR="00A70503" w:rsidRPr="00A70503" w:rsidRDefault="00A70503" w:rsidP="00A70503"/>
    <w:p w:rsidR="00CD42F8" w:rsidRPr="001327D4" w:rsidRDefault="006C2ED7" w:rsidP="006C2ED7">
      <w:pPr>
        <w:pStyle w:val="Heading3"/>
      </w:pPr>
      <w:r>
        <w:lastRenderedPageBreak/>
        <w:t>Scope of Work: (</w:t>
      </w:r>
      <w:r w:rsidR="00CD42F8" w:rsidRPr="001327D4">
        <w:t xml:space="preserve">Responsibility, Decision-Making and Direction </w:t>
      </w:r>
      <w:r w:rsidR="00D72CDA" w:rsidRPr="001327D4">
        <w:t>Received</w:t>
      </w:r>
      <w:r>
        <w:t>)</w:t>
      </w:r>
    </w:p>
    <w:p w:rsidR="009301AF" w:rsidRPr="009301AF" w:rsidRDefault="009301AF" w:rsidP="009301AF">
      <w:pPr>
        <w:tabs>
          <w:tab w:val="left" w:pos="-1440"/>
          <w:tab w:val="left" w:pos="-720"/>
          <w:tab w:val="left" w:pos="993"/>
          <w:tab w:val="left" w:pos="6312"/>
          <w:tab w:val="left" w:pos="7488"/>
        </w:tabs>
        <w:spacing w:line="240" w:lineRule="auto"/>
        <w:ind w:right="142"/>
        <w:jc w:val="both"/>
        <w:rPr>
          <w:rFonts w:cs="Arial"/>
          <w:sz w:val="22"/>
        </w:rPr>
      </w:pPr>
      <w:r w:rsidRPr="009301AF">
        <w:rPr>
          <w:rFonts w:cs="Arial"/>
          <w:sz w:val="22"/>
        </w:rPr>
        <w:t xml:space="preserve">This position is responsible for managing </w:t>
      </w:r>
      <w:r w:rsidR="00E54A0B">
        <w:rPr>
          <w:rFonts w:cs="Arial"/>
          <w:sz w:val="22"/>
        </w:rPr>
        <w:t>budget support</w:t>
      </w:r>
      <w:r w:rsidRPr="009301AF">
        <w:rPr>
          <w:rFonts w:cs="Arial"/>
          <w:sz w:val="22"/>
        </w:rPr>
        <w:t xml:space="preserve"> activities and for the provision of accurate and timely advice and recommendations on the financial status of the Roads Program</w:t>
      </w:r>
      <w:r w:rsidR="00FE4144">
        <w:rPr>
          <w:rFonts w:cs="Arial"/>
          <w:sz w:val="22"/>
        </w:rPr>
        <w:t xml:space="preserve"> and the Transport Services Group operational budget</w:t>
      </w:r>
      <w:r w:rsidRPr="009301AF">
        <w:rPr>
          <w:rFonts w:cs="Arial"/>
          <w:sz w:val="22"/>
        </w:rPr>
        <w:t xml:space="preserve">.  </w:t>
      </w:r>
    </w:p>
    <w:p w:rsidR="009301AF" w:rsidRPr="009301AF" w:rsidRDefault="009301AF" w:rsidP="009301AF">
      <w:pPr>
        <w:tabs>
          <w:tab w:val="left" w:pos="-1440"/>
          <w:tab w:val="left" w:pos="-720"/>
          <w:tab w:val="left" w:pos="993"/>
          <w:tab w:val="left" w:pos="6312"/>
          <w:tab w:val="left" w:pos="7488"/>
        </w:tabs>
        <w:spacing w:line="240" w:lineRule="auto"/>
        <w:ind w:right="142"/>
        <w:jc w:val="both"/>
        <w:rPr>
          <w:rFonts w:cs="Arial"/>
          <w:sz w:val="22"/>
        </w:rPr>
      </w:pPr>
      <w:r w:rsidRPr="009301AF">
        <w:rPr>
          <w:rFonts w:cs="Arial"/>
          <w:sz w:val="22"/>
        </w:rPr>
        <w:t>The occupant is required to work collaboratively with other areas of the Department and is responsible for leading small project teams within the Division focussed on business improvements.</w:t>
      </w:r>
    </w:p>
    <w:p w:rsidR="009301AF" w:rsidRPr="009301AF" w:rsidRDefault="009301AF" w:rsidP="009301AF">
      <w:pPr>
        <w:pStyle w:val="BodyText"/>
        <w:tabs>
          <w:tab w:val="left" w:pos="426"/>
        </w:tabs>
        <w:ind w:right="142"/>
        <w:jc w:val="both"/>
        <w:rPr>
          <w:rFonts w:cs="Arial"/>
          <w:sz w:val="22"/>
          <w:highlight w:val="yellow"/>
        </w:rPr>
      </w:pPr>
      <w:r w:rsidRPr="009301AF">
        <w:rPr>
          <w:rFonts w:cs="Arial"/>
          <w:sz w:val="22"/>
        </w:rPr>
        <w:t xml:space="preserve">The position is required to operate independently with limited supervision from the </w:t>
      </w:r>
      <w:r w:rsidR="00FE4144">
        <w:rPr>
          <w:rFonts w:cs="Arial"/>
          <w:sz w:val="22"/>
        </w:rPr>
        <w:t>Manager Support</w:t>
      </w:r>
      <w:r w:rsidRPr="009301AF">
        <w:rPr>
          <w:rFonts w:cs="Arial"/>
          <w:sz w:val="22"/>
        </w:rPr>
        <w:t xml:space="preserve"> Services who will work with the occupant to determine key priorities and objectives of the position.</w:t>
      </w:r>
    </w:p>
    <w:p w:rsidR="009301AF" w:rsidRPr="00A4261D" w:rsidRDefault="009301AF" w:rsidP="009301AF">
      <w:pPr>
        <w:pStyle w:val="BodyText"/>
        <w:spacing w:after="240"/>
        <w:jc w:val="both"/>
        <w:rPr>
          <w:rFonts w:cs="Arial"/>
          <w:sz w:val="22"/>
        </w:rPr>
      </w:pPr>
      <w:r>
        <w:rPr>
          <w:rFonts w:cs="Arial"/>
          <w:sz w:val="22"/>
        </w:rPr>
        <w:t xml:space="preserve">The position operates out of an office </w:t>
      </w:r>
      <w:r w:rsidRPr="00A4261D">
        <w:rPr>
          <w:rFonts w:cs="Arial"/>
          <w:sz w:val="22"/>
        </w:rPr>
        <w:t>based environment</w:t>
      </w:r>
      <w:r>
        <w:rPr>
          <w:rFonts w:cs="Arial"/>
          <w:sz w:val="22"/>
        </w:rPr>
        <w:t xml:space="preserve"> in Hobart</w:t>
      </w:r>
      <w:r w:rsidRPr="00A4261D">
        <w:rPr>
          <w:rFonts w:cs="Arial"/>
          <w:sz w:val="22"/>
        </w:rPr>
        <w:t xml:space="preserve">, </w:t>
      </w:r>
      <w:r>
        <w:rPr>
          <w:rFonts w:cs="Arial"/>
          <w:sz w:val="22"/>
        </w:rPr>
        <w:t xml:space="preserve">however </w:t>
      </w:r>
      <w:r w:rsidRPr="00A4261D">
        <w:rPr>
          <w:rFonts w:cs="Arial"/>
          <w:sz w:val="22"/>
        </w:rPr>
        <w:t>some int</w:t>
      </w:r>
      <w:r>
        <w:rPr>
          <w:rFonts w:cs="Arial"/>
          <w:sz w:val="22"/>
        </w:rPr>
        <w:t>er</w:t>
      </w:r>
      <w:r w:rsidRPr="00A4261D">
        <w:rPr>
          <w:rFonts w:cs="Arial"/>
          <w:sz w:val="22"/>
        </w:rPr>
        <w:t>state travel may be required.</w:t>
      </w:r>
    </w:p>
    <w:p w:rsidR="009301AF" w:rsidRPr="00A4261D" w:rsidRDefault="009301AF" w:rsidP="003B0A4C">
      <w:pPr>
        <w:pStyle w:val="BodyText"/>
        <w:spacing w:before="0"/>
        <w:rPr>
          <w:rFonts w:cs="Arial"/>
          <w:sz w:val="22"/>
        </w:rPr>
      </w:pPr>
    </w:p>
    <w:p w:rsidR="001327D4" w:rsidRDefault="00726176" w:rsidP="00B5403C">
      <w:pPr>
        <w:pStyle w:val="Heading3"/>
      </w:pPr>
      <w:r>
        <w:t>Selection Criteria (</w:t>
      </w:r>
      <w:r w:rsidR="00D17EEE">
        <w:t>Knowledge and Skills</w:t>
      </w:r>
      <w:r>
        <w:t>)</w:t>
      </w:r>
      <w:r w:rsidR="00D17EEE">
        <w:t>:</w:t>
      </w:r>
    </w:p>
    <w:p w:rsidR="003E0CDE" w:rsidRDefault="003E0CDE" w:rsidP="009F6C23">
      <w:pPr>
        <w:pStyle w:val="BodyText"/>
        <w:rPr>
          <w:rFonts w:cs="Arial"/>
          <w:sz w:val="22"/>
        </w:rPr>
      </w:pPr>
      <w:r>
        <w:rPr>
          <w:rFonts w:cs="Arial"/>
          <w:sz w:val="22"/>
        </w:rPr>
        <w:t>The Department of State Growth in</w:t>
      </w:r>
      <w:r w:rsidR="00FE4958">
        <w:rPr>
          <w:rFonts w:cs="Arial"/>
          <w:sz w:val="22"/>
        </w:rPr>
        <w:t>sists on a collaborative and consultative approach, especially involving integrity, respect and openness in dealing with others and believes teamwork, effective communication and professionalism are essential in achieving higher quality outcomes.</w:t>
      </w:r>
    </w:p>
    <w:p w:rsidR="00E54A0B" w:rsidRPr="00FE4233" w:rsidRDefault="0080068E" w:rsidP="009301AF">
      <w:pPr>
        <w:pStyle w:val="numbers"/>
        <w:numPr>
          <w:ilvl w:val="0"/>
          <w:numId w:val="32"/>
        </w:numPr>
        <w:spacing w:after="120"/>
        <w:ind w:right="142"/>
        <w:rPr>
          <w:rFonts w:ascii="Gill Sans MT" w:hAnsi="Gill Sans MT" w:cstheme="minorHAnsi"/>
          <w:sz w:val="22"/>
          <w:szCs w:val="22"/>
          <w:lang w:val="en-AU"/>
        </w:rPr>
      </w:pPr>
      <w:r>
        <w:rPr>
          <w:rFonts w:ascii="Gill Sans MT" w:hAnsi="Gill Sans MT" w:cstheme="minorHAnsi"/>
          <w:sz w:val="22"/>
          <w:szCs w:val="22"/>
          <w:lang w:val="en-AU"/>
        </w:rPr>
        <w:t>High level capacity</w:t>
      </w:r>
      <w:r w:rsidR="00E54A0B" w:rsidRPr="00FE4233">
        <w:rPr>
          <w:rFonts w:ascii="Gill Sans MT" w:hAnsi="Gill Sans MT" w:cstheme="minorHAnsi"/>
          <w:sz w:val="22"/>
          <w:szCs w:val="22"/>
          <w:lang w:val="en-AU"/>
        </w:rPr>
        <w:t xml:space="preserve"> to research, analyse and identify emerging issues and associated risks in a finance/budget context, together with the ability to report to non-financial managers in a clear and concise manner.</w:t>
      </w:r>
    </w:p>
    <w:p w:rsidR="009301AF" w:rsidRPr="00FE4233" w:rsidRDefault="00FE4233" w:rsidP="009301AF">
      <w:pPr>
        <w:pStyle w:val="numbers"/>
        <w:numPr>
          <w:ilvl w:val="0"/>
          <w:numId w:val="32"/>
        </w:numPr>
        <w:spacing w:after="120"/>
        <w:ind w:right="142"/>
        <w:rPr>
          <w:rFonts w:ascii="Gill Sans MT" w:hAnsi="Gill Sans MT" w:cstheme="minorHAnsi"/>
          <w:sz w:val="22"/>
          <w:szCs w:val="22"/>
          <w:lang w:val="en-AU"/>
        </w:rPr>
      </w:pPr>
      <w:r>
        <w:rPr>
          <w:rFonts w:ascii="Gill Sans MT" w:hAnsi="Gill Sans MT" w:cstheme="minorHAnsi"/>
          <w:sz w:val="22"/>
          <w:szCs w:val="22"/>
          <w:lang w:val="en-AU"/>
        </w:rPr>
        <w:t>High level accounting skills, including d</w:t>
      </w:r>
      <w:r w:rsidR="009301AF" w:rsidRPr="00FE4233">
        <w:rPr>
          <w:rFonts w:ascii="Gill Sans MT" w:hAnsi="Gill Sans MT" w:cstheme="minorHAnsi"/>
          <w:sz w:val="22"/>
          <w:szCs w:val="22"/>
          <w:lang w:val="en-AU"/>
        </w:rPr>
        <w:t>etailed understanding of public sector financial management practices and budget processes and experience in the preparation, monitoring and reporting of Capital Investment Programs.</w:t>
      </w:r>
    </w:p>
    <w:p w:rsidR="00F10889" w:rsidRPr="00FE4233" w:rsidRDefault="00FE4233" w:rsidP="00F10889">
      <w:pPr>
        <w:pStyle w:val="ListParagraph"/>
        <w:numPr>
          <w:ilvl w:val="0"/>
          <w:numId w:val="32"/>
        </w:numPr>
        <w:tabs>
          <w:tab w:val="clear" w:pos="2835"/>
          <w:tab w:val="left" w:pos="-1440"/>
          <w:tab w:val="left" w:pos="-720"/>
        </w:tabs>
        <w:spacing w:before="0" w:line="240" w:lineRule="auto"/>
        <w:ind w:right="-1"/>
        <w:rPr>
          <w:rFonts w:eastAsia="Calibri" w:cstheme="minorHAnsi"/>
          <w:sz w:val="22"/>
        </w:rPr>
      </w:pPr>
      <w:r>
        <w:rPr>
          <w:rFonts w:eastAsia="Calibri" w:cstheme="minorHAnsi"/>
          <w:sz w:val="22"/>
        </w:rPr>
        <w:t>H</w:t>
      </w:r>
      <w:r w:rsidR="00F10889" w:rsidRPr="00FE4233">
        <w:rPr>
          <w:rFonts w:eastAsia="Calibri" w:cstheme="minorHAnsi"/>
          <w:sz w:val="22"/>
        </w:rPr>
        <w:t>ighly developed interpersonal skills with proven experience and ability in influencing, consulting and negotiating.</w:t>
      </w:r>
    </w:p>
    <w:p w:rsidR="009301AF" w:rsidRPr="00FE4233" w:rsidRDefault="00E54A0B" w:rsidP="009301AF">
      <w:pPr>
        <w:pStyle w:val="numbers"/>
        <w:numPr>
          <w:ilvl w:val="0"/>
          <w:numId w:val="32"/>
        </w:numPr>
        <w:spacing w:after="120"/>
        <w:ind w:right="142"/>
        <w:rPr>
          <w:rFonts w:ascii="Gill Sans MT" w:hAnsi="Gill Sans MT" w:cstheme="minorHAnsi"/>
          <w:sz w:val="22"/>
          <w:szCs w:val="22"/>
          <w:lang w:val="en-AU"/>
        </w:rPr>
      </w:pPr>
      <w:r w:rsidRPr="00FE4233">
        <w:rPr>
          <w:rFonts w:ascii="Gill Sans MT" w:hAnsi="Gill Sans MT" w:cstheme="minorHAnsi"/>
          <w:sz w:val="22"/>
          <w:szCs w:val="22"/>
          <w:lang w:val="en-AU"/>
        </w:rPr>
        <w:t xml:space="preserve">Demonstrated outcomes focus, together with </w:t>
      </w:r>
      <w:r w:rsidR="00FE4233">
        <w:rPr>
          <w:rFonts w:ascii="Gill Sans MT" w:eastAsia="Calibri" w:hAnsi="Gill Sans MT" w:cstheme="minorHAnsi"/>
          <w:sz w:val="22"/>
        </w:rPr>
        <w:t>s</w:t>
      </w:r>
      <w:r w:rsidR="00F10889" w:rsidRPr="00FE4233">
        <w:rPr>
          <w:rFonts w:ascii="Gill Sans MT" w:eastAsia="Calibri" w:hAnsi="Gill Sans MT" w:cstheme="minorHAnsi"/>
          <w:sz w:val="22"/>
        </w:rPr>
        <w:t>trategic and conceptual skills</w:t>
      </w:r>
      <w:r w:rsidRPr="00FE4233">
        <w:rPr>
          <w:rFonts w:ascii="Gill Sans MT" w:eastAsia="Calibri" w:hAnsi="Gill Sans MT" w:cstheme="minorHAnsi"/>
          <w:sz w:val="22"/>
        </w:rPr>
        <w:t>.</w:t>
      </w:r>
    </w:p>
    <w:p w:rsidR="00E54A0B" w:rsidRPr="00FE4233" w:rsidRDefault="0080068E" w:rsidP="00E54A0B">
      <w:pPr>
        <w:pStyle w:val="numbers"/>
        <w:numPr>
          <w:ilvl w:val="0"/>
          <w:numId w:val="32"/>
        </w:numPr>
        <w:spacing w:after="120"/>
        <w:ind w:right="142"/>
        <w:rPr>
          <w:rFonts w:ascii="Gill Sans MT" w:hAnsi="Gill Sans MT" w:cstheme="minorHAnsi"/>
          <w:sz w:val="22"/>
          <w:szCs w:val="22"/>
          <w:lang w:val="en-AU"/>
        </w:rPr>
      </w:pPr>
      <w:r>
        <w:rPr>
          <w:rFonts w:ascii="Gill Sans MT" w:hAnsi="Gill Sans MT" w:cstheme="minorHAnsi"/>
          <w:sz w:val="22"/>
          <w:szCs w:val="22"/>
          <w:lang w:val="en-AU"/>
        </w:rPr>
        <w:t>Extensive k</w:t>
      </w:r>
      <w:r w:rsidR="00E54A0B" w:rsidRPr="00FE4233">
        <w:rPr>
          <w:rFonts w:ascii="Gill Sans MT" w:hAnsi="Gill Sans MT" w:cstheme="minorHAnsi"/>
          <w:sz w:val="22"/>
          <w:szCs w:val="22"/>
          <w:lang w:val="en-AU"/>
        </w:rPr>
        <w:t>nowledge and experience in Finance systems administration with the proven ability to manage multiple tasks concurrently, meet deadlines, and adapt to changing situations.</w:t>
      </w:r>
    </w:p>
    <w:p w:rsidR="00E54A0B" w:rsidRPr="00190341" w:rsidRDefault="00E54A0B" w:rsidP="00E54A0B">
      <w:pPr>
        <w:pStyle w:val="numbers"/>
        <w:numPr>
          <w:ilvl w:val="0"/>
          <w:numId w:val="0"/>
        </w:numPr>
        <w:spacing w:after="120"/>
        <w:ind w:left="720" w:right="142"/>
        <w:rPr>
          <w:rFonts w:ascii="Gill Sans MT" w:hAnsi="Gill Sans MT"/>
          <w:sz w:val="22"/>
          <w:szCs w:val="22"/>
          <w:lang w:val="en-AU"/>
        </w:rPr>
      </w:pPr>
    </w:p>
    <w:p w:rsidR="009A1040" w:rsidRPr="00E02B5A" w:rsidRDefault="009A1040" w:rsidP="00F86C79">
      <w:pPr>
        <w:tabs>
          <w:tab w:val="clear" w:pos="2835"/>
        </w:tabs>
        <w:spacing w:before="0" w:after="0" w:line="240" w:lineRule="auto"/>
        <w:ind w:left="3261" w:right="-1" w:hanging="3261"/>
        <w:rPr>
          <w:rFonts w:cs="Arial"/>
          <w:bCs/>
          <w:sz w:val="22"/>
        </w:rPr>
      </w:pPr>
    </w:p>
    <w:p w:rsidR="006C2ED7" w:rsidRDefault="006C2ED7" w:rsidP="00E15171">
      <w:pPr>
        <w:pStyle w:val="Heading3"/>
      </w:pPr>
      <w:r>
        <w:t>Position Requirements</w:t>
      </w:r>
    </w:p>
    <w:p w:rsidR="00F86C79" w:rsidRPr="00E15171" w:rsidRDefault="00F86C79" w:rsidP="009F6C23">
      <w:pPr>
        <w:pStyle w:val="Heading4"/>
        <w:rPr>
          <w:rFonts w:ascii="Gill Sans MT" w:hAnsi="Gill Sans MT"/>
          <w:color w:val="auto"/>
          <w:sz w:val="22"/>
        </w:rPr>
      </w:pPr>
      <w:r w:rsidRPr="00E15171">
        <w:rPr>
          <w:rFonts w:ascii="Gill Sans MT" w:hAnsi="Gill Sans MT"/>
          <w:color w:val="auto"/>
          <w:sz w:val="22"/>
        </w:rPr>
        <w:t>Pre-employment</w:t>
      </w:r>
    </w:p>
    <w:p w:rsidR="00F86C79" w:rsidRPr="00C105FB" w:rsidRDefault="00F86C79" w:rsidP="009F6C23">
      <w:pPr>
        <w:pStyle w:val="BodyText"/>
        <w:spacing w:before="60" w:after="60"/>
        <w:rPr>
          <w:rFonts w:cs="Arial"/>
          <w:sz w:val="22"/>
        </w:rPr>
      </w:pPr>
      <w:r w:rsidRPr="00C105FB">
        <w:rPr>
          <w:rFonts w:cs="Arial"/>
          <w:sz w:val="22"/>
        </w:rPr>
        <w:t>The Head of the State Service has determined that the person nominated for this role is to satisfy a pre-employment check before taking up the appointment, promotion or transfer.  The following checks are to be conducted.</w:t>
      </w:r>
    </w:p>
    <w:p w:rsidR="00F86C79" w:rsidRPr="009301AF" w:rsidRDefault="00F86C79" w:rsidP="009301AF">
      <w:pPr>
        <w:pStyle w:val="ListParagraph"/>
        <w:numPr>
          <w:ilvl w:val="0"/>
          <w:numId w:val="30"/>
        </w:numPr>
        <w:tabs>
          <w:tab w:val="clear" w:pos="2835"/>
        </w:tabs>
        <w:spacing w:before="0" w:after="200"/>
        <w:rPr>
          <w:b/>
          <w:i/>
          <w:sz w:val="22"/>
        </w:rPr>
      </w:pPr>
      <w:r w:rsidRPr="009301AF">
        <w:rPr>
          <w:rFonts w:cs="Arial"/>
          <w:i/>
          <w:sz w:val="22"/>
        </w:rPr>
        <w:t>Nil</w:t>
      </w:r>
    </w:p>
    <w:p w:rsidR="00E15171" w:rsidRDefault="00E15171" w:rsidP="00E15171">
      <w:pPr>
        <w:pStyle w:val="Heading4"/>
        <w:rPr>
          <w:rFonts w:ascii="Gill Sans MT" w:hAnsi="Gill Sans MT"/>
          <w:color w:val="auto"/>
          <w:sz w:val="22"/>
        </w:rPr>
      </w:pPr>
      <w:r>
        <w:rPr>
          <w:rFonts w:ascii="Gill Sans MT" w:hAnsi="Gill Sans MT"/>
          <w:color w:val="auto"/>
          <w:sz w:val="22"/>
        </w:rPr>
        <w:t>Essential</w:t>
      </w:r>
    </w:p>
    <w:p w:rsidR="00F86C79" w:rsidRPr="00F86C79" w:rsidRDefault="00F86C79" w:rsidP="009F6C23">
      <w:pPr>
        <w:numPr>
          <w:ilvl w:val="12"/>
          <w:numId w:val="0"/>
        </w:numPr>
        <w:spacing w:before="60" w:after="0"/>
        <w:ind w:right="397"/>
        <w:rPr>
          <w:rFonts w:cs="Arial"/>
          <w:sz w:val="22"/>
          <w:lang w:eastAsia="en-AU"/>
        </w:rPr>
      </w:pPr>
      <w:r w:rsidRPr="00F86C79">
        <w:rPr>
          <w:rFonts w:cs="Arial"/>
          <w:sz w:val="22"/>
          <w:lang w:eastAsia="en-AU"/>
        </w:rPr>
        <w:t>Evidence of the following must be provided prior to appointment to this role:</w:t>
      </w:r>
    </w:p>
    <w:p w:rsidR="00F86C79" w:rsidRPr="009301AF" w:rsidRDefault="009301AF" w:rsidP="009301AF">
      <w:pPr>
        <w:pStyle w:val="ListParagraph"/>
        <w:numPr>
          <w:ilvl w:val="0"/>
          <w:numId w:val="30"/>
        </w:numPr>
        <w:spacing w:line="240" w:lineRule="auto"/>
        <w:ind w:right="397"/>
        <w:rPr>
          <w:rFonts w:cs="Arial"/>
          <w:bCs/>
          <w:i/>
          <w:sz w:val="22"/>
        </w:rPr>
      </w:pPr>
      <w:r w:rsidRPr="009301AF">
        <w:rPr>
          <w:rFonts w:cs="Arial"/>
          <w:i/>
          <w:sz w:val="22"/>
        </w:rPr>
        <w:t>Nil</w:t>
      </w:r>
    </w:p>
    <w:p w:rsidR="00F86C79" w:rsidRPr="001A06E6" w:rsidRDefault="00F86C79" w:rsidP="00B5403C">
      <w:pPr>
        <w:pStyle w:val="NoSpacing"/>
        <w:rPr>
          <w:sz w:val="22"/>
        </w:rPr>
      </w:pPr>
      <w:r w:rsidRPr="001A06E6">
        <w:rPr>
          <w:sz w:val="22"/>
        </w:rPr>
        <w:lastRenderedPageBreak/>
        <w:t>The person must continue to satisfy the above essential requirements/qualifications throughout their employment in this role.</w:t>
      </w:r>
    </w:p>
    <w:p w:rsidR="00CD42F8" w:rsidRDefault="00E15171" w:rsidP="009F6C23">
      <w:pPr>
        <w:pStyle w:val="Heading4"/>
        <w:rPr>
          <w:rFonts w:ascii="Gill Sans MT" w:hAnsi="Gill Sans MT"/>
          <w:color w:val="auto"/>
          <w:sz w:val="22"/>
        </w:rPr>
      </w:pPr>
      <w:r>
        <w:rPr>
          <w:rFonts w:ascii="Gill Sans MT" w:hAnsi="Gill Sans MT"/>
          <w:color w:val="auto"/>
          <w:sz w:val="22"/>
        </w:rPr>
        <w:t>Desirable</w:t>
      </w:r>
    </w:p>
    <w:p w:rsidR="00C648C9" w:rsidRPr="009301AF" w:rsidRDefault="00E54A0B" w:rsidP="009301AF">
      <w:pPr>
        <w:pStyle w:val="ListParagraph"/>
        <w:numPr>
          <w:ilvl w:val="0"/>
          <w:numId w:val="30"/>
        </w:numPr>
        <w:tabs>
          <w:tab w:val="clear" w:pos="2835"/>
        </w:tabs>
        <w:spacing w:before="0" w:after="200"/>
        <w:rPr>
          <w:b/>
          <w:i/>
          <w:sz w:val="22"/>
        </w:rPr>
      </w:pPr>
      <w:r w:rsidRPr="00E54A0B">
        <w:rPr>
          <w:rFonts w:cs="Arial"/>
          <w:sz w:val="22"/>
        </w:rPr>
        <w:t>Tertiary qualifications in a finance related discipline</w:t>
      </w:r>
      <w:r>
        <w:rPr>
          <w:rFonts w:cs="Arial"/>
          <w:i/>
          <w:sz w:val="22"/>
        </w:rPr>
        <w:t>.</w:t>
      </w:r>
    </w:p>
    <w:p w:rsidR="009A1040" w:rsidRDefault="009A1040" w:rsidP="00F87DED">
      <w:pPr>
        <w:pStyle w:val="Heading3"/>
        <w:spacing w:before="0" w:after="0" w:line="240" w:lineRule="auto"/>
      </w:pPr>
    </w:p>
    <w:p w:rsidR="00D0799A" w:rsidRDefault="00D0799A" w:rsidP="00F87DED">
      <w:pPr>
        <w:pStyle w:val="Heading3"/>
        <w:spacing w:before="0" w:after="0" w:line="240" w:lineRule="auto"/>
      </w:pPr>
      <w:r>
        <w:t>Working at State Growth</w:t>
      </w:r>
    </w:p>
    <w:p w:rsidR="003B0A4C" w:rsidRPr="00A4261D" w:rsidRDefault="003B0A4C" w:rsidP="003B0A4C">
      <w:pPr>
        <w:pStyle w:val="BodyText"/>
        <w:rPr>
          <w:rFonts w:cs="Arial"/>
          <w:sz w:val="22"/>
        </w:rPr>
      </w:pPr>
      <w:r w:rsidRPr="00A4261D">
        <w:rPr>
          <w:rFonts w:cs="Arial"/>
          <w:sz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rsidR="003B0A4C" w:rsidRPr="00A4261D" w:rsidRDefault="003B0A4C" w:rsidP="003B0A4C">
      <w:pPr>
        <w:pStyle w:val="BodyText"/>
        <w:rPr>
          <w:rFonts w:cs="Arial"/>
          <w:sz w:val="22"/>
        </w:rPr>
      </w:pPr>
      <w:r w:rsidRPr="00A4261D">
        <w:rPr>
          <w:rFonts w:cs="Arial"/>
          <w:sz w:val="22"/>
        </w:rPr>
        <w:t xml:space="preserve">The </w:t>
      </w:r>
      <w:hyperlink r:id="rId8" w:history="1">
        <w:r>
          <w:rPr>
            <w:rStyle w:val="Hyperlink"/>
            <w:rFonts w:cs="Arial"/>
            <w:sz w:val="22"/>
          </w:rPr>
          <w:t>Department’s website (http://www.stategrowth.tas.gov.au/)</w:t>
        </w:r>
      </w:hyperlink>
      <w:r w:rsidRPr="00A4261D">
        <w:rPr>
          <w:rFonts w:cs="Arial"/>
          <w:sz w:val="22"/>
        </w:rPr>
        <w:t xml:space="preserve"> provides more information.</w:t>
      </w:r>
    </w:p>
    <w:p w:rsidR="00D0799A" w:rsidRPr="00C67374" w:rsidRDefault="00D0799A" w:rsidP="00D0799A">
      <w:pPr>
        <w:pStyle w:val="BodyText"/>
        <w:ind w:right="43"/>
        <w:jc w:val="both"/>
        <w:rPr>
          <w:rFonts w:cs="Arial"/>
          <w:sz w:val="22"/>
        </w:rPr>
      </w:pPr>
      <w:r w:rsidRPr="00C67374">
        <w:rPr>
          <w:rFonts w:cs="Arial"/>
          <w:sz w:val="22"/>
        </w:rPr>
        <w:t xml:space="preserve">State Growth aims to attract, recruit and retain people who will uphold our values and are committed to building a strong values based culture.  Our values and behaviours reflect what we consider to be important, that is </w:t>
      </w:r>
    </w:p>
    <w:p w:rsidR="00D0799A" w:rsidRPr="00121056" w:rsidRDefault="00D0799A" w:rsidP="00D0799A">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rsidR="00D0799A" w:rsidRPr="00121056" w:rsidRDefault="00D0799A" w:rsidP="00D0799A">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our teams are diverse, caring and productive</w:t>
      </w:r>
    </w:p>
    <w:p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we are fair, trusting and appreciative</w:t>
      </w:r>
    </w:p>
    <w:p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rsidR="00D0799A" w:rsidRPr="00121056" w:rsidRDefault="00D0799A" w:rsidP="00D0799A">
      <w:pPr>
        <w:numPr>
          <w:ilvl w:val="0"/>
          <w:numId w:val="19"/>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do</w:t>
      </w:r>
    </w:p>
    <w:p w:rsidR="002E221A" w:rsidRDefault="002E221A" w:rsidP="002E221A">
      <w:pPr>
        <w:pStyle w:val="BodyText"/>
        <w:ind w:right="43"/>
        <w:jc w:val="both"/>
        <w:rPr>
          <w:rFonts w:cs="Arial"/>
          <w:sz w:val="22"/>
        </w:rPr>
      </w:pPr>
      <w:r w:rsidRPr="00EF18AB">
        <w:rPr>
          <w:rFonts w:cs="Arial"/>
          <w:sz w:val="22"/>
        </w:rPr>
        <w:t xml:space="preserve">We value diversity </w:t>
      </w:r>
      <w:r w:rsidR="00B8360D">
        <w:rPr>
          <w:rFonts w:cs="Arial"/>
          <w:sz w:val="22"/>
        </w:rPr>
        <w:t>and promote an inclusive workplace, recognising</w:t>
      </w:r>
      <w:r w:rsidRPr="00EF18AB">
        <w:rPr>
          <w:rFonts w:cs="Arial"/>
          <w:sz w:val="22"/>
        </w:rPr>
        <w:t xml:space="preserve"> </w:t>
      </w:r>
      <w:r w:rsidR="00B8360D">
        <w:rPr>
          <w:rFonts w:cs="Arial"/>
          <w:sz w:val="22"/>
        </w:rPr>
        <w:t>individuals</w:t>
      </w:r>
      <w:r w:rsidRPr="00EF18AB">
        <w:rPr>
          <w:rFonts w:cs="Arial"/>
          <w:sz w:val="22"/>
        </w:rPr>
        <w:t xml:space="preserve"> </w:t>
      </w:r>
      <w:r w:rsidR="00B8360D">
        <w:rPr>
          <w:rFonts w:cs="Arial"/>
          <w:sz w:val="22"/>
        </w:rPr>
        <w:t>for their</w:t>
      </w:r>
      <w:r w:rsidRPr="00EF18AB">
        <w:rPr>
          <w:rFonts w:cs="Arial"/>
          <w:sz w:val="22"/>
        </w:rPr>
        <w:t xml:space="preserve"> unique characteristics, background, experiences, knowledge, skills, values and perspectives.</w:t>
      </w:r>
      <w:r>
        <w:rPr>
          <w:rFonts w:cs="Arial"/>
          <w:sz w:val="22"/>
        </w:rPr>
        <w:t xml:space="preserve">  </w:t>
      </w:r>
    </w:p>
    <w:p w:rsidR="00D0799A" w:rsidRDefault="00D0799A" w:rsidP="00D0799A">
      <w:pPr>
        <w:pStyle w:val="BodyText"/>
        <w:ind w:right="43"/>
        <w:jc w:val="both"/>
        <w:rPr>
          <w:rFonts w:cs="Arial"/>
          <w:sz w:val="22"/>
        </w:rPr>
      </w:pPr>
      <w:r w:rsidRPr="00EF18AB">
        <w:rPr>
          <w:rFonts w:cs="Arial"/>
          <w:sz w:val="22"/>
        </w:rPr>
        <w:t xml:space="preserve">We are committed to high standards of performance </w:t>
      </w:r>
      <w:r w:rsidR="002E221A">
        <w:rPr>
          <w:rFonts w:cs="Arial"/>
          <w:sz w:val="22"/>
        </w:rPr>
        <w:t>relating to Workplace Health and Safety and a</w:t>
      </w:r>
      <w:r w:rsidRPr="00EF18AB">
        <w:rPr>
          <w:rFonts w:cs="Arial"/>
          <w:sz w:val="22"/>
        </w:rPr>
        <w:t>ll employees are expected to participate in maintaining safe working conditions and practice</w:t>
      </w:r>
      <w:r w:rsidR="002E221A">
        <w:rPr>
          <w:rFonts w:cs="Arial"/>
          <w:sz w:val="22"/>
        </w:rPr>
        <w:t>s.</w:t>
      </w:r>
      <w:r w:rsidRPr="00EF18AB">
        <w:rPr>
          <w:rFonts w:cs="Arial"/>
          <w:sz w:val="22"/>
        </w:rPr>
        <w:t xml:space="preserve"> </w:t>
      </w:r>
    </w:p>
    <w:p w:rsidR="00D0799A" w:rsidRDefault="00D0799A" w:rsidP="00D0799A">
      <w:pPr>
        <w:pStyle w:val="BodyText"/>
        <w:ind w:right="43"/>
        <w:jc w:val="both"/>
        <w:rPr>
          <w:rStyle w:val="Hyperlink"/>
          <w:rFonts w:cs="Arial"/>
          <w:sz w:val="22"/>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hyperlink r:id="rId9" w:history="1">
        <w:r>
          <w:rPr>
            <w:rStyle w:val="Hyperlink"/>
            <w:rFonts w:cs="Arial"/>
            <w:sz w:val="22"/>
          </w:rPr>
          <w:t>State Service Management Office (www.dpac.tas.gov.au/divisions/ssmo)</w:t>
        </w:r>
      </w:hyperlink>
    </w:p>
    <w:p w:rsidR="00E21FA5" w:rsidRPr="003C0EF6" w:rsidRDefault="00E21FA5" w:rsidP="00E21FA5">
      <w:pPr>
        <w:pStyle w:val="BodyText"/>
        <w:spacing w:after="0"/>
        <w:jc w:val="both"/>
        <w:rPr>
          <w:rFonts w:cs="Arial"/>
          <w:sz w:val="22"/>
          <w:highlight w:val="cyan"/>
        </w:rPr>
      </w:pPr>
    </w:p>
    <w:p w:rsidR="00185BDA" w:rsidRDefault="00185BDA" w:rsidP="00DE517B">
      <w:pPr>
        <w:pBdr>
          <w:top w:val="single" w:sz="4" w:space="1" w:color="auto"/>
        </w:pBdr>
        <w:spacing w:before="0" w:after="0"/>
        <w:rPr>
          <w:sz w:val="22"/>
        </w:rPr>
      </w:pPr>
    </w:p>
    <w:p w:rsidR="00BE7277" w:rsidRPr="001327D4" w:rsidRDefault="00BE7277" w:rsidP="00DE517B">
      <w:pPr>
        <w:pBdr>
          <w:top w:val="single" w:sz="4" w:space="1" w:color="auto"/>
        </w:pBdr>
        <w:spacing w:before="0" w:after="0"/>
        <w:rPr>
          <w:sz w:val="22"/>
        </w:rPr>
      </w:pPr>
    </w:p>
    <w:sectPr w:rsidR="00BE7277" w:rsidRPr="001327D4" w:rsidSect="00D0799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56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7CE" w:rsidRDefault="003A77CE" w:rsidP="00BC49A5">
      <w:r>
        <w:separator/>
      </w:r>
    </w:p>
  </w:endnote>
  <w:endnote w:type="continuationSeparator" w:id="0">
    <w:p w:rsidR="003A77CE" w:rsidRDefault="003A77CE"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294795"/>
      <w:docPartObj>
        <w:docPartGallery w:val="Page Numbers (Bottom of Page)"/>
        <w:docPartUnique/>
      </w:docPartObj>
    </w:sdtPr>
    <w:sdtEndPr>
      <w:rPr>
        <w:noProof/>
      </w:rPr>
    </w:sdtEndPr>
    <w:sdtContent>
      <w:p w:rsidR="007F73E6" w:rsidRDefault="00CC6B72" w:rsidP="006C2ED7">
        <w:pPr>
          <w:pStyle w:val="Footer"/>
          <w:tabs>
            <w:tab w:val="clear" w:pos="4513"/>
            <w:tab w:val="center" w:pos="8222"/>
          </w:tabs>
        </w:pPr>
        <w:r>
          <w:t xml:space="preserve">Department of </w:t>
        </w:r>
        <w:r w:rsidR="006C2ED7">
          <w:t>State Growth</w:t>
        </w:r>
        <w:r w:rsidR="007F73E6">
          <w:tab/>
        </w:r>
        <w:r w:rsidR="007F73E6">
          <w:fldChar w:fldCharType="begin"/>
        </w:r>
        <w:r w:rsidR="007F73E6">
          <w:instrText xml:space="preserve"> PAGE   \* MERGEFORMAT </w:instrText>
        </w:r>
        <w:r w:rsidR="007F73E6">
          <w:fldChar w:fldCharType="separate"/>
        </w:r>
        <w:r w:rsidR="00E93DBA">
          <w:rPr>
            <w:noProof/>
          </w:rPr>
          <w:t>1</w:t>
        </w:r>
        <w:r w:rsidR="007F73E6">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7CE" w:rsidRDefault="003A77CE" w:rsidP="00BC49A5">
      <w:r>
        <w:separator/>
      </w:r>
    </w:p>
  </w:footnote>
  <w:footnote w:type="continuationSeparator" w:id="0">
    <w:p w:rsidR="003A77CE" w:rsidRDefault="003A77CE" w:rsidP="00BC4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AF156E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2F4711"/>
    <w:multiLevelType w:val="singleLevel"/>
    <w:tmpl w:val="153A9352"/>
    <w:lvl w:ilvl="0">
      <w:start w:val="1"/>
      <w:numFmt w:val="decimal"/>
      <w:pStyle w:val="numbers"/>
      <w:lvlText w:val="%1."/>
      <w:lvlJc w:val="left"/>
      <w:pPr>
        <w:tabs>
          <w:tab w:val="num" w:pos="720"/>
        </w:tabs>
        <w:ind w:left="720" w:hanging="720"/>
      </w:pPr>
    </w:lvl>
  </w:abstractNum>
  <w:abstractNum w:abstractNumId="7"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6D666C"/>
    <w:multiLevelType w:val="hybridMultilevel"/>
    <w:tmpl w:val="ACA48D8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36E2473C"/>
    <w:multiLevelType w:val="hybridMultilevel"/>
    <w:tmpl w:val="F5EC0B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514F85"/>
    <w:multiLevelType w:val="hybridMultilevel"/>
    <w:tmpl w:val="AEAA44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091844"/>
    <w:multiLevelType w:val="hybridMultilevel"/>
    <w:tmpl w:val="59F474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3" w15:restartNumberingAfterBreak="0">
    <w:nsid w:val="428E7408"/>
    <w:multiLevelType w:val="hybridMultilevel"/>
    <w:tmpl w:val="61A0B41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5"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B3E607F"/>
    <w:multiLevelType w:val="hybridMultilevel"/>
    <w:tmpl w:val="4952453A"/>
    <w:lvl w:ilvl="0" w:tplc="0CBE4C7C">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9"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7"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8"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76BBD"/>
    <w:multiLevelType w:val="hybridMultilevel"/>
    <w:tmpl w:val="F8929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9"/>
  </w:num>
  <w:num w:numId="4">
    <w:abstractNumId w:val="7"/>
  </w:num>
  <w:num w:numId="5">
    <w:abstractNumId w:val="2"/>
  </w:num>
  <w:num w:numId="6">
    <w:abstractNumId w:val="29"/>
  </w:num>
  <w:num w:numId="7">
    <w:abstractNumId w:val="5"/>
  </w:num>
  <w:num w:numId="8">
    <w:abstractNumId w:val="32"/>
  </w:num>
  <w:num w:numId="9">
    <w:abstractNumId w:val="3"/>
  </w:num>
  <w:num w:numId="10">
    <w:abstractNumId w:val="0"/>
  </w:num>
  <w:num w:numId="11">
    <w:abstractNumId w:val="18"/>
  </w:num>
  <w:num w:numId="12">
    <w:abstractNumId w:val="1"/>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7"/>
  </w:num>
  <w:num w:numId="16">
    <w:abstractNumId w:val="14"/>
  </w:num>
  <w:num w:numId="17">
    <w:abstractNumId w:val="21"/>
  </w:num>
  <w:num w:numId="18">
    <w:abstractNumId w:val="22"/>
  </w:num>
  <w:num w:numId="19">
    <w:abstractNumId w:val="20"/>
  </w:num>
  <w:num w:numId="20">
    <w:abstractNumId w:val="28"/>
  </w:num>
  <w:num w:numId="21">
    <w:abstractNumId w:val="25"/>
  </w:num>
  <w:num w:numId="22">
    <w:abstractNumId w:val="15"/>
  </w:num>
  <w:num w:numId="23">
    <w:abstractNumId w:val="12"/>
  </w:num>
  <w:num w:numId="24">
    <w:abstractNumId w:val="31"/>
  </w:num>
  <w:num w:numId="25">
    <w:abstractNumId w:val="6"/>
  </w:num>
  <w:num w:numId="26">
    <w:abstractNumId w:val="4"/>
  </w:num>
  <w:num w:numId="27">
    <w:abstractNumId w:val="30"/>
  </w:num>
  <w:num w:numId="28">
    <w:abstractNumId w:val="11"/>
  </w:num>
  <w:num w:numId="29">
    <w:abstractNumId w:val="10"/>
  </w:num>
  <w:num w:numId="30">
    <w:abstractNumId w:val="8"/>
  </w:num>
  <w:num w:numId="31">
    <w:abstractNumId w:val="6"/>
  </w:num>
  <w:num w:numId="32">
    <w:abstractNumId w:val="9"/>
  </w:num>
  <w:num w:numId="33">
    <w:abstractNumId w:val="1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30505"/>
    <w:rsid w:val="000436F6"/>
    <w:rsid w:val="00051D67"/>
    <w:rsid w:val="000542EF"/>
    <w:rsid w:val="00066D45"/>
    <w:rsid w:val="00085651"/>
    <w:rsid w:val="00085E70"/>
    <w:rsid w:val="00094E6B"/>
    <w:rsid w:val="000A687B"/>
    <w:rsid w:val="000D117E"/>
    <w:rsid w:val="000F20E3"/>
    <w:rsid w:val="001067A0"/>
    <w:rsid w:val="001165AA"/>
    <w:rsid w:val="00121056"/>
    <w:rsid w:val="001327D4"/>
    <w:rsid w:val="00135B2D"/>
    <w:rsid w:val="00140223"/>
    <w:rsid w:val="0016305A"/>
    <w:rsid w:val="001658D9"/>
    <w:rsid w:val="0017690F"/>
    <w:rsid w:val="00185BDA"/>
    <w:rsid w:val="00186BB1"/>
    <w:rsid w:val="00190341"/>
    <w:rsid w:val="001947A1"/>
    <w:rsid w:val="00194A48"/>
    <w:rsid w:val="00194B22"/>
    <w:rsid w:val="001963E4"/>
    <w:rsid w:val="001A06E6"/>
    <w:rsid w:val="001A4B29"/>
    <w:rsid w:val="001A4CA3"/>
    <w:rsid w:val="001A7FED"/>
    <w:rsid w:val="001C06F8"/>
    <w:rsid w:val="001E7B7E"/>
    <w:rsid w:val="00220996"/>
    <w:rsid w:val="00226289"/>
    <w:rsid w:val="002506A1"/>
    <w:rsid w:val="00263E12"/>
    <w:rsid w:val="0027099F"/>
    <w:rsid w:val="002804C0"/>
    <w:rsid w:val="00285365"/>
    <w:rsid w:val="002A584C"/>
    <w:rsid w:val="002B256E"/>
    <w:rsid w:val="002E221A"/>
    <w:rsid w:val="002E33F1"/>
    <w:rsid w:val="003058D6"/>
    <w:rsid w:val="00331842"/>
    <w:rsid w:val="003420FF"/>
    <w:rsid w:val="00360930"/>
    <w:rsid w:val="0036495E"/>
    <w:rsid w:val="00371F59"/>
    <w:rsid w:val="00391075"/>
    <w:rsid w:val="003951E9"/>
    <w:rsid w:val="0039695F"/>
    <w:rsid w:val="003A36D1"/>
    <w:rsid w:val="003A77CE"/>
    <w:rsid w:val="003B0A4C"/>
    <w:rsid w:val="003C5DE2"/>
    <w:rsid w:val="003E0CDE"/>
    <w:rsid w:val="003F442E"/>
    <w:rsid w:val="00411FA3"/>
    <w:rsid w:val="00417933"/>
    <w:rsid w:val="00486C56"/>
    <w:rsid w:val="00490402"/>
    <w:rsid w:val="004C6D50"/>
    <w:rsid w:val="004F2DAF"/>
    <w:rsid w:val="00523008"/>
    <w:rsid w:val="00540BBA"/>
    <w:rsid w:val="00542542"/>
    <w:rsid w:val="00547824"/>
    <w:rsid w:val="005864CE"/>
    <w:rsid w:val="005A1849"/>
    <w:rsid w:val="005D5969"/>
    <w:rsid w:val="00600395"/>
    <w:rsid w:val="00623F92"/>
    <w:rsid w:val="00626D9C"/>
    <w:rsid w:val="006343FE"/>
    <w:rsid w:val="00646492"/>
    <w:rsid w:val="00697962"/>
    <w:rsid w:val="006A23DC"/>
    <w:rsid w:val="006B623C"/>
    <w:rsid w:val="006C2ED7"/>
    <w:rsid w:val="006F2AF5"/>
    <w:rsid w:val="00703D04"/>
    <w:rsid w:val="00710239"/>
    <w:rsid w:val="00712B9C"/>
    <w:rsid w:val="00713184"/>
    <w:rsid w:val="00726176"/>
    <w:rsid w:val="00743A19"/>
    <w:rsid w:val="00751A0E"/>
    <w:rsid w:val="00794567"/>
    <w:rsid w:val="007B61E0"/>
    <w:rsid w:val="007C2B83"/>
    <w:rsid w:val="007F73E6"/>
    <w:rsid w:val="0080068E"/>
    <w:rsid w:val="00805347"/>
    <w:rsid w:val="008171F0"/>
    <w:rsid w:val="00822C14"/>
    <w:rsid w:val="00840A9D"/>
    <w:rsid w:val="008728F7"/>
    <w:rsid w:val="008732A5"/>
    <w:rsid w:val="00877B74"/>
    <w:rsid w:val="00890123"/>
    <w:rsid w:val="008B26CF"/>
    <w:rsid w:val="008F1AEF"/>
    <w:rsid w:val="008F3009"/>
    <w:rsid w:val="008F3F19"/>
    <w:rsid w:val="00905B48"/>
    <w:rsid w:val="009301AF"/>
    <w:rsid w:val="0093612C"/>
    <w:rsid w:val="00946348"/>
    <w:rsid w:val="00956D67"/>
    <w:rsid w:val="009601AD"/>
    <w:rsid w:val="00967EC2"/>
    <w:rsid w:val="009843BC"/>
    <w:rsid w:val="00997371"/>
    <w:rsid w:val="009A1040"/>
    <w:rsid w:val="009A65F9"/>
    <w:rsid w:val="009B4518"/>
    <w:rsid w:val="009C299E"/>
    <w:rsid w:val="009C31F1"/>
    <w:rsid w:val="009D522C"/>
    <w:rsid w:val="009F6C23"/>
    <w:rsid w:val="00A124DA"/>
    <w:rsid w:val="00A27736"/>
    <w:rsid w:val="00A355B8"/>
    <w:rsid w:val="00A44F84"/>
    <w:rsid w:val="00A47F85"/>
    <w:rsid w:val="00A55D4F"/>
    <w:rsid w:val="00A70503"/>
    <w:rsid w:val="00A8213E"/>
    <w:rsid w:val="00A87A2B"/>
    <w:rsid w:val="00A93A80"/>
    <w:rsid w:val="00AC5F3A"/>
    <w:rsid w:val="00AC6312"/>
    <w:rsid w:val="00B232E2"/>
    <w:rsid w:val="00B5403C"/>
    <w:rsid w:val="00B6253B"/>
    <w:rsid w:val="00B8360D"/>
    <w:rsid w:val="00B917C0"/>
    <w:rsid w:val="00B95AA5"/>
    <w:rsid w:val="00BB000F"/>
    <w:rsid w:val="00BB1930"/>
    <w:rsid w:val="00BB79E6"/>
    <w:rsid w:val="00BC49A5"/>
    <w:rsid w:val="00BD238B"/>
    <w:rsid w:val="00BE0907"/>
    <w:rsid w:val="00BE7277"/>
    <w:rsid w:val="00BF28DD"/>
    <w:rsid w:val="00C105FB"/>
    <w:rsid w:val="00C12643"/>
    <w:rsid w:val="00C538DE"/>
    <w:rsid w:val="00C648C9"/>
    <w:rsid w:val="00C77318"/>
    <w:rsid w:val="00C96242"/>
    <w:rsid w:val="00CC6B72"/>
    <w:rsid w:val="00CD15B0"/>
    <w:rsid w:val="00CD42F8"/>
    <w:rsid w:val="00CE44EE"/>
    <w:rsid w:val="00D0096D"/>
    <w:rsid w:val="00D0799A"/>
    <w:rsid w:val="00D17EEE"/>
    <w:rsid w:val="00D21223"/>
    <w:rsid w:val="00D72CDA"/>
    <w:rsid w:val="00D74D9D"/>
    <w:rsid w:val="00D935B9"/>
    <w:rsid w:val="00DD1205"/>
    <w:rsid w:val="00DE517B"/>
    <w:rsid w:val="00DF30F2"/>
    <w:rsid w:val="00DF4AC4"/>
    <w:rsid w:val="00E02B5A"/>
    <w:rsid w:val="00E15171"/>
    <w:rsid w:val="00E216F6"/>
    <w:rsid w:val="00E21FA5"/>
    <w:rsid w:val="00E537CB"/>
    <w:rsid w:val="00E54A0B"/>
    <w:rsid w:val="00E9334F"/>
    <w:rsid w:val="00E936C5"/>
    <w:rsid w:val="00E93DBA"/>
    <w:rsid w:val="00E96058"/>
    <w:rsid w:val="00EB220A"/>
    <w:rsid w:val="00ED32A9"/>
    <w:rsid w:val="00F10889"/>
    <w:rsid w:val="00F2463C"/>
    <w:rsid w:val="00F72184"/>
    <w:rsid w:val="00F821D2"/>
    <w:rsid w:val="00F86C79"/>
    <w:rsid w:val="00F87DED"/>
    <w:rsid w:val="00FC6745"/>
    <w:rsid w:val="00FE4144"/>
    <w:rsid w:val="00FE4233"/>
    <w:rsid w:val="00FE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customStyle="1" w:styleId="numbers">
    <w:name w:val="numbers"/>
    <w:basedOn w:val="Normal"/>
    <w:rsid w:val="009301AF"/>
    <w:pPr>
      <w:numPr>
        <w:numId w:val="25"/>
      </w:numPr>
      <w:tabs>
        <w:tab w:val="clear" w:pos="2835"/>
      </w:tabs>
      <w:spacing w:before="0" w:after="240" w:line="240" w:lineRule="auto"/>
      <w:jc w:val="both"/>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40C82-975D-4134-811A-6ABF1700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Mark</dc:creator>
  <cp:lastModifiedBy>Herweynen, Tracy</cp:lastModifiedBy>
  <cp:revision>2</cp:revision>
  <cp:lastPrinted>2017-12-14T22:29:00Z</cp:lastPrinted>
  <dcterms:created xsi:type="dcterms:W3CDTF">2018-01-08T00:51:00Z</dcterms:created>
  <dcterms:modified xsi:type="dcterms:W3CDTF">2018-01-08T00:51:00Z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