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8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6561"/>
      </w:tblGrid>
      <w:tr w:rsidR="008173D5" w:rsidRPr="00CC78FD" w14:paraId="547A5D56" w14:textId="77777777" w:rsidTr="00CC78FD">
        <w:tc>
          <w:tcPr>
            <w:tcW w:w="4026" w:type="dxa"/>
            <w:tcBorders>
              <w:top w:val="single" w:sz="8" w:space="0" w:color="auto"/>
              <w:left w:val="nil"/>
              <w:bottom w:val="nil"/>
              <w:right w:val="nil"/>
              <w:tl2br w:val="nil"/>
              <w:tr2bl w:val="nil"/>
            </w:tcBorders>
            <w:shd w:val="clear" w:color="auto" w:fill="00A88F"/>
            <w:vAlign w:val="center"/>
          </w:tcPr>
          <w:p w14:paraId="37EB7D6E" w14:textId="77777777" w:rsidR="008173D5" w:rsidRPr="00CC78FD" w:rsidRDefault="008173D5" w:rsidP="008173D5">
            <w:pPr>
              <w:pStyle w:val="TableTextWhite"/>
              <w:rPr>
                <w:b/>
              </w:rPr>
            </w:pPr>
            <w:r w:rsidRPr="00BD3F7E">
              <w:rPr>
                <w:b/>
              </w:rPr>
              <w:t>Network</w:t>
            </w:r>
          </w:p>
        </w:tc>
        <w:tc>
          <w:tcPr>
            <w:tcW w:w="6561" w:type="dxa"/>
            <w:tcBorders>
              <w:top w:val="single" w:sz="8" w:space="0" w:color="auto"/>
              <w:left w:val="nil"/>
              <w:bottom w:val="nil"/>
              <w:right w:val="nil"/>
              <w:tl2br w:val="nil"/>
              <w:tr2bl w:val="nil"/>
            </w:tcBorders>
            <w:shd w:val="clear" w:color="auto" w:fill="00A88F"/>
          </w:tcPr>
          <w:p w14:paraId="6037B728" w14:textId="6B066530" w:rsidR="008173D5" w:rsidRPr="00844ACF" w:rsidRDefault="008173D5" w:rsidP="008173D5">
            <w:pPr>
              <w:pStyle w:val="TableTextWhite"/>
              <w:rPr>
                <w:b/>
                <w:bCs/>
              </w:rPr>
            </w:pPr>
            <w:r w:rsidRPr="009D5D8E">
              <w:rPr>
                <w:b/>
              </w:rPr>
              <w:t>Climate Change, Energy, the Environment and Water</w:t>
            </w:r>
          </w:p>
        </w:tc>
      </w:tr>
      <w:tr w:rsidR="006D730A" w:rsidRPr="00CC78FD" w14:paraId="6FA5BF92" w14:textId="77777777" w:rsidTr="00CC78FD">
        <w:tc>
          <w:tcPr>
            <w:tcW w:w="4026" w:type="dxa"/>
            <w:shd w:val="clear" w:color="auto" w:fill="00A88F"/>
            <w:vAlign w:val="center"/>
          </w:tcPr>
          <w:p w14:paraId="755B83FB" w14:textId="77777777" w:rsidR="006D730A" w:rsidRPr="00CC78FD" w:rsidRDefault="006D730A" w:rsidP="00DC0173">
            <w:pPr>
              <w:pStyle w:val="TableTextWhite"/>
              <w:rPr>
                <w:b/>
              </w:rPr>
            </w:pPr>
            <w:r w:rsidRPr="00CC78FD">
              <w:rPr>
                <w:b/>
              </w:rPr>
              <w:t>Agency</w:t>
            </w:r>
          </w:p>
        </w:tc>
        <w:tc>
          <w:tcPr>
            <w:tcW w:w="6561" w:type="dxa"/>
            <w:shd w:val="clear" w:color="auto" w:fill="00A88F"/>
          </w:tcPr>
          <w:p w14:paraId="52E328EC" w14:textId="77777777" w:rsidR="006D730A" w:rsidRPr="00844ACF" w:rsidRDefault="006D730A" w:rsidP="00172A97">
            <w:pPr>
              <w:pStyle w:val="TableTextWhite"/>
              <w:rPr>
                <w:b/>
                <w:bCs/>
              </w:rPr>
            </w:pPr>
            <w:r w:rsidRPr="00844ACF">
              <w:rPr>
                <w:b/>
                <w:bCs/>
              </w:rPr>
              <w:t xml:space="preserve">Department </w:t>
            </w:r>
            <w:r w:rsidR="00883A6F" w:rsidRPr="00844ACF">
              <w:rPr>
                <w:b/>
                <w:bCs/>
              </w:rPr>
              <w:t xml:space="preserve">of </w:t>
            </w:r>
            <w:r w:rsidR="0062312B">
              <w:rPr>
                <w:b/>
                <w:bCs/>
              </w:rPr>
              <w:t>Climate Change, Energy, the Environment and Water</w:t>
            </w:r>
          </w:p>
        </w:tc>
      </w:tr>
      <w:tr w:rsidR="009077E2" w:rsidRPr="00CC78FD" w14:paraId="4C439136" w14:textId="77777777" w:rsidTr="00CC78FD">
        <w:tc>
          <w:tcPr>
            <w:tcW w:w="4026" w:type="dxa"/>
            <w:shd w:val="clear" w:color="auto" w:fill="00A88F"/>
            <w:vAlign w:val="center"/>
          </w:tcPr>
          <w:p w14:paraId="44B33C13" w14:textId="77777777" w:rsidR="009077E2" w:rsidRPr="00CC78FD" w:rsidRDefault="00E95F38" w:rsidP="00DC0173">
            <w:pPr>
              <w:pStyle w:val="TableTextWhite"/>
              <w:rPr>
                <w:b/>
              </w:rPr>
            </w:pPr>
            <w:r w:rsidRPr="00CC78FD">
              <w:rPr>
                <w:b/>
              </w:rPr>
              <w:t>Division/Branch/Unit</w:t>
            </w:r>
          </w:p>
        </w:tc>
        <w:tc>
          <w:tcPr>
            <w:tcW w:w="6561" w:type="dxa"/>
            <w:shd w:val="clear" w:color="auto" w:fill="00A88F"/>
          </w:tcPr>
          <w:p w14:paraId="2B147E71" w14:textId="6B38B99E" w:rsidR="009077E2" w:rsidRPr="00844ACF" w:rsidRDefault="00E95F38" w:rsidP="006D730A">
            <w:pPr>
              <w:pStyle w:val="TableTextWhite"/>
              <w:rPr>
                <w:b/>
                <w:bCs/>
              </w:rPr>
            </w:pPr>
            <w:r w:rsidRPr="00844ACF">
              <w:rPr>
                <w:b/>
                <w:bCs/>
              </w:rPr>
              <w:t>Water</w:t>
            </w:r>
            <w:r w:rsidR="008173D5">
              <w:rPr>
                <w:b/>
                <w:bCs/>
              </w:rPr>
              <w:t xml:space="preserve"> </w:t>
            </w:r>
            <w:r w:rsidR="004462CF" w:rsidRPr="00844ACF">
              <w:rPr>
                <w:b/>
                <w:bCs/>
              </w:rPr>
              <w:t>/ Infrastructure</w:t>
            </w:r>
            <w:r w:rsidR="00591EBE" w:rsidRPr="00844ACF">
              <w:rPr>
                <w:b/>
                <w:bCs/>
              </w:rPr>
              <w:t xml:space="preserve"> Delivery</w:t>
            </w:r>
          </w:p>
        </w:tc>
      </w:tr>
      <w:tr w:rsidR="009077E2" w:rsidRPr="00CC78FD" w14:paraId="774ADC56" w14:textId="77777777" w:rsidTr="00CC78FD">
        <w:tc>
          <w:tcPr>
            <w:tcW w:w="4026" w:type="dxa"/>
            <w:shd w:val="clear" w:color="auto" w:fill="00A88F"/>
            <w:vAlign w:val="center"/>
          </w:tcPr>
          <w:p w14:paraId="5726AE7D" w14:textId="77777777" w:rsidR="009077E2" w:rsidRPr="00CC78FD" w:rsidRDefault="00E95F38" w:rsidP="00DC0173">
            <w:pPr>
              <w:pStyle w:val="TableTextWhite"/>
              <w:rPr>
                <w:b/>
              </w:rPr>
            </w:pPr>
            <w:r w:rsidRPr="00CC78FD">
              <w:rPr>
                <w:b/>
              </w:rPr>
              <w:t>Location</w:t>
            </w:r>
          </w:p>
        </w:tc>
        <w:tc>
          <w:tcPr>
            <w:tcW w:w="6561" w:type="dxa"/>
            <w:shd w:val="clear" w:color="auto" w:fill="00A88F"/>
          </w:tcPr>
          <w:p w14:paraId="0200E481" w14:textId="77777777" w:rsidR="009077E2" w:rsidRPr="00844ACF" w:rsidRDefault="004A0703" w:rsidP="00DC0173">
            <w:pPr>
              <w:pStyle w:val="TableTextWhite"/>
              <w:rPr>
                <w:b/>
                <w:bCs/>
              </w:rPr>
            </w:pPr>
            <w:r w:rsidRPr="00844ACF">
              <w:rPr>
                <w:b/>
                <w:bCs/>
              </w:rPr>
              <w:t>Negotiable</w:t>
            </w:r>
          </w:p>
        </w:tc>
      </w:tr>
      <w:tr w:rsidR="009077E2" w:rsidRPr="00CC78FD" w14:paraId="59F1D977" w14:textId="77777777" w:rsidTr="00CC78FD">
        <w:tc>
          <w:tcPr>
            <w:tcW w:w="4026" w:type="dxa"/>
            <w:shd w:val="clear" w:color="auto" w:fill="00A88F"/>
            <w:vAlign w:val="center"/>
          </w:tcPr>
          <w:p w14:paraId="0DF3C748" w14:textId="77777777" w:rsidR="009077E2" w:rsidRPr="00CC78FD" w:rsidRDefault="00E95F38" w:rsidP="00DC0173">
            <w:pPr>
              <w:pStyle w:val="TableTextWhite"/>
              <w:rPr>
                <w:b/>
              </w:rPr>
            </w:pPr>
            <w:r w:rsidRPr="00CC78FD">
              <w:rPr>
                <w:b/>
              </w:rPr>
              <w:t>Classification/Grade/Band</w:t>
            </w:r>
          </w:p>
        </w:tc>
        <w:tc>
          <w:tcPr>
            <w:tcW w:w="6561" w:type="dxa"/>
            <w:shd w:val="clear" w:color="auto" w:fill="00A88F"/>
          </w:tcPr>
          <w:p w14:paraId="5C30DF42" w14:textId="77777777" w:rsidR="009077E2" w:rsidRPr="00844ACF" w:rsidRDefault="00E95F38" w:rsidP="00DC0173">
            <w:pPr>
              <w:pStyle w:val="TableTextWhite"/>
              <w:rPr>
                <w:b/>
                <w:bCs/>
              </w:rPr>
            </w:pPr>
            <w:r w:rsidRPr="00844ACF">
              <w:rPr>
                <w:b/>
                <w:bCs/>
              </w:rPr>
              <w:t xml:space="preserve">Clerk </w:t>
            </w:r>
            <w:r w:rsidR="009D4712" w:rsidRPr="00844ACF">
              <w:rPr>
                <w:b/>
                <w:bCs/>
              </w:rPr>
              <w:t>Grade 11</w:t>
            </w:r>
            <w:r w:rsidR="00812A40">
              <w:rPr>
                <w:b/>
                <w:bCs/>
              </w:rPr>
              <w:t>/</w:t>
            </w:r>
            <w:r w:rsidRPr="00844ACF">
              <w:rPr>
                <w:b/>
                <w:bCs/>
              </w:rPr>
              <w:t>12</w:t>
            </w:r>
          </w:p>
        </w:tc>
      </w:tr>
      <w:tr w:rsidR="00531F14" w:rsidRPr="00CC78FD" w14:paraId="6BDF5A64" w14:textId="77777777" w:rsidTr="00CC78FD">
        <w:tc>
          <w:tcPr>
            <w:tcW w:w="4026" w:type="dxa"/>
            <w:shd w:val="clear" w:color="auto" w:fill="00A88F"/>
            <w:vAlign w:val="center"/>
          </w:tcPr>
          <w:p w14:paraId="2E30990D" w14:textId="77777777" w:rsidR="00531F14" w:rsidRPr="00CC78FD" w:rsidRDefault="00A95580" w:rsidP="00A95580">
            <w:pPr>
              <w:pStyle w:val="TableTextWhite"/>
              <w:rPr>
                <w:i/>
              </w:rPr>
            </w:pPr>
            <w:r w:rsidRPr="00CC78FD">
              <w:rPr>
                <w:b/>
              </w:rPr>
              <w:t xml:space="preserve">Role Family </w:t>
            </w:r>
            <w:r w:rsidRPr="00CC78FD">
              <w:rPr>
                <w:i/>
              </w:rPr>
              <w:t>(internal use only)</w:t>
            </w:r>
          </w:p>
        </w:tc>
        <w:tc>
          <w:tcPr>
            <w:tcW w:w="6561" w:type="dxa"/>
            <w:shd w:val="clear" w:color="auto" w:fill="00A88F"/>
          </w:tcPr>
          <w:p w14:paraId="196C5401" w14:textId="77777777" w:rsidR="00531F14" w:rsidRPr="00844ACF" w:rsidRDefault="00A95580" w:rsidP="00DC0173">
            <w:pPr>
              <w:pStyle w:val="TableTextWhite"/>
              <w:rPr>
                <w:b/>
                <w:bCs/>
              </w:rPr>
            </w:pPr>
            <w:r w:rsidRPr="00844ACF">
              <w:rPr>
                <w:b/>
                <w:bCs/>
              </w:rPr>
              <w:t>Bespoke/Projects &amp; Programs/ Lead</w:t>
            </w:r>
          </w:p>
        </w:tc>
      </w:tr>
      <w:tr w:rsidR="00531F14" w:rsidRPr="00CC78FD" w14:paraId="47589F8C" w14:textId="77777777" w:rsidTr="00CC78FD">
        <w:tc>
          <w:tcPr>
            <w:tcW w:w="4026" w:type="dxa"/>
            <w:shd w:val="clear" w:color="auto" w:fill="00A88F"/>
            <w:vAlign w:val="center"/>
          </w:tcPr>
          <w:p w14:paraId="729B98B9" w14:textId="77777777" w:rsidR="00531F14" w:rsidRPr="00CC78FD" w:rsidRDefault="00531F14" w:rsidP="00DC0173">
            <w:pPr>
              <w:pStyle w:val="TableTextWhite"/>
              <w:rPr>
                <w:b/>
              </w:rPr>
            </w:pPr>
            <w:r w:rsidRPr="00CC78FD">
              <w:rPr>
                <w:b/>
              </w:rPr>
              <w:t>ANZSCO Code</w:t>
            </w:r>
          </w:p>
        </w:tc>
        <w:tc>
          <w:tcPr>
            <w:tcW w:w="6561" w:type="dxa"/>
            <w:shd w:val="clear" w:color="auto" w:fill="00A88F"/>
          </w:tcPr>
          <w:p w14:paraId="563EEEB6" w14:textId="77777777" w:rsidR="00531F14" w:rsidRPr="00844ACF" w:rsidRDefault="00264784" w:rsidP="00DC0173">
            <w:pPr>
              <w:pStyle w:val="TableTextWhite"/>
              <w:rPr>
                <w:b/>
                <w:bCs/>
              </w:rPr>
            </w:pPr>
            <w:r>
              <w:rPr>
                <w:b/>
                <w:bCs/>
              </w:rPr>
              <w:t>TBC</w:t>
            </w:r>
          </w:p>
        </w:tc>
      </w:tr>
      <w:tr w:rsidR="00531F14" w:rsidRPr="00CC78FD" w14:paraId="2B26AB57" w14:textId="77777777" w:rsidTr="00CC78FD">
        <w:tc>
          <w:tcPr>
            <w:tcW w:w="4026" w:type="dxa"/>
            <w:shd w:val="clear" w:color="auto" w:fill="00A88F"/>
            <w:vAlign w:val="center"/>
          </w:tcPr>
          <w:p w14:paraId="2DED9920" w14:textId="77777777" w:rsidR="00531F14" w:rsidRPr="00CC78FD" w:rsidRDefault="00531F14" w:rsidP="00DC0173">
            <w:pPr>
              <w:pStyle w:val="TableTextWhite"/>
              <w:rPr>
                <w:b/>
              </w:rPr>
            </w:pPr>
            <w:r w:rsidRPr="00CC78FD">
              <w:rPr>
                <w:b/>
              </w:rPr>
              <w:t>PCAT Code</w:t>
            </w:r>
          </w:p>
        </w:tc>
        <w:tc>
          <w:tcPr>
            <w:tcW w:w="6561" w:type="dxa"/>
            <w:shd w:val="clear" w:color="auto" w:fill="00A88F"/>
          </w:tcPr>
          <w:p w14:paraId="0F181D3F" w14:textId="77777777" w:rsidR="00531F14" w:rsidRPr="00844ACF" w:rsidRDefault="00264784" w:rsidP="00DC0173">
            <w:pPr>
              <w:pStyle w:val="TableTextWhite"/>
              <w:rPr>
                <w:b/>
                <w:bCs/>
              </w:rPr>
            </w:pPr>
            <w:r>
              <w:rPr>
                <w:b/>
                <w:bCs/>
              </w:rPr>
              <w:t>TBC</w:t>
            </w:r>
          </w:p>
        </w:tc>
      </w:tr>
      <w:tr w:rsidR="00531F14" w:rsidRPr="00CC78FD" w14:paraId="4BF9D0F1" w14:textId="77777777" w:rsidTr="00CC78FD">
        <w:tc>
          <w:tcPr>
            <w:tcW w:w="4026" w:type="dxa"/>
            <w:shd w:val="clear" w:color="auto" w:fill="00A88F"/>
            <w:vAlign w:val="center"/>
          </w:tcPr>
          <w:p w14:paraId="0587FDF4" w14:textId="77777777" w:rsidR="00531F14" w:rsidRPr="00CC78FD" w:rsidRDefault="00531F14" w:rsidP="00DC0173">
            <w:pPr>
              <w:pStyle w:val="TableTextWhite"/>
              <w:rPr>
                <w:b/>
              </w:rPr>
            </w:pPr>
            <w:r w:rsidRPr="00CC78FD">
              <w:rPr>
                <w:b/>
              </w:rPr>
              <w:t>Date of Approval</w:t>
            </w:r>
          </w:p>
        </w:tc>
        <w:tc>
          <w:tcPr>
            <w:tcW w:w="6561" w:type="dxa"/>
            <w:shd w:val="clear" w:color="auto" w:fill="00A88F"/>
          </w:tcPr>
          <w:p w14:paraId="4D2628D8" w14:textId="77777777" w:rsidR="00531F14" w:rsidRPr="00844ACF" w:rsidRDefault="00264784" w:rsidP="00DC0173">
            <w:pPr>
              <w:pStyle w:val="TableTextWhite"/>
              <w:rPr>
                <w:b/>
                <w:bCs/>
              </w:rPr>
            </w:pPr>
            <w:r>
              <w:rPr>
                <w:b/>
                <w:bCs/>
              </w:rPr>
              <w:t>September</w:t>
            </w:r>
            <w:r w:rsidR="00591EBE" w:rsidRPr="00844ACF">
              <w:rPr>
                <w:b/>
                <w:bCs/>
              </w:rPr>
              <w:t xml:space="preserve"> 202</w:t>
            </w:r>
            <w:r>
              <w:rPr>
                <w:b/>
                <w:bCs/>
              </w:rPr>
              <w:t>4</w:t>
            </w:r>
          </w:p>
        </w:tc>
      </w:tr>
      <w:tr w:rsidR="00531F14" w:rsidRPr="00CC78FD" w14:paraId="01964229" w14:textId="77777777" w:rsidTr="00CC78FD">
        <w:tc>
          <w:tcPr>
            <w:tcW w:w="4026" w:type="dxa"/>
            <w:shd w:val="clear" w:color="auto" w:fill="00A88F"/>
            <w:vAlign w:val="center"/>
          </w:tcPr>
          <w:p w14:paraId="49D18BA9" w14:textId="77777777" w:rsidR="00531F14" w:rsidRPr="00CC78FD" w:rsidRDefault="00531F14" w:rsidP="00DC0173">
            <w:pPr>
              <w:pStyle w:val="TableTextWhite"/>
              <w:rPr>
                <w:b/>
              </w:rPr>
            </w:pPr>
            <w:r w:rsidRPr="00CC78FD">
              <w:rPr>
                <w:b/>
              </w:rPr>
              <w:t>Agency Website</w:t>
            </w:r>
          </w:p>
        </w:tc>
        <w:tc>
          <w:tcPr>
            <w:tcW w:w="6561" w:type="dxa"/>
            <w:shd w:val="clear" w:color="auto" w:fill="00A88F"/>
          </w:tcPr>
          <w:p w14:paraId="06E7B1A2" w14:textId="77777777" w:rsidR="00531F14" w:rsidRPr="00844ACF" w:rsidRDefault="00531F14" w:rsidP="006D730A">
            <w:pPr>
              <w:pStyle w:val="TableTextWhite"/>
              <w:rPr>
                <w:b/>
                <w:bCs/>
              </w:rPr>
            </w:pPr>
            <w:r w:rsidRPr="00844ACF">
              <w:rPr>
                <w:b/>
                <w:bCs/>
              </w:rPr>
              <w:t>http://www.</w:t>
            </w:r>
            <w:r w:rsidR="006D730A" w:rsidRPr="00844ACF">
              <w:rPr>
                <w:b/>
                <w:bCs/>
              </w:rPr>
              <w:t>d</w:t>
            </w:r>
            <w:r w:rsidR="00264784">
              <w:rPr>
                <w:b/>
                <w:bCs/>
              </w:rPr>
              <w:t>cceew</w:t>
            </w:r>
            <w:r w:rsidRPr="00844ACF">
              <w:rPr>
                <w:b/>
                <w:bCs/>
              </w:rPr>
              <w:t>.nsw.gov.au</w:t>
            </w:r>
          </w:p>
        </w:tc>
        <w:bookmarkStart w:id="0" w:name="Cluster"/>
        <w:bookmarkEnd w:id="0"/>
      </w:tr>
    </w:tbl>
    <w:p w14:paraId="7C74DC1C" w14:textId="77777777" w:rsidR="006A2280" w:rsidRDefault="006A2280" w:rsidP="006A2280">
      <w:pPr>
        <w:tabs>
          <w:tab w:val="left" w:pos="2925"/>
        </w:tabs>
      </w:pPr>
    </w:p>
    <w:p w14:paraId="2A2D0760" w14:textId="77777777" w:rsidR="00264784" w:rsidRDefault="00264784" w:rsidP="00264784">
      <w:pPr>
        <w:rPr>
          <w:i/>
          <w:iCs/>
        </w:rPr>
      </w:pPr>
      <w:r>
        <w:rPr>
          <w:i/>
          <w:iCs/>
          <w:lang w:val="en-GB"/>
        </w:rPr>
        <w:t xml:space="preserve">Ensuring a sustainable NSW through climate change and energy action, water management, environment and heritage conservation and protection. </w:t>
      </w:r>
    </w:p>
    <w:p w14:paraId="1C80ADCB" w14:textId="77777777" w:rsidR="00264784" w:rsidRPr="00B1014E" w:rsidRDefault="00264784" w:rsidP="00264784">
      <w:pPr>
        <w:tabs>
          <w:tab w:val="left" w:pos="2925"/>
        </w:tabs>
        <w:rPr>
          <w:rStyle w:val="Heading1Char"/>
          <w:bCs w:val="0"/>
          <w:lang w:val="en-GB"/>
        </w:rPr>
      </w:pPr>
      <w:r w:rsidRPr="00B1014E">
        <w:rPr>
          <w:rStyle w:val="Heading1Char"/>
          <w:bCs w:val="0"/>
        </w:rPr>
        <w:t xml:space="preserve">Who we are </w:t>
      </w:r>
    </w:p>
    <w:p w14:paraId="0F97F5E7" w14:textId="77777777" w:rsidR="00264784" w:rsidRPr="00264784" w:rsidRDefault="00264784" w:rsidP="00264784">
      <w:pPr>
        <w:rPr>
          <w:rFonts w:ascii="Calibri" w:eastAsia="Aptos"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53C15863" w14:textId="77777777" w:rsidR="00264784" w:rsidRDefault="00264784" w:rsidP="00264784">
      <w:r>
        <w:t xml:space="preserve">DCCEEW conserves and protects the state’s natural environment. It manages the NSW national park estate, including its rich and diverse biodiversity and Aboriginal cultural heritage for future generations. </w:t>
      </w:r>
    </w:p>
    <w:p w14:paraId="3B68B405" w14:textId="77777777" w:rsidR="00264784" w:rsidRPr="00B1014E" w:rsidRDefault="00264784" w:rsidP="00264784">
      <w:pPr>
        <w:rPr>
          <w:lang w:val="en-GB"/>
        </w:rPr>
      </w:pPr>
      <w:r>
        <w:t xml:space="preserve">DCCEEW also ensures sustainable management of water resources across the state, to support the environment, communities and industry. </w:t>
      </w:r>
    </w:p>
    <w:p w14:paraId="3ACEE66E" w14:textId="77777777" w:rsidR="00264784" w:rsidRPr="00E33EEC" w:rsidRDefault="00264784" w:rsidP="00264784">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2E6ACFCC" w14:textId="77777777" w:rsidR="00264784" w:rsidRDefault="00264784" w:rsidP="00264784">
      <w:pPr>
        <w:widowControl w:val="0"/>
        <w:spacing w:after="0" w:line="273" w:lineRule="auto"/>
        <w:ind w:right="83"/>
        <w:rPr>
          <w:rFonts w:eastAsia="Arial"/>
        </w:rPr>
      </w:pPr>
      <w:r w:rsidRPr="00437C8C">
        <w:rPr>
          <w:rFonts w:eastAsia="Arial"/>
        </w:rPr>
        <w:t xml:space="preserve">The Water Group leads the NSW Government in providing confidence to communities and stakeholders with the transparent stewardship of water resources, provision of services and reforms that support sustainable and healthy </w:t>
      </w:r>
      <w:bookmarkStart w:id="1" w:name="OLE_LINK5"/>
      <w:bookmarkStart w:id="2" w:name="OLE_LINK4"/>
      <w:bookmarkStart w:id="3" w:name="OLE_LINK26"/>
      <w:bookmarkStart w:id="4" w:name="OLE_LINK20"/>
      <w:bookmarkStart w:id="5" w:name="OLE_LINK17"/>
      <w:bookmarkStart w:id="6" w:name="OLE_LINK15"/>
      <w:bookmarkStart w:id="7" w:name="OLE_LINK12"/>
      <w:bookmarkStart w:id="8" w:name="OLE_LINK9"/>
      <w:bookmarkStart w:id="9" w:name="OLE_LINK8"/>
      <w:r w:rsidRPr="00437C8C">
        <w:rPr>
          <w:rFonts w:eastAsia="Arial"/>
        </w:rPr>
        <w:t>environments, economies and societies across NSW.</w:t>
      </w:r>
      <w:bookmarkEnd w:id="1"/>
      <w:bookmarkEnd w:id="2"/>
      <w:bookmarkEnd w:id="3"/>
      <w:bookmarkEnd w:id="4"/>
      <w:bookmarkEnd w:id="5"/>
      <w:bookmarkEnd w:id="6"/>
      <w:bookmarkEnd w:id="7"/>
      <w:bookmarkEnd w:id="8"/>
      <w:bookmarkEnd w:id="9"/>
    </w:p>
    <w:p w14:paraId="52B283AC" w14:textId="77777777" w:rsidR="00264784" w:rsidRDefault="00264784" w:rsidP="00264784">
      <w:pPr>
        <w:widowControl w:val="0"/>
        <w:spacing w:after="0" w:line="273" w:lineRule="auto"/>
        <w:ind w:right="83"/>
        <w:rPr>
          <w:rFonts w:eastAsia="Arial"/>
        </w:rPr>
      </w:pPr>
    </w:p>
    <w:p w14:paraId="25725107" w14:textId="77777777" w:rsidR="00037FD5" w:rsidRPr="00614552" w:rsidRDefault="00037FD5" w:rsidP="00172A97">
      <w:pPr>
        <w:tabs>
          <w:tab w:val="left" w:pos="2925"/>
        </w:tabs>
        <w:rPr>
          <w:rStyle w:val="Heading1Char"/>
        </w:rPr>
      </w:pPr>
      <w:r w:rsidRPr="00614552">
        <w:rPr>
          <w:rStyle w:val="Heading1Char"/>
        </w:rPr>
        <w:t>Primary purpose of the role</w:t>
      </w:r>
    </w:p>
    <w:p w14:paraId="2D9B3078" w14:textId="77777777" w:rsidR="00756C5C" w:rsidRDefault="00756C5C" w:rsidP="00756C5C">
      <w:pPr>
        <w:tabs>
          <w:tab w:val="left" w:pos="2925"/>
        </w:tabs>
        <w:rPr>
          <w:rStyle w:val="Heading1Char"/>
          <w:b w:val="0"/>
          <w:sz w:val="22"/>
          <w:szCs w:val="22"/>
        </w:rPr>
      </w:pPr>
      <w:r w:rsidRPr="006D07A1">
        <w:rPr>
          <w:rStyle w:val="Heading1Char"/>
          <w:b w:val="0"/>
          <w:sz w:val="22"/>
          <w:szCs w:val="22"/>
        </w:rPr>
        <w:t>The Manager</w:t>
      </w:r>
      <w:r w:rsidR="00264784">
        <w:rPr>
          <w:rStyle w:val="Heading1Char"/>
          <w:b w:val="0"/>
          <w:sz w:val="22"/>
          <w:szCs w:val="22"/>
        </w:rPr>
        <w:t xml:space="preserve"> Construction Services</w:t>
      </w:r>
      <w:r>
        <w:rPr>
          <w:rStyle w:val="Heading1Char"/>
          <w:b w:val="0"/>
          <w:sz w:val="22"/>
          <w:szCs w:val="22"/>
        </w:rPr>
        <w:t xml:space="preserve"> is responsible for the </w:t>
      </w:r>
      <w:r w:rsidR="00A93867">
        <w:rPr>
          <w:rStyle w:val="Heading1Char"/>
          <w:b w:val="0"/>
          <w:sz w:val="22"/>
          <w:szCs w:val="22"/>
        </w:rPr>
        <w:t xml:space="preserve">management of </w:t>
      </w:r>
      <w:r w:rsidR="00865BFA">
        <w:rPr>
          <w:rStyle w:val="Heading1Char"/>
          <w:b w:val="0"/>
          <w:sz w:val="22"/>
          <w:szCs w:val="22"/>
        </w:rPr>
        <w:t xml:space="preserve">infrastructure project </w:t>
      </w:r>
      <w:r w:rsidR="00A93867">
        <w:rPr>
          <w:rStyle w:val="Heading1Char"/>
          <w:b w:val="0"/>
          <w:sz w:val="22"/>
          <w:szCs w:val="22"/>
        </w:rPr>
        <w:t xml:space="preserve">construction and related services in the </w:t>
      </w:r>
      <w:r>
        <w:rPr>
          <w:rStyle w:val="Heading1Char"/>
          <w:b w:val="0"/>
          <w:sz w:val="22"/>
          <w:szCs w:val="22"/>
        </w:rPr>
        <w:t xml:space="preserve">delivery of one or a number of </w:t>
      </w:r>
      <w:r w:rsidR="00865BFA">
        <w:rPr>
          <w:rStyle w:val="Heading1Char"/>
          <w:b w:val="0"/>
          <w:sz w:val="22"/>
          <w:szCs w:val="22"/>
        </w:rPr>
        <w:t xml:space="preserve">water infrastructure </w:t>
      </w:r>
      <w:r>
        <w:rPr>
          <w:rStyle w:val="Heading1Char"/>
          <w:b w:val="0"/>
          <w:sz w:val="22"/>
          <w:szCs w:val="22"/>
        </w:rPr>
        <w:t>projects.</w:t>
      </w:r>
    </w:p>
    <w:p w14:paraId="359F248A" w14:textId="77777777" w:rsidR="00756C5C" w:rsidRPr="006D07A1" w:rsidRDefault="00756C5C" w:rsidP="00756C5C">
      <w:pPr>
        <w:tabs>
          <w:tab w:val="left" w:pos="2925"/>
        </w:tabs>
        <w:rPr>
          <w:rStyle w:val="Heading1Char"/>
          <w:b w:val="0"/>
          <w:sz w:val="22"/>
          <w:szCs w:val="22"/>
        </w:rPr>
      </w:pPr>
      <w:r>
        <w:rPr>
          <w:rStyle w:val="Heading1Char"/>
          <w:b w:val="0"/>
          <w:sz w:val="22"/>
          <w:szCs w:val="22"/>
        </w:rPr>
        <w:t xml:space="preserve">They do this by </w:t>
      </w:r>
      <w:r w:rsidRPr="006D07A1">
        <w:rPr>
          <w:rStyle w:val="Heading1Char"/>
          <w:b w:val="0"/>
          <w:sz w:val="22"/>
          <w:szCs w:val="22"/>
        </w:rPr>
        <w:t>leading</w:t>
      </w:r>
      <w:r>
        <w:rPr>
          <w:rStyle w:val="Heading1Char"/>
          <w:b w:val="0"/>
          <w:sz w:val="22"/>
          <w:szCs w:val="22"/>
        </w:rPr>
        <w:t xml:space="preserve"> all</w:t>
      </w:r>
      <w:r w:rsidRPr="006D07A1">
        <w:rPr>
          <w:rStyle w:val="Heading1Char"/>
          <w:b w:val="0"/>
          <w:sz w:val="22"/>
          <w:szCs w:val="22"/>
        </w:rPr>
        <w:t xml:space="preserve"> </w:t>
      </w:r>
      <w:r w:rsidR="0062312B">
        <w:rPr>
          <w:rStyle w:val="Heading1Char"/>
          <w:b w:val="0"/>
          <w:sz w:val="22"/>
          <w:szCs w:val="22"/>
        </w:rPr>
        <w:t>construction</w:t>
      </w:r>
      <w:r w:rsidRPr="006D07A1">
        <w:rPr>
          <w:rStyle w:val="Heading1Char"/>
          <w:b w:val="0"/>
          <w:sz w:val="22"/>
          <w:szCs w:val="22"/>
        </w:rPr>
        <w:t xml:space="preserve"> management </w:t>
      </w:r>
      <w:r>
        <w:rPr>
          <w:rStyle w:val="Heading1Char"/>
          <w:b w:val="0"/>
          <w:sz w:val="22"/>
          <w:szCs w:val="22"/>
        </w:rPr>
        <w:t xml:space="preserve">activities </w:t>
      </w:r>
      <w:r w:rsidR="00A93867">
        <w:rPr>
          <w:rStyle w:val="Heading1Char"/>
          <w:b w:val="0"/>
          <w:sz w:val="22"/>
          <w:szCs w:val="22"/>
        </w:rPr>
        <w:t xml:space="preserve">aligning to the Departments responsibilities, </w:t>
      </w:r>
      <w:r>
        <w:rPr>
          <w:rStyle w:val="Heading1Char"/>
          <w:b w:val="0"/>
          <w:sz w:val="22"/>
          <w:szCs w:val="22"/>
        </w:rPr>
        <w:t xml:space="preserve">including managing and </w:t>
      </w:r>
      <w:r w:rsidRPr="006D07A1">
        <w:rPr>
          <w:rStyle w:val="Heading1Char"/>
          <w:b w:val="0"/>
          <w:sz w:val="22"/>
          <w:szCs w:val="22"/>
        </w:rPr>
        <w:t>coordinating</w:t>
      </w:r>
      <w:r w:rsidR="00CB3108">
        <w:rPr>
          <w:rStyle w:val="Heading1Char"/>
          <w:b w:val="0"/>
          <w:sz w:val="22"/>
          <w:szCs w:val="22"/>
        </w:rPr>
        <w:t xml:space="preserve"> </w:t>
      </w:r>
      <w:r w:rsidRPr="006D07A1">
        <w:rPr>
          <w:rStyle w:val="Heading1Char"/>
          <w:b w:val="0"/>
          <w:sz w:val="22"/>
          <w:szCs w:val="22"/>
        </w:rPr>
        <w:t>resources</w:t>
      </w:r>
      <w:r>
        <w:rPr>
          <w:rStyle w:val="Heading1Char"/>
          <w:b w:val="0"/>
          <w:sz w:val="22"/>
          <w:szCs w:val="22"/>
        </w:rPr>
        <w:t xml:space="preserve">, </w:t>
      </w:r>
      <w:r w:rsidR="00A93867">
        <w:rPr>
          <w:rStyle w:val="Heading1Char"/>
          <w:b w:val="0"/>
          <w:sz w:val="22"/>
          <w:szCs w:val="22"/>
        </w:rPr>
        <w:t xml:space="preserve">leading </w:t>
      </w:r>
      <w:r w:rsidR="00CB3108">
        <w:rPr>
          <w:rStyle w:val="Heading1Char"/>
          <w:b w:val="0"/>
          <w:sz w:val="22"/>
          <w:szCs w:val="22"/>
        </w:rPr>
        <w:t xml:space="preserve">department and </w:t>
      </w:r>
      <w:r w:rsidRPr="006D07A1">
        <w:rPr>
          <w:rStyle w:val="Heading1Char"/>
          <w:b w:val="0"/>
          <w:sz w:val="22"/>
          <w:szCs w:val="22"/>
        </w:rPr>
        <w:t>contracted s</w:t>
      </w:r>
      <w:r>
        <w:rPr>
          <w:rStyle w:val="Heading1Char"/>
          <w:b w:val="0"/>
          <w:sz w:val="22"/>
          <w:szCs w:val="22"/>
        </w:rPr>
        <w:t>taff</w:t>
      </w:r>
      <w:r w:rsidR="00A93867">
        <w:rPr>
          <w:rStyle w:val="Heading1Char"/>
          <w:b w:val="0"/>
          <w:sz w:val="22"/>
          <w:szCs w:val="22"/>
        </w:rPr>
        <w:t>,</w:t>
      </w:r>
      <w:r w:rsidRPr="006D07A1">
        <w:rPr>
          <w:rStyle w:val="Heading1Char"/>
          <w:b w:val="0"/>
          <w:sz w:val="22"/>
          <w:szCs w:val="22"/>
        </w:rPr>
        <w:t xml:space="preserve"> </w:t>
      </w:r>
      <w:r w:rsidR="00A93867">
        <w:rPr>
          <w:rStyle w:val="Heading1Char"/>
          <w:b w:val="0"/>
          <w:sz w:val="22"/>
          <w:szCs w:val="22"/>
        </w:rPr>
        <w:t xml:space="preserve">monitoring </w:t>
      </w:r>
      <w:r w:rsidRPr="006D07A1">
        <w:rPr>
          <w:rStyle w:val="Heading1Char"/>
          <w:b w:val="0"/>
          <w:sz w:val="22"/>
          <w:szCs w:val="22"/>
        </w:rPr>
        <w:t>budgets</w:t>
      </w:r>
      <w:r w:rsidR="00CB3108">
        <w:rPr>
          <w:rStyle w:val="Heading1Char"/>
          <w:b w:val="0"/>
          <w:sz w:val="22"/>
          <w:szCs w:val="22"/>
        </w:rPr>
        <w:t xml:space="preserve">, </w:t>
      </w:r>
      <w:r w:rsidR="00CB3108">
        <w:rPr>
          <w:rStyle w:val="Heading1Char"/>
          <w:b w:val="0"/>
          <w:sz w:val="22"/>
          <w:szCs w:val="22"/>
        </w:rPr>
        <w:lastRenderedPageBreak/>
        <w:t>schedules</w:t>
      </w:r>
      <w:r w:rsidR="00A93867">
        <w:rPr>
          <w:rStyle w:val="Heading1Char"/>
          <w:b w:val="0"/>
          <w:sz w:val="22"/>
          <w:szCs w:val="22"/>
        </w:rPr>
        <w:t xml:space="preserve"> and risks,</w:t>
      </w:r>
      <w:r w:rsidR="00CB3108">
        <w:rPr>
          <w:rStyle w:val="Heading1Char"/>
          <w:b w:val="0"/>
          <w:sz w:val="22"/>
          <w:szCs w:val="22"/>
        </w:rPr>
        <w:t xml:space="preserve"> </w:t>
      </w:r>
      <w:r>
        <w:rPr>
          <w:rStyle w:val="Heading1Char"/>
          <w:b w:val="0"/>
          <w:sz w:val="22"/>
          <w:szCs w:val="22"/>
        </w:rPr>
        <w:t xml:space="preserve">procurement, </w:t>
      </w:r>
      <w:r w:rsidR="00CB3108">
        <w:rPr>
          <w:rStyle w:val="Heading1Char"/>
          <w:b w:val="0"/>
          <w:sz w:val="22"/>
          <w:szCs w:val="22"/>
        </w:rPr>
        <w:t>contract</w:t>
      </w:r>
      <w:r w:rsidR="00865BFA">
        <w:rPr>
          <w:rStyle w:val="Heading1Char"/>
          <w:b w:val="0"/>
          <w:sz w:val="22"/>
          <w:szCs w:val="22"/>
        </w:rPr>
        <w:t xml:space="preserve"> management</w:t>
      </w:r>
      <w:r w:rsidR="00CB3108">
        <w:rPr>
          <w:rStyle w:val="Heading1Char"/>
          <w:b w:val="0"/>
          <w:sz w:val="22"/>
          <w:szCs w:val="22"/>
        </w:rPr>
        <w:t xml:space="preserve"> </w:t>
      </w:r>
      <w:r>
        <w:rPr>
          <w:rStyle w:val="Heading1Char"/>
          <w:b w:val="0"/>
          <w:sz w:val="22"/>
          <w:szCs w:val="22"/>
        </w:rPr>
        <w:t xml:space="preserve">and </w:t>
      </w:r>
      <w:r w:rsidR="00CB3108">
        <w:rPr>
          <w:rStyle w:val="Heading1Char"/>
          <w:b w:val="0"/>
          <w:sz w:val="22"/>
          <w:szCs w:val="22"/>
        </w:rPr>
        <w:t>construction d</w:t>
      </w:r>
      <w:r w:rsidRPr="006D07A1">
        <w:rPr>
          <w:rStyle w:val="Heading1Char"/>
          <w:b w:val="0"/>
          <w:sz w:val="22"/>
          <w:szCs w:val="22"/>
        </w:rPr>
        <w:t>eliverables within required timeframes. The Manager</w:t>
      </w:r>
      <w:r w:rsidR="00CB3108">
        <w:rPr>
          <w:rStyle w:val="Heading1Char"/>
          <w:b w:val="0"/>
          <w:sz w:val="22"/>
          <w:szCs w:val="22"/>
        </w:rPr>
        <w:t xml:space="preserve"> Construction Services</w:t>
      </w:r>
      <w:r w:rsidRPr="006D07A1">
        <w:rPr>
          <w:rStyle w:val="Heading1Char"/>
          <w:b w:val="0"/>
          <w:sz w:val="22"/>
          <w:szCs w:val="22"/>
        </w:rPr>
        <w:t xml:space="preserve"> will ensure the project </w:t>
      </w:r>
      <w:r w:rsidR="00865BFA">
        <w:rPr>
          <w:rStyle w:val="Heading1Char"/>
          <w:b w:val="0"/>
          <w:sz w:val="22"/>
          <w:szCs w:val="22"/>
        </w:rPr>
        <w:t xml:space="preserve">construction </w:t>
      </w:r>
      <w:r w:rsidRPr="006D07A1">
        <w:rPr>
          <w:rStyle w:val="Heading1Char"/>
          <w:b w:val="0"/>
          <w:sz w:val="22"/>
          <w:szCs w:val="22"/>
        </w:rPr>
        <w:t xml:space="preserve">is </w:t>
      </w:r>
      <w:r w:rsidR="001F1F41">
        <w:rPr>
          <w:rStyle w:val="Heading1Char"/>
          <w:b w:val="0"/>
          <w:sz w:val="22"/>
          <w:szCs w:val="22"/>
        </w:rPr>
        <w:t>managed</w:t>
      </w:r>
      <w:r>
        <w:rPr>
          <w:rStyle w:val="Heading1Char"/>
          <w:b w:val="0"/>
          <w:sz w:val="22"/>
          <w:szCs w:val="22"/>
        </w:rPr>
        <w:t xml:space="preserve"> </w:t>
      </w:r>
      <w:r w:rsidRPr="006D07A1">
        <w:rPr>
          <w:rStyle w:val="Heading1Char"/>
          <w:b w:val="0"/>
          <w:sz w:val="22"/>
          <w:szCs w:val="22"/>
        </w:rPr>
        <w:t xml:space="preserve">in line with </w:t>
      </w:r>
      <w:r>
        <w:rPr>
          <w:rStyle w:val="Heading1Char"/>
          <w:b w:val="0"/>
          <w:sz w:val="22"/>
          <w:szCs w:val="22"/>
        </w:rPr>
        <w:t>D</w:t>
      </w:r>
      <w:r w:rsidR="00CB3108">
        <w:rPr>
          <w:rStyle w:val="Heading1Char"/>
          <w:b w:val="0"/>
          <w:sz w:val="22"/>
          <w:szCs w:val="22"/>
        </w:rPr>
        <w:t>CCEEW</w:t>
      </w:r>
      <w:r>
        <w:rPr>
          <w:rStyle w:val="Heading1Char"/>
          <w:b w:val="0"/>
          <w:sz w:val="22"/>
          <w:szCs w:val="22"/>
        </w:rPr>
        <w:t xml:space="preserve"> </w:t>
      </w:r>
      <w:r w:rsidR="00A93867">
        <w:rPr>
          <w:rStyle w:val="Heading1Char"/>
          <w:b w:val="0"/>
          <w:sz w:val="22"/>
          <w:szCs w:val="22"/>
        </w:rPr>
        <w:t xml:space="preserve">Water’s </w:t>
      </w:r>
      <w:r w:rsidR="00CB3108">
        <w:rPr>
          <w:rStyle w:val="Heading1Char"/>
          <w:b w:val="0"/>
          <w:sz w:val="22"/>
          <w:szCs w:val="22"/>
        </w:rPr>
        <w:t xml:space="preserve">Workplace Health and Safety, Environment &amp; Heritage, Risk, Assurance and </w:t>
      </w:r>
      <w:r>
        <w:rPr>
          <w:rStyle w:val="Heading1Char"/>
          <w:b w:val="0"/>
          <w:sz w:val="22"/>
          <w:szCs w:val="22"/>
        </w:rPr>
        <w:t>Governance Frameworks</w:t>
      </w:r>
      <w:r w:rsidR="00CB3108">
        <w:rPr>
          <w:rStyle w:val="Heading1Char"/>
          <w:b w:val="0"/>
          <w:sz w:val="22"/>
          <w:szCs w:val="22"/>
        </w:rPr>
        <w:t xml:space="preserve">, and </w:t>
      </w:r>
      <w:r w:rsidR="00A93867">
        <w:rPr>
          <w:rStyle w:val="Heading1Char"/>
          <w:b w:val="0"/>
          <w:sz w:val="22"/>
          <w:szCs w:val="22"/>
        </w:rPr>
        <w:t xml:space="preserve">all </w:t>
      </w:r>
      <w:r w:rsidR="00CB3108">
        <w:rPr>
          <w:rStyle w:val="Heading1Char"/>
          <w:b w:val="0"/>
          <w:sz w:val="22"/>
          <w:szCs w:val="22"/>
        </w:rPr>
        <w:t>Government, stakeholder</w:t>
      </w:r>
      <w:r w:rsidRPr="006D07A1">
        <w:rPr>
          <w:rStyle w:val="Heading1Char"/>
          <w:b w:val="0"/>
          <w:sz w:val="22"/>
          <w:szCs w:val="22"/>
        </w:rPr>
        <w:t xml:space="preserve"> and community objectives</w:t>
      </w:r>
      <w:r w:rsidR="00C66266">
        <w:rPr>
          <w:rStyle w:val="Heading1Char"/>
          <w:b w:val="0"/>
          <w:sz w:val="22"/>
          <w:szCs w:val="22"/>
        </w:rPr>
        <w:t xml:space="preserve"> and expectations are met</w:t>
      </w:r>
      <w:r w:rsidR="00A93867">
        <w:rPr>
          <w:rStyle w:val="Heading1Char"/>
          <w:b w:val="0"/>
          <w:sz w:val="22"/>
          <w:szCs w:val="22"/>
        </w:rPr>
        <w:t xml:space="preserve"> by adopting</w:t>
      </w:r>
      <w:r w:rsidR="00C66266">
        <w:rPr>
          <w:rStyle w:val="Heading1Char"/>
          <w:b w:val="0"/>
          <w:sz w:val="22"/>
          <w:szCs w:val="22"/>
        </w:rPr>
        <w:t xml:space="preserve"> construction industry and water sector </w:t>
      </w:r>
      <w:r w:rsidRPr="006D07A1">
        <w:rPr>
          <w:rStyle w:val="Heading1Char"/>
          <w:b w:val="0"/>
          <w:sz w:val="22"/>
          <w:szCs w:val="22"/>
        </w:rPr>
        <w:t>requirements.</w:t>
      </w:r>
    </w:p>
    <w:p w14:paraId="35499DC5" w14:textId="77777777" w:rsidR="00F339CD" w:rsidRDefault="00F339CD" w:rsidP="00614552">
      <w:pPr>
        <w:pStyle w:val="Heading1"/>
      </w:pPr>
      <w:r w:rsidRPr="00A14A03">
        <w:t>Key accountabilities</w:t>
      </w:r>
    </w:p>
    <w:p w14:paraId="64366E06" w14:textId="77777777" w:rsidR="00756C5C" w:rsidRPr="00533528" w:rsidRDefault="00756C5C" w:rsidP="0069208D">
      <w:pPr>
        <w:numPr>
          <w:ilvl w:val="0"/>
          <w:numId w:val="14"/>
        </w:numPr>
        <w:tabs>
          <w:tab w:val="left" w:pos="-1418"/>
        </w:tabs>
        <w:spacing w:after="0"/>
        <w:ind w:left="714" w:hanging="357"/>
      </w:pPr>
      <w:r>
        <w:t>Ensure th</w:t>
      </w:r>
      <w:r w:rsidR="00C66266">
        <w:t xml:space="preserve">at </w:t>
      </w:r>
      <w:r w:rsidR="001F1F41">
        <w:t>i</w:t>
      </w:r>
      <w:r w:rsidR="00C66266">
        <w:t>nfrastructure</w:t>
      </w:r>
      <w:r>
        <w:t xml:space="preserve"> </w:t>
      </w:r>
      <w:r w:rsidR="001F1F41">
        <w:t>p</w:t>
      </w:r>
      <w:r>
        <w:t xml:space="preserve">roject(s) </w:t>
      </w:r>
      <w:r w:rsidR="00C66266">
        <w:t>are</w:t>
      </w:r>
      <w:r>
        <w:t xml:space="preserve"> </w:t>
      </w:r>
      <w:r w:rsidR="00A93867">
        <w:t>constructed</w:t>
      </w:r>
      <w:r>
        <w:t xml:space="preserve"> safely</w:t>
      </w:r>
      <w:r w:rsidR="0069208D">
        <w:t xml:space="preserve"> by p</w:t>
      </w:r>
      <w:r>
        <w:t>roactively manag</w:t>
      </w:r>
      <w:r w:rsidR="0069208D">
        <w:t>ing</w:t>
      </w:r>
      <w:r>
        <w:t xml:space="preserve"> the projects</w:t>
      </w:r>
      <w:r w:rsidR="001F1F41">
        <w:t xml:space="preserve"> </w:t>
      </w:r>
      <w:r w:rsidRPr="00533528">
        <w:t>technical</w:t>
      </w:r>
      <w:r>
        <w:t>, environmental,</w:t>
      </w:r>
      <w:r w:rsidR="001F1F41">
        <w:t xml:space="preserve"> cultural heritage,</w:t>
      </w:r>
      <w:r>
        <w:t xml:space="preserve"> stakeholder engagement, procurement</w:t>
      </w:r>
      <w:r w:rsidRPr="00533528">
        <w:t xml:space="preserve"> and commercial aspects of </w:t>
      </w:r>
      <w:r w:rsidR="001F1F41">
        <w:t>construction</w:t>
      </w:r>
      <w:r w:rsidRPr="00533528">
        <w:t xml:space="preserve">, </w:t>
      </w:r>
      <w:r>
        <w:t>identifying and escalating</w:t>
      </w:r>
      <w:r w:rsidRPr="00533528">
        <w:t xml:space="preserve"> critical </w:t>
      </w:r>
      <w:r>
        <w:t xml:space="preserve">risks and </w:t>
      </w:r>
      <w:r w:rsidRPr="00533528">
        <w:t>issues</w:t>
      </w:r>
      <w:r>
        <w:t>,</w:t>
      </w:r>
      <w:r w:rsidRPr="00533528">
        <w:t xml:space="preserve"> and </w:t>
      </w:r>
      <w:r>
        <w:t xml:space="preserve">tracking </w:t>
      </w:r>
      <w:r w:rsidRPr="00533528">
        <w:t xml:space="preserve">key project </w:t>
      </w:r>
      <w:r w:rsidR="001F1F41">
        <w:t xml:space="preserve">construction </w:t>
      </w:r>
      <w:r w:rsidRPr="00533528">
        <w:t>milestones and performance measures</w:t>
      </w:r>
      <w:r w:rsidR="001D2A69">
        <w:t xml:space="preserve"> during the construction phase</w:t>
      </w:r>
      <w:r w:rsidRPr="00533528">
        <w:t>.</w:t>
      </w:r>
    </w:p>
    <w:p w14:paraId="1727C5C2" w14:textId="77777777" w:rsidR="00756C5C" w:rsidRPr="00666730" w:rsidRDefault="00756C5C" w:rsidP="00756C5C">
      <w:pPr>
        <w:numPr>
          <w:ilvl w:val="0"/>
          <w:numId w:val="14"/>
        </w:numPr>
        <w:tabs>
          <w:tab w:val="left" w:pos="-1418"/>
        </w:tabs>
        <w:spacing w:after="0"/>
        <w:ind w:left="714" w:hanging="357"/>
      </w:pPr>
      <w:r>
        <w:t>Manage and coordinate the day-to-day activities of</w:t>
      </w:r>
      <w:r w:rsidRPr="00EA4B9D">
        <w:t xml:space="preserve"> the </w:t>
      </w:r>
      <w:r w:rsidR="001D2A69">
        <w:t>Construction Services</w:t>
      </w:r>
      <w:r>
        <w:t xml:space="preserve"> </w:t>
      </w:r>
      <w:r w:rsidRPr="00EA4B9D">
        <w:t>team</w:t>
      </w:r>
      <w:r>
        <w:t xml:space="preserve">(s) </w:t>
      </w:r>
      <w:r>
        <w:rPr>
          <w:rFonts w:cs="Arial"/>
        </w:rPr>
        <w:t xml:space="preserve">ensuring resources, contracted staff and consultants are engaged and scheduled to </w:t>
      </w:r>
      <w:r w:rsidR="001D2A69">
        <w:rPr>
          <w:rFonts w:cs="Arial"/>
        </w:rPr>
        <w:t>support project construction</w:t>
      </w:r>
      <w:r>
        <w:rPr>
          <w:rFonts w:cs="Arial"/>
        </w:rPr>
        <w:t xml:space="preserve"> appropriately </w:t>
      </w:r>
      <w:r w:rsidR="001D2A69">
        <w:rPr>
          <w:rFonts w:cs="Arial"/>
        </w:rPr>
        <w:t>to</w:t>
      </w:r>
      <w:r>
        <w:rPr>
          <w:rFonts w:cs="Arial"/>
        </w:rPr>
        <w:t xml:space="preserve"> achieve key project milestones and performance measures.</w:t>
      </w:r>
    </w:p>
    <w:p w14:paraId="6BDA5454" w14:textId="77777777" w:rsidR="00756C5C" w:rsidRPr="006B2B4F" w:rsidRDefault="00756C5C" w:rsidP="00756C5C">
      <w:pPr>
        <w:numPr>
          <w:ilvl w:val="0"/>
          <w:numId w:val="14"/>
        </w:numPr>
        <w:tabs>
          <w:tab w:val="left" w:pos="-1418"/>
        </w:tabs>
        <w:spacing w:after="0"/>
        <w:ind w:left="714" w:hanging="357"/>
      </w:pPr>
      <w:r w:rsidRPr="009662DF">
        <w:rPr>
          <w:rFonts w:cs="Arial"/>
        </w:rPr>
        <w:t xml:space="preserve">Review and evaluate </w:t>
      </w:r>
      <w:r w:rsidR="001D2A69">
        <w:rPr>
          <w:rFonts w:cs="Arial"/>
        </w:rPr>
        <w:t xml:space="preserve">construction </w:t>
      </w:r>
      <w:r w:rsidRPr="009662DF">
        <w:rPr>
          <w:rFonts w:cs="Arial"/>
        </w:rPr>
        <w:t>deliverables</w:t>
      </w:r>
      <w:r w:rsidRPr="009662DF">
        <w:rPr>
          <w:rFonts w:cs="Arial"/>
          <w:lang w:val="en-AU"/>
        </w:rPr>
        <w:t xml:space="preserve">, </w:t>
      </w:r>
      <w:r>
        <w:rPr>
          <w:rFonts w:cs="Arial"/>
          <w:lang w:val="en-AU"/>
        </w:rPr>
        <w:t>utilising</w:t>
      </w:r>
      <w:r w:rsidRPr="009662DF">
        <w:rPr>
          <w:rFonts w:cs="Arial"/>
        </w:rPr>
        <w:t xml:space="preserve"> best practice </w:t>
      </w:r>
      <w:r w:rsidR="001D2A69">
        <w:rPr>
          <w:rFonts w:cs="Arial"/>
        </w:rPr>
        <w:t>construction</w:t>
      </w:r>
      <w:r w:rsidRPr="009662DF">
        <w:rPr>
          <w:rFonts w:cs="Arial"/>
        </w:rPr>
        <w:t xml:space="preserve"> management methodologies, to ensure budget</w:t>
      </w:r>
      <w:r w:rsidR="001D2A69">
        <w:rPr>
          <w:rFonts w:cs="Arial"/>
        </w:rPr>
        <w:t xml:space="preserve">, </w:t>
      </w:r>
      <w:r>
        <w:rPr>
          <w:rFonts w:cs="Arial"/>
        </w:rPr>
        <w:t>timeframe</w:t>
      </w:r>
      <w:r w:rsidRPr="009662DF">
        <w:rPr>
          <w:rFonts w:cs="Arial"/>
        </w:rPr>
        <w:t xml:space="preserve"> </w:t>
      </w:r>
      <w:r w:rsidR="001D2A69">
        <w:rPr>
          <w:rFonts w:cs="Arial"/>
        </w:rPr>
        <w:t xml:space="preserve">and risk </w:t>
      </w:r>
      <w:r w:rsidRPr="009662DF">
        <w:rPr>
          <w:rFonts w:cs="Arial"/>
        </w:rPr>
        <w:t>requirements are met</w:t>
      </w:r>
      <w:r>
        <w:rPr>
          <w:rFonts w:cs="Arial"/>
        </w:rPr>
        <w:t xml:space="preserve"> while also</w:t>
      </w:r>
      <w:r w:rsidRPr="009662DF">
        <w:rPr>
          <w:rFonts w:cs="Arial"/>
        </w:rPr>
        <w:t xml:space="preserve"> embedding</w:t>
      </w:r>
      <w:r>
        <w:rPr>
          <w:rFonts w:cs="Arial"/>
        </w:rPr>
        <w:t xml:space="preserve"> safety management,</w:t>
      </w:r>
      <w:r w:rsidR="001D2A69">
        <w:rPr>
          <w:rFonts w:cs="Arial"/>
        </w:rPr>
        <w:t xml:space="preserve"> environmental management,</w:t>
      </w:r>
      <w:r>
        <w:rPr>
          <w:rFonts w:cs="Arial"/>
        </w:rPr>
        <w:t xml:space="preserve"> risk assessment </w:t>
      </w:r>
      <w:r w:rsidRPr="009662DF">
        <w:rPr>
          <w:rFonts w:cs="Arial"/>
        </w:rPr>
        <w:t xml:space="preserve">compliance, </w:t>
      </w:r>
      <w:r w:rsidRPr="006B2B4F">
        <w:t>audit and assessment frameworks.</w:t>
      </w:r>
    </w:p>
    <w:p w14:paraId="31E204D7" w14:textId="77777777" w:rsidR="00756C5C" w:rsidRPr="006B2B4F" w:rsidRDefault="00756C5C" w:rsidP="00756C5C">
      <w:pPr>
        <w:numPr>
          <w:ilvl w:val="0"/>
          <w:numId w:val="14"/>
        </w:numPr>
        <w:tabs>
          <w:tab w:val="left" w:pos="-1418"/>
        </w:tabs>
        <w:spacing w:after="0"/>
        <w:ind w:left="714" w:hanging="357"/>
      </w:pPr>
      <w:r w:rsidRPr="006B2B4F">
        <w:t xml:space="preserve">Assign </w:t>
      </w:r>
      <w:r w:rsidR="001D2A69">
        <w:t>construction management</w:t>
      </w:r>
      <w:r w:rsidRPr="006B2B4F">
        <w:t xml:space="preserve"> tasks and engage with project team members to manage and lead the </w:t>
      </w:r>
      <w:r w:rsidR="001D2A69">
        <w:t>construction services</w:t>
      </w:r>
      <w:r w:rsidRPr="006B2B4F">
        <w:t xml:space="preserve"> of project activities</w:t>
      </w:r>
      <w:r>
        <w:t>, as required.</w:t>
      </w:r>
    </w:p>
    <w:p w14:paraId="46E07C5B" w14:textId="77777777" w:rsidR="00756C5C" w:rsidRPr="00666730" w:rsidRDefault="00756C5C" w:rsidP="00756C5C">
      <w:pPr>
        <w:numPr>
          <w:ilvl w:val="0"/>
          <w:numId w:val="14"/>
        </w:numPr>
        <w:tabs>
          <w:tab w:val="left" w:pos="-1418"/>
        </w:tabs>
        <w:spacing w:after="0"/>
        <w:ind w:left="714" w:hanging="357"/>
      </w:pPr>
      <w:r w:rsidRPr="00666730">
        <w:t xml:space="preserve">Represent </w:t>
      </w:r>
      <w:r>
        <w:t>D</w:t>
      </w:r>
      <w:r w:rsidR="001D2A69">
        <w:t>CCEEW</w:t>
      </w:r>
      <w:r>
        <w:t xml:space="preserve"> Water </w:t>
      </w:r>
      <w:r w:rsidRPr="00666730">
        <w:t>at cross-gover</w:t>
      </w:r>
      <w:r>
        <w:t>nment, local government, industry stakeholder, private sector and contractor</w:t>
      </w:r>
      <w:r w:rsidRPr="00666730">
        <w:t xml:space="preserve"> meetings, working parties and related forums</w:t>
      </w:r>
      <w:r>
        <w:t xml:space="preserve"> to help resolve critical</w:t>
      </w:r>
      <w:r w:rsidR="001D2A69">
        <w:t xml:space="preserve"> construction</w:t>
      </w:r>
      <w:r>
        <w:t xml:space="preserve"> related issues, and ensure project outcomes are achieved while maintaining </w:t>
      </w:r>
      <w:r w:rsidR="001D2A69">
        <w:t xml:space="preserve">community and </w:t>
      </w:r>
      <w:r>
        <w:t>stakeholder relationships.</w:t>
      </w:r>
      <w:r w:rsidRPr="00666730">
        <w:t xml:space="preserve"> </w:t>
      </w:r>
    </w:p>
    <w:p w14:paraId="2D0F7724" w14:textId="77777777" w:rsidR="00756C5C" w:rsidRPr="001029EB" w:rsidRDefault="00756C5C" w:rsidP="00756C5C">
      <w:pPr>
        <w:numPr>
          <w:ilvl w:val="0"/>
          <w:numId w:val="14"/>
        </w:numPr>
        <w:tabs>
          <w:tab w:val="left" w:pos="-1418"/>
        </w:tabs>
        <w:spacing w:after="0"/>
        <w:ind w:left="714" w:hanging="357"/>
      </w:pPr>
      <w:r>
        <w:t>Prepare reports, presentations, &amp;/or Briefing Notes for and participate in relevant project governance bodies and reporting lines, including but not limited to</w:t>
      </w:r>
      <w:r w:rsidRPr="00C727DC">
        <w:rPr>
          <w:rFonts w:cs="Arial"/>
          <w:lang w:val="en-AU"/>
        </w:rPr>
        <w:t xml:space="preserve"> </w:t>
      </w:r>
      <w:r>
        <w:rPr>
          <w:rFonts w:cs="Arial"/>
          <w:lang w:val="en-AU"/>
        </w:rPr>
        <w:t>D</w:t>
      </w:r>
      <w:r w:rsidR="001D2A69">
        <w:rPr>
          <w:rFonts w:cs="Arial"/>
          <w:lang w:val="en-AU"/>
        </w:rPr>
        <w:t>CCEEW</w:t>
      </w:r>
      <w:r>
        <w:rPr>
          <w:rFonts w:cs="Arial"/>
          <w:lang w:val="en-AU"/>
        </w:rPr>
        <w:t xml:space="preserve"> Water executives, Government agencies, project owners and stakeholders. </w:t>
      </w:r>
    </w:p>
    <w:p w14:paraId="455A6FE0" w14:textId="77777777" w:rsidR="00756C5C" w:rsidRPr="00666730" w:rsidRDefault="00756C5C" w:rsidP="00756C5C">
      <w:pPr>
        <w:numPr>
          <w:ilvl w:val="0"/>
          <w:numId w:val="14"/>
        </w:numPr>
        <w:tabs>
          <w:tab w:val="left" w:pos="-1418"/>
        </w:tabs>
        <w:spacing w:after="0"/>
        <w:ind w:left="714" w:hanging="357"/>
      </w:pPr>
      <w:r>
        <w:rPr>
          <w:rFonts w:cs="Arial"/>
        </w:rPr>
        <w:t>Prepare and submit project reports</w:t>
      </w:r>
      <w:r w:rsidRPr="009422F7">
        <w:rPr>
          <w:rFonts w:cs="Arial"/>
        </w:rPr>
        <w:t>, Ministerial responses, briefings and other documentation</w:t>
      </w:r>
      <w:r>
        <w:rPr>
          <w:rFonts w:cs="Arial"/>
        </w:rPr>
        <w:t xml:space="preserve"> which give governance bodies and decision makers</w:t>
      </w:r>
      <w:r>
        <w:t xml:space="preserve"> accurate, up to date project information to ensure risks are escalated where required and key decisions are made at the appropriate level, at the right time</w:t>
      </w:r>
      <w:r w:rsidRPr="00666730">
        <w:t xml:space="preserve">. </w:t>
      </w:r>
    </w:p>
    <w:p w14:paraId="3982CF60" w14:textId="77777777" w:rsidR="009D4929" w:rsidRDefault="00756C5C" w:rsidP="0069208D">
      <w:pPr>
        <w:numPr>
          <w:ilvl w:val="0"/>
          <w:numId w:val="14"/>
        </w:numPr>
        <w:tabs>
          <w:tab w:val="left" w:pos="-1418"/>
        </w:tabs>
        <w:spacing w:after="0"/>
        <w:ind w:left="714" w:hanging="357"/>
      </w:pPr>
      <w:r>
        <w:t xml:space="preserve">Lead the </w:t>
      </w:r>
      <w:r w:rsidR="001D2A69">
        <w:t>construction services</w:t>
      </w:r>
      <w:r>
        <w:t xml:space="preserve"> teams in ensuring project</w:t>
      </w:r>
      <w:r w:rsidR="001D2A69">
        <w:t>s are</w:t>
      </w:r>
      <w:r w:rsidRPr="00666730">
        <w:t xml:space="preserve"> fully compliant with </w:t>
      </w:r>
      <w:r>
        <w:t xml:space="preserve">all legislative, regulatory and policy </w:t>
      </w:r>
      <w:r w:rsidR="001D2A69">
        <w:t>requirements.</w:t>
      </w:r>
    </w:p>
    <w:p w14:paraId="6A5A5809" w14:textId="77777777" w:rsidR="0069208D" w:rsidRDefault="0069208D" w:rsidP="0069208D">
      <w:pPr>
        <w:tabs>
          <w:tab w:val="left" w:pos="-1418"/>
        </w:tabs>
        <w:spacing w:after="0"/>
      </w:pPr>
    </w:p>
    <w:p w14:paraId="26F03A05" w14:textId="77777777" w:rsidR="001D097C" w:rsidRPr="00614552" w:rsidRDefault="001D097C" w:rsidP="006A2280">
      <w:pPr>
        <w:tabs>
          <w:tab w:val="left" w:pos="2925"/>
        </w:tabs>
        <w:rPr>
          <w:rStyle w:val="Heading1Char"/>
        </w:rPr>
      </w:pPr>
      <w:r w:rsidRPr="00614552">
        <w:rPr>
          <w:rStyle w:val="Heading1Char"/>
        </w:rPr>
        <w:t>Key challenges</w:t>
      </w:r>
    </w:p>
    <w:p w14:paraId="68EEA91B" w14:textId="0E07C766" w:rsidR="00756C5C" w:rsidRDefault="001D2A69" w:rsidP="00756C5C">
      <w:pPr>
        <w:numPr>
          <w:ilvl w:val="0"/>
          <w:numId w:val="11"/>
        </w:numPr>
        <w:spacing w:after="0"/>
        <w:ind w:left="709" w:hanging="352"/>
      </w:pPr>
      <w:r>
        <w:t>Construction</w:t>
      </w:r>
      <w:r w:rsidR="00756C5C">
        <w:t xml:space="preserve"> of </w:t>
      </w:r>
      <w:r w:rsidR="008173D5">
        <w:t>W</w:t>
      </w:r>
      <w:r w:rsidR="00756C5C">
        <w:t xml:space="preserve">ater </w:t>
      </w:r>
      <w:r w:rsidR="008173D5">
        <w:t>I</w:t>
      </w:r>
      <w:r w:rsidR="00756C5C">
        <w:t xml:space="preserve">nfrastructure projects with challenging timeframes and complex </w:t>
      </w:r>
      <w:r>
        <w:t xml:space="preserve">environmental, </w:t>
      </w:r>
      <w:r w:rsidR="00175B7D">
        <w:t xml:space="preserve">heritage, </w:t>
      </w:r>
      <w:r>
        <w:t xml:space="preserve">landholder and </w:t>
      </w:r>
      <w:r w:rsidR="00756C5C">
        <w:t>stakeholder environments.</w:t>
      </w:r>
    </w:p>
    <w:p w14:paraId="26DA621A" w14:textId="77777777" w:rsidR="00756C5C" w:rsidRDefault="00756C5C" w:rsidP="00756C5C">
      <w:pPr>
        <w:numPr>
          <w:ilvl w:val="0"/>
          <w:numId w:val="11"/>
        </w:numPr>
        <w:spacing w:after="0"/>
        <w:ind w:left="709" w:hanging="352"/>
      </w:pPr>
      <w:r>
        <w:t xml:space="preserve">Leading the </w:t>
      </w:r>
      <w:r w:rsidR="00956538">
        <w:t>construction services</w:t>
      </w:r>
      <w:r>
        <w:t xml:space="preserve"> team, contributing to </w:t>
      </w:r>
      <w:r w:rsidRPr="00666730">
        <w:t>technical</w:t>
      </w:r>
      <w:r>
        <w:t xml:space="preserve">, environmental, </w:t>
      </w:r>
      <w:r w:rsidR="00956538">
        <w:t xml:space="preserve">heritage, </w:t>
      </w:r>
      <w:r>
        <w:t xml:space="preserve">stakeholder engagement, </w:t>
      </w:r>
      <w:r w:rsidR="00956538">
        <w:t xml:space="preserve">landholder, </w:t>
      </w:r>
      <w:r>
        <w:t>procurement</w:t>
      </w:r>
      <w:r w:rsidRPr="00666730">
        <w:t xml:space="preserve"> and commercial aspects of the </w:t>
      </w:r>
      <w:r>
        <w:t>p</w:t>
      </w:r>
      <w:r w:rsidRPr="002166B4">
        <w:t>roject</w:t>
      </w:r>
      <w:r w:rsidRPr="00666730">
        <w:t xml:space="preserve">, </w:t>
      </w:r>
      <w:r>
        <w:t>escalating</w:t>
      </w:r>
      <w:r w:rsidRPr="00666730">
        <w:t xml:space="preserve"> key critical</w:t>
      </w:r>
      <w:r w:rsidR="00956538">
        <w:t xml:space="preserve"> construction</w:t>
      </w:r>
      <w:r w:rsidRPr="00666730">
        <w:t xml:space="preserve"> issues, and monitoring progress to key project milestones and performance measures.</w:t>
      </w:r>
    </w:p>
    <w:p w14:paraId="22F24B80" w14:textId="77777777" w:rsidR="00756C5C" w:rsidRDefault="00756C5C" w:rsidP="004B31C9">
      <w:pPr>
        <w:numPr>
          <w:ilvl w:val="0"/>
          <w:numId w:val="11"/>
        </w:numPr>
        <w:spacing w:after="0"/>
        <w:ind w:left="709" w:hanging="352"/>
      </w:pPr>
      <w:r>
        <w:t>Managing</w:t>
      </w:r>
      <w:r w:rsidRPr="002166B4">
        <w:t xml:space="preserve"> competing pressures between project scope</w:t>
      </w:r>
      <w:r>
        <w:t xml:space="preserve"> (including quality outcomes)</w:t>
      </w:r>
      <w:r w:rsidRPr="002166B4">
        <w:t xml:space="preserve">, cost, </w:t>
      </w:r>
      <w:r>
        <w:t xml:space="preserve">schedule </w:t>
      </w:r>
      <w:r w:rsidRPr="002166B4">
        <w:t xml:space="preserve">and risk, while meeting stakeholder </w:t>
      </w:r>
      <w:r w:rsidR="00956538">
        <w:t xml:space="preserve">and landholder </w:t>
      </w:r>
      <w:r w:rsidRPr="002166B4">
        <w:t>expectations and longer</w:t>
      </w:r>
      <w:r>
        <w:t>-</w:t>
      </w:r>
      <w:r w:rsidRPr="002166B4">
        <w:t>term community needs in an environment of intense public scrutiny.</w:t>
      </w:r>
      <w:r w:rsidR="0069208D">
        <w:t xml:space="preserve">  </w:t>
      </w:r>
      <w:r>
        <w:t>Managing competing pressures where external inputs (e.g. other agencies are required to enable project delivery, particularly where objectives may not align.</w:t>
      </w:r>
    </w:p>
    <w:p w14:paraId="44472EFD" w14:textId="77777777" w:rsidR="009D4929" w:rsidRPr="00666730" w:rsidRDefault="009D4929" w:rsidP="009D4929">
      <w:pPr>
        <w:spacing w:after="0"/>
      </w:pPr>
    </w:p>
    <w:p w14:paraId="79E2704E"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W w:w="1058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86"/>
      </w:tblGrid>
      <w:tr w:rsidR="00BB532F" w:rsidRPr="00CC78FD" w14:paraId="606822E0" w14:textId="77777777" w:rsidTr="00844ACF">
        <w:trPr>
          <w:tblHeader/>
        </w:trPr>
        <w:tc>
          <w:tcPr>
            <w:tcW w:w="3601" w:type="dxa"/>
            <w:tcBorders>
              <w:top w:val="single" w:sz="8" w:space="0" w:color="auto"/>
              <w:left w:val="nil"/>
              <w:bottom w:val="single" w:sz="8" w:space="0" w:color="auto"/>
              <w:right w:val="nil"/>
              <w:tl2br w:val="nil"/>
              <w:tr2bl w:val="nil"/>
            </w:tcBorders>
            <w:shd w:val="clear" w:color="auto" w:fill="6D276A"/>
          </w:tcPr>
          <w:p w14:paraId="7EFB5CB7" w14:textId="77777777" w:rsidR="00BB532F" w:rsidRPr="00CC78FD" w:rsidRDefault="00BB532F" w:rsidP="00F067EA">
            <w:pPr>
              <w:pStyle w:val="TableTextWhite0"/>
              <w:rPr>
                <w:sz w:val="20"/>
              </w:rPr>
            </w:pPr>
            <w:r w:rsidRPr="00CC78FD">
              <w:rPr>
                <w:sz w:val="20"/>
              </w:rPr>
              <w:lastRenderedPageBreak/>
              <w:t>Who</w:t>
            </w:r>
          </w:p>
        </w:tc>
        <w:tc>
          <w:tcPr>
            <w:tcW w:w="6986" w:type="dxa"/>
            <w:tcBorders>
              <w:top w:val="single" w:sz="8" w:space="0" w:color="auto"/>
              <w:left w:val="nil"/>
              <w:bottom w:val="single" w:sz="8" w:space="0" w:color="auto"/>
              <w:right w:val="nil"/>
              <w:tl2br w:val="nil"/>
              <w:tr2bl w:val="nil"/>
            </w:tcBorders>
            <w:shd w:val="clear" w:color="auto" w:fill="6D276A"/>
          </w:tcPr>
          <w:p w14:paraId="0C20C667" w14:textId="77777777" w:rsidR="00BB532F" w:rsidRPr="00CC78FD" w:rsidRDefault="00BB532F" w:rsidP="00022223">
            <w:pPr>
              <w:pStyle w:val="TableTextWhite0"/>
              <w:rPr>
                <w:sz w:val="20"/>
              </w:rPr>
            </w:pPr>
            <w:r w:rsidRPr="00CC78FD">
              <w:rPr>
                <w:sz w:val="20"/>
              </w:rPr>
              <w:t>Why</w:t>
            </w:r>
          </w:p>
        </w:tc>
      </w:tr>
      <w:tr w:rsidR="00BB532F" w:rsidRPr="00CC78FD" w14:paraId="45B2A8BD" w14:textId="77777777" w:rsidTr="00844ACF">
        <w:tc>
          <w:tcPr>
            <w:tcW w:w="3601" w:type="dxa"/>
            <w:shd w:val="clear" w:color="auto" w:fill="BCBEC0"/>
          </w:tcPr>
          <w:p w14:paraId="160ED3D4" w14:textId="77777777" w:rsidR="00BB532F" w:rsidRPr="00CC78FD" w:rsidRDefault="00BB532F" w:rsidP="00CC78FD">
            <w:pPr>
              <w:pStyle w:val="TableText"/>
              <w:keepNext/>
              <w:rPr>
                <w:b/>
              </w:rPr>
            </w:pPr>
            <w:r w:rsidRPr="00CC78FD">
              <w:rPr>
                <w:b/>
              </w:rPr>
              <w:t>Internal</w:t>
            </w:r>
          </w:p>
        </w:tc>
        <w:tc>
          <w:tcPr>
            <w:tcW w:w="6986" w:type="dxa"/>
            <w:shd w:val="clear" w:color="auto" w:fill="BCBEC0"/>
          </w:tcPr>
          <w:p w14:paraId="51E1276F" w14:textId="77777777" w:rsidR="00BB532F" w:rsidRPr="00CC78FD" w:rsidRDefault="00BB532F" w:rsidP="00CC78FD">
            <w:pPr>
              <w:pStyle w:val="TableText"/>
              <w:keepNext/>
              <w:rPr>
                <w:b/>
              </w:rPr>
            </w:pPr>
          </w:p>
        </w:tc>
      </w:tr>
      <w:tr w:rsidR="00BB532F" w:rsidRPr="00CC78FD" w14:paraId="4A23E3D4" w14:textId="77777777" w:rsidTr="00844ACF">
        <w:tc>
          <w:tcPr>
            <w:tcW w:w="3601" w:type="dxa"/>
            <w:tcBorders>
              <w:top w:val="single" w:sz="8" w:space="0" w:color="auto"/>
              <w:bottom w:val="single" w:sz="8" w:space="0" w:color="BCBEC0"/>
            </w:tcBorders>
            <w:shd w:val="clear" w:color="auto" w:fill="auto"/>
          </w:tcPr>
          <w:p w14:paraId="72002536" w14:textId="77777777" w:rsidR="00BB532F" w:rsidRPr="00CC78FD" w:rsidRDefault="001336E8" w:rsidP="00170C82">
            <w:pPr>
              <w:pStyle w:val="TableText"/>
            </w:pPr>
            <w:r w:rsidRPr="00CC78FD">
              <w:t xml:space="preserve">Director </w:t>
            </w:r>
            <w:r w:rsidR="0018135B">
              <w:t>Infrastructu</w:t>
            </w:r>
            <w:r w:rsidR="00844ACF">
              <w:t>r</w:t>
            </w:r>
            <w:r w:rsidR="0018135B">
              <w:t xml:space="preserve">e </w:t>
            </w:r>
            <w:r w:rsidR="00170C82">
              <w:t>Projects</w:t>
            </w:r>
            <w:r w:rsidR="00C727DC" w:rsidRPr="00CC78FD">
              <w:t xml:space="preserve"> </w:t>
            </w:r>
          </w:p>
        </w:tc>
        <w:tc>
          <w:tcPr>
            <w:tcW w:w="6986" w:type="dxa"/>
            <w:tcBorders>
              <w:top w:val="single" w:sz="8" w:space="0" w:color="auto"/>
              <w:bottom w:val="single" w:sz="8" w:space="0" w:color="BCBEC0"/>
            </w:tcBorders>
            <w:shd w:val="clear" w:color="auto" w:fill="auto"/>
          </w:tcPr>
          <w:p w14:paraId="0AA07E8F" w14:textId="77777777" w:rsidR="00BB532F" w:rsidRPr="00CC78FD" w:rsidRDefault="00F87B88" w:rsidP="00844ACF">
            <w:pPr>
              <w:pStyle w:val="TableText"/>
              <w:numPr>
                <w:ilvl w:val="0"/>
                <w:numId w:val="3"/>
              </w:numPr>
              <w:ind w:left="369"/>
            </w:pPr>
            <w:r w:rsidRPr="00CC78FD">
              <w:t>P</w:t>
            </w:r>
            <w:r w:rsidR="001336E8" w:rsidRPr="00CC78FD">
              <w:t xml:space="preserve">rovide expert briefings on new and emerging issues, and to report on </w:t>
            </w:r>
            <w:r w:rsidR="004033B5" w:rsidRPr="00CC78FD">
              <w:t>p</w:t>
            </w:r>
            <w:r w:rsidR="001336E8" w:rsidRPr="00CC78FD">
              <w:t>roject performance</w:t>
            </w:r>
          </w:p>
        </w:tc>
      </w:tr>
      <w:tr w:rsidR="0096540D" w:rsidRPr="00CC78FD" w14:paraId="4476B568" w14:textId="77777777" w:rsidTr="00844ACF">
        <w:trPr>
          <w:trHeight w:val="1099"/>
        </w:trPr>
        <w:tc>
          <w:tcPr>
            <w:tcW w:w="3601" w:type="dxa"/>
            <w:tcBorders>
              <w:top w:val="single" w:sz="8" w:space="0" w:color="auto"/>
              <w:bottom w:val="single" w:sz="8" w:space="0" w:color="BCBEC0"/>
            </w:tcBorders>
            <w:shd w:val="clear" w:color="auto" w:fill="auto"/>
          </w:tcPr>
          <w:p w14:paraId="5DE8187A" w14:textId="77777777" w:rsidR="0096540D" w:rsidRDefault="004033B5" w:rsidP="00591EBE">
            <w:pPr>
              <w:pStyle w:val="TableText"/>
            </w:pPr>
            <w:r w:rsidRPr="00CC78FD">
              <w:t xml:space="preserve">Other Water Project Managers </w:t>
            </w:r>
            <w:r w:rsidR="0069208D">
              <w:t xml:space="preserve">and colleagues </w:t>
            </w:r>
            <w:r w:rsidR="00BB5167">
              <w:t>across Water Group</w:t>
            </w:r>
          </w:p>
          <w:p w14:paraId="2BFFDFB5" w14:textId="77777777" w:rsidR="00126D52" w:rsidRPr="00126D52" w:rsidRDefault="00126D52" w:rsidP="00126D52">
            <w:pPr>
              <w:rPr>
                <w:lang w:val="en-AU"/>
              </w:rPr>
            </w:pPr>
          </w:p>
        </w:tc>
        <w:tc>
          <w:tcPr>
            <w:tcW w:w="6986" w:type="dxa"/>
            <w:tcBorders>
              <w:top w:val="single" w:sz="8" w:space="0" w:color="auto"/>
              <w:bottom w:val="single" w:sz="8" w:space="0" w:color="BCBEC0"/>
            </w:tcBorders>
            <w:shd w:val="clear" w:color="auto" w:fill="auto"/>
          </w:tcPr>
          <w:p w14:paraId="1235DF00" w14:textId="77777777" w:rsidR="0096540D" w:rsidRPr="00CC78FD" w:rsidRDefault="0096540D" w:rsidP="00844ACF">
            <w:pPr>
              <w:pStyle w:val="Default"/>
              <w:numPr>
                <w:ilvl w:val="0"/>
                <w:numId w:val="3"/>
              </w:numPr>
              <w:ind w:left="369"/>
              <w:rPr>
                <w:rFonts w:eastAsia="Calibri"/>
                <w:sz w:val="20"/>
                <w:szCs w:val="20"/>
              </w:rPr>
            </w:pPr>
            <w:r w:rsidRPr="00CC78FD">
              <w:rPr>
                <w:rFonts w:eastAsia="Calibri"/>
                <w:sz w:val="20"/>
                <w:szCs w:val="20"/>
              </w:rPr>
              <w:t xml:space="preserve">Provide advice and information; seek information for reporting and coordination </w:t>
            </w:r>
          </w:p>
          <w:p w14:paraId="37B8B7FA" w14:textId="77777777" w:rsidR="0096540D" w:rsidRPr="00CC78FD" w:rsidRDefault="0096540D" w:rsidP="00844ACF">
            <w:pPr>
              <w:pStyle w:val="TableText"/>
              <w:numPr>
                <w:ilvl w:val="0"/>
                <w:numId w:val="3"/>
              </w:numPr>
              <w:ind w:left="369"/>
            </w:pPr>
            <w:r w:rsidRPr="00CC78FD">
              <w:t>Work closely to share knowledge on project</w:t>
            </w:r>
            <w:r w:rsidR="00865BFA">
              <w:t xml:space="preserve"> construction</w:t>
            </w:r>
            <w:r w:rsidRPr="00CC78FD">
              <w:t xml:space="preserve"> requirements and obtain data and information to r</w:t>
            </w:r>
            <w:r w:rsidR="009D4929">
              <w:t>equired standard and timeframes</w:t>
            </w:r>
          </w:p>
        </w:tc>
      </w:tr>
      <w:tr w:rsidR="0096540D" w:rsidRPr="00CC78FD" w14:paraId="705D31AD" w14:textId="77777777" w:rsidTr="00844ACF">
        <w:tc>
          <w:tcPr>
            <w:tcW w:w="3601" w:type="dxa"/>
            <w:shd w:val="clear" w:color="auto" w:fill="BCBEC0"/>
          </w:tcPr>
          <w:p w14:paraId="191A2A7B" w14:textId="77777777" w:rsidR="0096540D" w:rsidRPr="00CC78FD" w:rsidRDefault="0096540D" w:rsidP="00CC78FD">
            <w:pPr>
              <w:pStyle w:val="TableText"/>
              <w:keepNext/>
              <w:rPr>
                <w:b/>
              </w:rPr>
            </w:pPr>
            <w:r w:rsidRPr="00CC78FD">
              <w:rPr>
                <w:b/>
              </w:rPr>
              <w:t>External</w:t>
            </w:r>
          </w:p>
        </w:tc>
        <w:tc>
          <w:tcPr>
            <w:tcW w:w="6986" w:type="dxa"/>
            <w:shd w:val="clear" w:color="auto" w:fill="BCBEC0"/>
          </w:tcPr>
          <w:p w14:paraId="1BDC600A" w14:textId="77777777" w:rsidR="0096540D" w:rsidRPr="00CC78FD" w:rsidRDefault="0096540D" w:rsidP="00844ACF">
            <w:pPr>
              <w:pStyle w:val="TableText"/>
              <w:keepNext/>
              <w:ind w:left="369"/>
              <w:rPr>
                <w:b/>
              </w:rPr>
            </w:pPr>
          </w:p>
        </w:tc>
      </w:tr>
      <w:tr w:rsidR="0096540D" w:rsidRPr="00CC78FD" w14:paraId="4D653EE3" w14:textId="77777777" w:rsidTr="00844ACF">
        <w:tc>
          <w:tcPr>
            <w:tcW w:w="3601" w:type="dxa"/>
            <w:tcBorders>
              <w:top w:val="single" w:sz="8" w:space="0" w:color="auto"/>
              <w:bottom w:val="single" w:sz="8" w:space="0" w:color="auto"/>
            </w:tcBorders>
            <w:shd w:val="clear" w:color="auto" w:fill="auto"/>
          </w:tcPr>
          <w:p w14:paraId="4247B614" w14:textId="77777777" w:rsidR="0096540D" w:rsidRPr="00CC78FD" w:rsidRDefault="0096540D" w:rsidP="00844ACF">
            <w:pPr>
              <w:pStyle w:val="TableText"/>
            </w:pPr>
            <w:r w:rsidRPr="00CC78FD">
              <w:t>Government agencies and local government stakeholders</w:t>
            </w:r>
          </w:p>
        </w:tc>
        <w:tc>
          <w:tcPr>
            <w:tcW w:w="6986" w:type="dxa"/>
            <w:tcBorders>
              <w:top w:val="single" w:sz="8" w:space="0" w:color="auto"/>
              <w:bottom w:val="single" w:sz="8" w:space="0" w:color="auto"/>
            </w:tcBorders>
            <w:shd w:val="clear" w:color="auto" w:fill="auto"/>
          </w:tcPr>
          <w:p w14:paraId="5420FD66" w14:textId="77777777" w:rsidR="0096540D" w:rsidRPr="00CC78FD" w:rsidRDefault="0096540D" w:rsidP="00844ACF">
            <w:pPr>
              <w:pStyle w:val="TableText"/>
              <w:numPr>
                <w:ilvl w:val="0"/>
                <w:numId w:val="3"/>
              </w:numPr>
              <w:ind w:left="369"/>
            </w:pPr>
            <w:r w:rsidRPr="00CC78FD">
              <w:t xml:space="preserve">Consistently and appropriately partnering and providing advice with regard to </w:t>
            </w:r>
            <w:r w:rsidR="004033B5" w:rsidRPr="00CC78FD">
              <w:t xml:space="preserve">the </w:t>
            </w:r>
            <w:r w:rsidR="00C727DC" w:rsidRPr="00CC78FD">
              <w:t>project</w:t>
            </w:r>
            <w:r w:rsidRPr="00CC78FD">
              <w:t xml:space="preserve"> for consistent messaging, stakeholder engagement and program implementation, to engender support and provide clear information to stakeholders </w:t>
            </w:r>
          </w:p>
          <w:p w14:paraId="10A60D9F" w14:textId="77777777" w:rsidR="0096540D" w:rsidRPr="00CC78FD" w:rsidRDefault="0096540D" w:rsidP="00844ACF">
            <w:pPr>
              <w:pStyle w:val="TableText"/>
              <w:numPr>
                <w:ilvl w:val="0"/>
                <w:numId w:val="3"/>
              </w:numPr>
              <w:ind w:left="369"/>
            </w:pPr>
            <w:r w:rsidRPr="00CC78FD">
              <w:t xml:space="preserve">Advise partnering state agencies to </w:t>
            </w:r>
            <w:r w:rsidR="004033B5" w:rsidRPr="00CC78FD">
              <w:t>sustain a consistent approach to project deliverables and timeframes</w:t>
            </w:r>
            <w:r w:rsidRPr="00CC78FD">
              <w:t xml:space="preserve"> </w:t>
            </w:r>
          </w:p>
        </w:tc>
      </w:tr>
      <w:tr w:rsidR="00844ACF" w:rsidRPr="00CC78FD" w14:paraId="06408125" w14:textId="77777777" w:rsidTr="00844ACF">
        <w:tc>
          <w:tcPr>
            <w:tcW w:w="3601" w:type="dxa"/>
            <w:tcBorders>
              <w:top w:val="single" w:sz="8" w:space="0" w:color="auto"/>
              <w:bottom w:val="single" w:sz="8" w:space="0" w:color="auto"/>
            </w:tcBorders>
            <w:shd w:val="clear" w:color="auto" w:fill="auto"/>
          </w:tcPr>
          <w:p w14:paraId="402A7829" w14:textId="77777777" w:rsidR="00844ACF" w:rsidRPr="00CC78FD" w:rsidRDefault="00844ACF" w:rsidP="00A35759">
            <w:pPr>
              <w:pStyle w:val="TableText"/>
            </w:pPr>
            <w:r>
              <w:rPr>
                <w:rFonts w:cs="Arial"/>
              </w:rPr>
              <w:t>Industry partners</w:t>
            </w:r>
          </w:p>
        </w:tc>
        <w:tc>
          <w:tcPr>
            <w:tcW w:w="6986" w:type="dxa"/>
            <w:tcBorders>
              <w:top w:val="single" w:sz="8" w:space="0" w:color="auto"/>
              <w:bottom w:val="single" w:sz="8" w:space="0" w:color="auto"/>
            </w:tcBorders>
            <w:shd w:val="clear" w:color="auto" w:fill="auto"/>
          </w:tcPr>
          <w:p w14:paraId="385093BD" w14:textId="77777777" w:rsidR="00844ACF" w:rsidRPr="00CC78FD" w:rsidRDefault="00844ACF" w:rsidP="00844ACF">
            <w:pPr>
              <w:pStyle w:val="TableText"/>
              <w:numPr>
                <w:ilvl w:val="0"/>
                <w:numId w:val="3"/>
              </w:numPr>
              <w:ind w:left="369"/>
            </w:pPr>
            <w:r w:rsidRPr="00844ACF">
              <w:rPr>
                <w:lang w:val="en-US"/>
              </w:rPr>
              <w:t>Work collaboratively to achieve project outcomes with industry partners including engineering service companies and contractors</w:t>
            </w:r>
          </w:p>
        </w:tc>
      </w:tr>
      <w:tr w:rsidR="00844ACF" w:rsidRPr="00CC78FD" w14:paraId="53235B6C" w14:textId="77777777" w:rsidTr="00844ACF">
        <w:tc>
          <w:tcPr>
            <w:tcW w:w="3601" w:type="dxa"/>
            <w:tcBorders>
              <w:top w:val="single" w:sz="8" w:space="0" w:color="auto"/>
              <w:bottom w:val="single" w:sz="8" w:space="0" w:color="auto"/>
            </w:tcBorders>
            <w:shd w:val="clear" w:color="auto" w:fill="auto"/>
          </w:tcPr>
          <w:p w14:paraId="73A726DB" w14:textId="77777777" w:rsidR="00844ACF" w:rsidRPr="00CC78FD" w:rsidRDefault="00844ACF" w:rsidP="00A35759">
            <w:pPr>
              <w:pStyle w:val="TableText"/>
            </w:pPr>
            <w:r w:rsidRPr="00005C6F">
              <w:t>Community</w:t>
            </w:r>
          </w:p>
        </w:tc>
        <w:tc>
          <w:tcPr>
            <w:tcW w:w="6986" w:type="dxa"/>
            <w:tcBorders>
              <w:top w:val="single" w:sz="8" w:space="0" w:color="auto"/>
              <w:bottom w:val="single" w:sz="8" w:space="0" w:color="auto"/>
            </w:tcBorders>
            <w:shd w:val="clear" w:color="auto" w:fill="auto"/>
          </w:tcPr>
          <w:p w14:paraId="6E8A8529" w14:textId="77777777" w:rsidR="00844ACF" w:rsidRPr="00CC78FD" w:rsidRDefault="00844ACF" w:rsidP="00844ACF">
            <w:pPr>
              <w:pStyle w:val="TableText"/>
              <w:numPr>
                <w:ilvl w:val="0"/>
                <w:numId w:val="3"/>
              </w:numPr>
              <w:ind w:left="369"/>
            </w:pPr>
            <w:r w:rsidRPr="00844ACF">
              <w:rPr>
                <w:lang w:val="en-US"/>
              </w:rPr>
              <w:t>Ensure the entire community is engaged and properly consulted on the Project and its delivery impacts and timelines</w:t>
            </w:r>
          </w:p>
        </w:tc>
      </w:tr>
      <w:tr w:rsidR="00844ACF" w:rsidRPr="00CC78FD" w14:paraId="565472D3" w14:textId="77777777" w:rsidTr="00844ACF">
        <w:tc>
          <w:tcPr>
            <w:tcW w:w="3601" w:type="dxa"/>
            <w:tcBorders>
              <w:top w:val="single" w:sz="8" w:space="0" w:color="auto"/>
              <w:bottom w:val="single" w:sz="8" w:space="0" w:color="BCBEC0"/>
            </w:tcBorders>
            <w:shd w:val="clear" w:color="auto" w:fill="auto"/>
          </w:tcPr>
          <w:p w14:paraId="0E771CDF" w14:textId="77777777" w:rsidR="00844ACF" w:rsidRPr="00CC78FD" w:rsidRDefault="00844ACF" w:rsidP="00844ACF">
            <w:pPr>
              <w:pStyle w:val="TableText"/>
            </w:pPr>
            <w:r w:rsidRPr="00CC78FD">
              <w:t xml:space="preserve">Industry stakeholders, community </w:t>
            </w:r>
          </w:p>
          <w:p w14:paraId="0A9B5A4D" w14:textId="77777777" w:rsidR="00844ACF" w:rsidRPr="00CC78FD" w:rsidRDefault="00844ACF" w:rsidP="00844ACF">
            <w:pPr>
              <w:pStyle w:val="TableText"/>
            </w:pPr>
            <w:r w:rsidRPr="00CC78FD">
              <w:t>advocacy groups and other non-</w:t>
            </w:r>
          </w:p>
          <w:p w14:paraId="04E3F3CC" w14:textId="77777777" w:rsidR="00844ACF" w:rsidRPr="00CC78FD" w:rsidRDefault="00844ACF" w:rsidP="00844ACF">
            <w:pPr>
              <w:pStyle w:val="TableText"/>
            </w:pPr>
            <w:r w:rsidRPr="00CC78FD">
              <w:t>government stakeholders</w:t>
            </w:r>
          </w:p>
        </w:tc>
        <w:tc>
          <w:tcPr>
            <w:tcW w:w="6986" w:type="dxa"/>
            <w:tcBorders>
              <w:top w:val="single" w:sz="8" w:space="0" w:color="auto"/>
              <w:bottom w:val="single" w:sz="8" w:space="0" w:color="BCBEC0"/>
            </w:tcBorders>
            <w:shd w:val="clear" w:color="auto" w:fill="auto"/>
          </w:tcPr>
          <w:p w14:paraId="380C98F3" w14:textId="77777777" w:rsidR="00844ACF" w:rsidRPr="00CC78FD" w:rsidRDefault="00844ACF" w:rsidP="00844ACF">
            <w:pPr>
              <w:pStyle w:val="TableText"/>
              <w:numPr>
                <w:ilvl w:val="0"/>
                <w:numId w:val="3"/>
              </w:numPr>
              <w:ind w:left="369"/>
            </w:pPr>
            <w:r w:rsidRPr="00844ACF">
              <w:rPr>
                <w:lang w:val="en-US"/>
              </w:rPr>
              <w:t>Build and maintain effective and supportive relationships and engage dialogue to develop shared long term goals, provide thorough and meaningful information to educate stakeholders and the general public</w:t>
            </w:r>
          </w:p>
        </w:tc>
      </w:tr>
    </w:tbl>
    <w:p w14:paraId="00C5EC9C" w14:textId="77777777" w:rsidR="00844ACF" w:rsidRDefault="00844ACF"/>
    <w:p w14:paraId="4412DBFD" w14:textId="77777777" w:rsidR="00603D53" w:rsidRDefault="00603D53" w:rsidP="00614552">
      <w:pPr>
        <w:pStyle w:val="Heading1"/>
        <w:rPr>
          <w:sz w:val="28"/>
        </w:rPr>
      </w:pPr>
      <w:r w:rsidRPr="00614552">
        <w:t>Role dimensions</w:t>
      </w:r>
    </w:p>
    <w:p w14:paraId="228E3F0C" w14:textId="77777777" w:rsidR="00756C5C" w:rsidRDefault="00756C5C" w:rsidP="00756C5C">
      <w:pPr>
        <w:pStyle w:val="ListParagraph"/>
        <w:numPr>
          <w:ilvl w:val="0"/>
          <w:numId w:val="6"/>
        </w:numPr>
        <w:rPr>
          <w:rFonts w:cs="Arial"/>
          <w:szCs w:val="26"/>
        </w:rPr>
      </w:pPr>
      <w:r>
        <w:rPr>
          <w:rFonts w:cs="Arial"/>
          <w:szCs w:val="26"/>
        </w:rPr>
        <w:t>Accountable for aspects of the project</w:t>
      </w:r>
      <w:r w:rsidR="00865BFA">
        <w:rPr>
          <w:rFonts w:cs="Arial"/>
          <w:szCs w:val="26"/>
        </w:rPr>
        <w:t xml:space="preserve"> construction requirements</w:t>
      </w:r>
      <w:r>
        <w:rPr>
          <w:rFonts w:cs="Arial"/>
          <w:szCs w:val="26"/>
        </w:rPr>
        <w:t xml:space="preserve"> as agreed with the Director Infrastructure Projects</w:t>
      </w:r>
    </w:p>
    <w:p w14:paraId="46156EE6" w14:textId="77777777" w:rsidR="00756C5C" w:rsidRDefault="00756C5C" w:rsidP="00756C5C">
      <w:pPr>
        <w:pStyle w:val="ListParagraph"/>
        <w:numPr>
          <w:ilvl w:val="0"/>
          <w:numId w:val="6"/>
        </w:numPr>
        <w:rPr>
          <w:rFonts w:cs="Arial"/>
          <w:szCs w:val="26"/>
        </w:rPr>
      </w:pPr>
      <w:r>
        <w:rPr>
          <w:rFonts w:cs="Arial"/>
          <w:szCs w:val="26"/>
        </w:rPr>
        <w:t>A member of the Project Leadership team</w:t>
      </w:r>
    </w:p>
    <w:p w14:paraId="3F4C4898" w14:textId="77777777" w:rsidR="00756C5C" w:rsidRPr="00920415" w:rsidRDefault="00756C5C" w:rsidP="00756C5C">
      <w:pPr>
        <w:pStyle w:val="ListParagraph"/>
        <w:numPr>
          <w:ilvl w:val="0"/>
          <w:numId w:val="6"/>
        </w:numPr>
        <w:rPr>
          <w:rFonts w:cs="Arial"/>
          <w:szCs w:val="26"/>
        </w:rPr>
      </w:pPr>
      <w:r w:rsidRPr="00920415">
        <w:rPr>
          <w:rFonts w:cs="Arial"/>
          <w:szCs w:val="26"/>
        </w:rPr>
        <w:t xml:space="preserve">Has autonomy to ensure project </w:t>
      </w:r>
      <w:r w:rsidR="00865BFA">
        <w:rPr>
          <w:rFonts w:cs="Arial"/>
          <w:szCs w:val="26"/>
        </w:rPr>
        <w:t>construction development</w:t>
      </w:r>
      <w:r w:rsidRPr="00920415">
        <w:rPr>
          <w:rFonts w:cs="Arial"/>
          <w:szCs w:val="26"/>
        </w:rPr>
        <w:t xml:space="preserve"> and deliverables are within req</w:t>
      </w:r>
      <w:r>
        <w:rPr>
          <w:rFonts w:cs="Arial"/>
          <w:szCs w:val="26"/>
        </w:rPr>
        <w:t>uired timeframes and budget</w:t>
      </w:r>
    </w:p>
    <w:p w14:paraId="6C89BD4B" w14:textId="77777777" w:rsidR="00756C5C" w:rsidRPr="002F4AB1" w:rsidRDefault="00756C5C" w:rsidP="00756C5C">
      <w:pPr>
        <w:pStyle w:val="ListParagraph"/>
        <w:numPr>
          <w:ilvl w:val="0"/>
          <w:numId w:val="6"/>
        </w:numPr>
        <w:rPr>
          <w:rFonts w:cs="Arial"/>
          <w:szCs w:val="26"/>
        </w:rPr>
      </w:pPr>
      <w:r w:rsidRPr="00920415">
        <w:rPr>
          <w:rFonts w:cs="Arial"/>
          <w:szCs w:val="26"/>
        </w:rPr>
        <w:t xml:space="preserve">Plans, </w:t>
      </w:r>
      <w:r>
        <w:rPr>
          <w:rFonts w:cs="Arial"/>
          <w:szCs w:val="26"/>
        </w:rPr>
        <w:t>organizes and leads</w:t>
      </w:r>
      <w:r w:rsidRPr="00920415">
        <w:rPr>
          <w:rFonts w:cs="Arial"/>
          <w:szCs w:val="26"/>
        </w:rPr>
        <w:t xml:space="preserve"> the work of the </w:t>
      </w:r>
      <w:r w:rsidR="00865BFA">
        <w:rPr>
          <w:rFonts w:cs="Arial"/>
          <w:szCs w:val="26"/>
        </w:rPr>
        <w:t>construction services</w:t>
      </w:r>
      <w:r w:rsidRPr="00920415">
        <w:rPr>
          <w:rFonts w:cs="Arial"/>
          <w:szCs w:val="26"/>
        </w:rPr>
        <w:t xml:space="preserve"> team </w:t>
      </w:r>
    </w:p>
    <w:p w14:paraId="7B2FCA6C" w14:textId="77777777" w:rsidR="00756C5C" w:rsidRPr="00920415" w:rsidRDefault="00756C5C" w:rsidP="00756C5C">
      <w:pPr>
        <w:pStyle w:val="ListParagraph"/>
        <w:numPr>
          <w:ilvl w:val="0"/>
          <w:numId w:val="6"/>
        </w:numPr>
        <w:rPr>
          <w:rFonts w:cs="Arial"/>
          <w:szCs w:val="26"/>
        </w:rPr>
      </w:pPr>
      <w:r w:rsidRPr="00920415">
        <w:rPr>
          <w:rFonts w:cs="Arial"/>
          <w:szCs w:val="26"/>
        </w:rPr>
        <w:t>Liaises and represents D</w:t>
      </w:r>
      <w:r w:rsidR="00865BFA">
        <w:rPr>
          <w:rFonts w:cs="Arial"/>
          <w:szCs w:val="26"/>
        </w:rPr>
        <w:t>CCEEW</w:t>
      </w:r>
      <w:r w:rsidRPr="00920415">
        <w:rPr>
          <w:rFonts w:cs="Arial"/>
          <w:szCs w:val="26"/>
        </w:rPr>
        <w:t xml:space="preserve"> Water with regard to </w:t>
      </w:r>
      <w:r>
        <w:rPr>
          <w:rFonts w:cs="Arial"/>
          <w:szCs w:val="26"/>
        </w:rPr>
        <w:t>p</w:t>
      </w:r>
      <w:r w:rsidRPr="00920415">
        <w:rPr>
          <w:rFonts w:cs="Arial"/>
          <w:szCs w:val="26"/>
        </w:rPr>
        <w:t xml:space="preserve">roject </w:t>
      </w:r>
      <w:r w:rsidR="00865BFA">
        <w:rPr>
          <w:rFonts w:cs="Arial"/>
          <w:szCs w:val="26"/>
        </w:rPr>
        <w:t xml:space="preserve">construction </w:t>
      </w:r>
      <w:r w:rsidRPr="00920415">
        <w:rPr>
          <w:rFonts w:cs="Arial"/>
          <w:szCs w:val="26"/>
        </w:rPr>
        <w:t xml:space="preserve">outcomes </w:t>
      </w:r>
    </w:p>
    <w:p w14:paraId="73758BE4" w14:textId="77777777" w:rsidR="00756C5C" w:rsidRPr="00920415" w:rsidRDefault="00756C5C" w:rsidP="00756C5C">
      <w:pPr>
        <w:pStyle w:val="ListParagraph"/>
        <w:numPr>
          <w:ilvl w:val="0"/>
          <w:numId w:val="6"/>
        </w:numPr>
        <w:rPr>
          <w:rFonts w:cs="Arial"/>
          <w:szCs w:val="26"/>
        </w:rPr>
      </w:pPr>
      <w:r w:rsidRPr="00920415">
        <w:rPr>
          <w:rFonts w:cs="Arial"/>
          <w:szCs w:val="26"/>
        </w:rPr>
        <w:t>Refers to the Director</w:t>
      </w:r>
      <w:r>
        <w:rPr>
          <w:rFonts w:cs="Arial"/>
          <w:szCs w:val="26"/>
          <w:lang w:val="en-AU"/>
        </w:rPr>
        <w:t xml:space="preserve"> </w:t>
      </w:r>
      <w:r w:rsidRPr="00920415">
        <w:rPr>
          <w:rFonts w:cs="Arial"/>
          <w:szCs w:val="26"/>
        </w:rPr>
        <w:t xml:space="preserve">those decisions that involve significant change to the </w:t>
      </w:r>
      <w:r w:rsidR="00865BFA">
        <w:rPr>
          <w:rFonts w:cs="Arial"/>
          <w:szCs w:val="26"/>
        </w:rPr>
        <w:t>project construction</w:t>
      </w:r>
      <w:r w:rsidRPr="00920415">
        <w:rPr>
          <w:rFonts w:cs="Arial"/>
          <w:szCs w:val="26"/>
        </w:rPr>
        <w:t xml:space="preserve"> or which require higher delegation or approval</w:t>
      </w:r>
    </w:p>
    <w:p w14:paraId="7F849100" w14:textId="77777777" w:rsidR="00603D53" w:rsidRPr="00614552" w:rsidRDefault="00603D53" w:rsidP="00614552">
      <w:pPr>
        <w:pStyle w:val="Heading2"/>
      </w:pPr>
      <w:r w:rsidRPr="00614552">
        <w:t>Reporting line</w:t>
      </w:r>
    </w:p>
    <w:p w14:paraId="1BBBB1DA" w14:textId="77777777" w:rsidR="00603D53" w:rsidRPr="002F4AB1" w:rsidRDefault="004033B5">
      <w:pPr>
        <w:rPr>
          <w:rFonts w:cs="Arial"/>
          <w:szCs w:val="26"/>
          <w:lang w:val="en-AU"/>
        </w:rPr>
      </w:pPr>
      <w:r>
        <w:rPr>
          <w:rFonts w:cs="Arial"/>
          <w:szCs w:val="26"/>
          <w:lang w:val="en-AU"/>
        </w:rPr>
        <w:t xml:space="preserve">Director </w:t>
      </w:r>
      <w:r w:rsidR="0018135B">
        <w:rPr>
          <w:rFonts w:cs="Arial"/>
          <w:szCs w:val="26"/>
          <w:lang w:val="en-AU"/>
        </w:rPr>
        <w:t xml:space="preserve">Infrastructure </w:t>
      </w:r>
      <w:r w:rsidR="00170C82">
        <w:rPr>
          <w:rFonts w:cs="Arial"/>
          <w:szCs w:val="26"/>
          <w:lang w:val="en-AU"/>
        </w:rPr>
        <w:t>Projects</w:t>
      </w:r>
    </w:p>
    <w:p w14:paraId="0AA2AD9F" w14:textId="77777777" w:rsidR="00603D53" w:rsidRPr="00614552" w:rsidRDefault="00603D53" w:rsidP="00614552">
      <w:pPr>
        <w:pStyle w:val="Heading2"/>
      </w:pPr>
      <w:r w:rsidRPr="00614552">
        <w:t>Direct reports</w:t>
      </w:r>
    </w:p>
    <w:p w14:paraId="1DEB73CC" w14:textId="77777777" w:rsidR="00756C5C" w:rsidRPr="00844ACF" w:rsidRDefault="00756C5C" w:rsidP="00756C5C">
      <w:pPr>
        <w:rPr>
          <w:rFonts w:cs="Arial"/>
          <w:szCs w:val="26"/>
          <w:lang w:val="en-AU"/>
        </w:rPr>
      </w:pPr>
      <w:r>
        <w:rPr>
          <w:rFonts w:cs="Arial"/>
          <w:szCs w:val="26"/>
          <w:lang w:val="en-AU"/>
        </w:rPr>
        <w:t>Varies depending on the stage, size and complexity of the Project(s).</w:t>
      </w:r>
    </w:p>
    <w:p w14:paraId="6CC61413" w14:textId="77777777" w:rsidR="00603D53" w:rsidRPr="00614552" w:rsidRDefault="00603D53" w:rsidP="00614552">
      <w:pPr>
        <w:pStyle w:val="Heading2"/>
      </w:pPr>
      <w:r w:rsidRPr="00614552">
        <w:t>Budget/Expenditure</w:t>
      </w:r>
    </w:p>
    <w:p w14:paraId="05FD1B3C" w14:textId="77777777" w:rsidR="00603D53" w:rsidRPr="006D5E92" w:rsidRDefault="00CE4B6A">
      <w:pPr>
        <w:rPr>
          <w:rFonts w:cs="Arial"/>
          <w:szCs w:val="26"/>
          <w:lang w:val="en-AU"/>
        </w:rPr>
      </w:pPr>
      <w:r w:rsidRPr="00844ACF">
        <w:rPr>
          <w:rFonts w:cs="Arial"/>
          <w:szCs w:val="26"/>
          <w:lang w:val="en-AU"/>
        </w:rPr>
        <w:t>Project budgets in the range $5m to $</w:t>
      </w:r>
      <w:r w:rsidR="00756C5C">
        <w:rPr>
          <w:rFonts w:cs="Arial"/>
          <w:szCs w:val="26"/>
          <w:lang w:val="en-AU"/>
        </w:rPr>
        <w:t>4</w:t>
      </w:r>
      <w:r w:rsidR="00756C5C" w:rsidRPr="00844ACF">
        <w:rPr>
          <w:rFonts w:cs="Arial"/>
          <w:szCs w:val="26"/>
          <w:lang w:val="en-AU"/>
        </w:rPr>
        <w:t xml:space="preserve">00m </w:t>
      </w:r>
      <w:r w:rsidRPr="00844ACF">
        <w:rPr>
          <w:rFonts w:cs="Arial"/>
          <w:szCs w:val="26"/>
          <w:lang w:val="en-AU"/>
        </w:rPr>
        <w:t>outturn cost</w:t>
      </w:r>
    </w:p>
    <w:p w14:paraId="267A1077" w14:textId="77777777" w:rsidR="0056092C" w:rsidRDefault="0056092C" w:rsidP="00C727DC">
      <w:pPr>
        <w:tabs>
          <w:tab w:val="left" w:pos="2925"/>
        </w:tabs>
        <w:rPr>
          <w:rStyle w:val="Heading1Char"/>
        </w:rPr>
      </w:pPr>
    </w:p>
    <w:p w14:paraId="5A0A89DD" w14:textId="7312775D" w:rsidR="009D4929" w:rsidRDefault="009D4929" w:rsidP="00C727DC">
      <w:pPr>
        <w:tabs>
          <w:tab w:val="left" w:pos="2925"/>
        </w:tabs>
        <w:rPr>
          <w:rStyle w:val="Heading1Char"/>
        </w:rPr>
      </w:pPr>
      <w:r>
        <w:rPr>
          <w:rStyle w:val="Heading1Char"/>
        </w:rPr>
        <w:lastRenderedPageBreak/>
        <w:t>Key knowledge and experience</w:t>
      </w:r>
    </w:p>
    <w:p w14:paraId="6157BE8C" w14:textId="77777777" w:rsidR="00756C5C" w:rsidRPr="002C7495" w:rsidRDefault="00756C5C" w:rsidP="00756C5C">
      <w:pPr>
        <w:pStyle w:val="ListParagraph"/>
        <w:numPr>
          <w:ilvl w:val="0"/>
          <w:numId w:val="12"/>
        </w:numPr>
        <w:tabs>
          <w:tab w:val="num" w:pos="709"/>
        </w:tabs>
        <w:spacing w:after="0"/>
        <w:jc w:val="both"/>
        <w:rPr>
          <w:rFonts w:cs="Arial"/>
        </w:rPr>
      </w:pPr>
      <w:r>
        <w:t xml:space="preserve">Significant experience in </w:t>
      </w:r>
      <w:r w:rsidR="00865BFA">
        <w:t>construction</w:t>
      </w:r>
      <w:r>
        <w:t xml:space="preserve"> </w:t>
      </w:r>
      <w:r w:rsidRPr="00416EAB">
        <w:t xml:space="preserve">management for major infrastructure </w:t>
      </w:r>
      <w:r>
        <w:t xml:space="preserve">projects and/or </w:t>
      </w:r>
      <w:r w:rsidRPr="00416EAB">
        <w:t>capital works programs</w:t>
      </w:r>
      <w:r>
        <w:t>.</w:t>
      </w:r>
    </w:p>
    <w:p w14:paraId="7E35E3D6" w14:textId="77777777" w:rsidR="00756C5C" w:rsidRDefault="00756C5C" w:rsidP="00756C5C">
      <w:pPr>
        <w:pStyle w:val="ListParagraph"/>
        <w:numPr>
          <w:ilvl w:val="0"/>
          <w:numId w:val="12"/>
        </w:numPr>
        <w:tabs>
          <w:tab w:val="num" w:pos="709"/>
        </w:tabs>
        <w:spacing w:line="240" w:lineRule="auto"/>
        <w:rPr>
          <w:rFonts w:cs="Arial"/>
        </w:rPr>
      </w:pPr>
      <w:r w:rsidRPr="002C7495">
        <w:rPr>
          <w:rFonts w:cs="Arial"/>
        </w:rPr>
        <w:t xml:space="preserve">Experience in all stages of a complex infrastructure </w:t>
      </w:r>
      <w:r w:rsidR="00865BFA">
        <w:rPr>
          <w:rFonts w:cs="Arial"/>
        </w:rPr>
        <w:t>construction management</w:t>
      </w:r>
      <w:r w:rsidRPr="002C7495">
        <w:rPr>
          <w:rFonts w:cs="Arial"/>
        </w:rPr>
        <w:t xml:space="preserve"> lifecycle, particularly project development, </w:t>
      </w:r>
      <w:r w:rsidR="00865BFA">
        <w:rPr>
          <w:rFonts w:cs="Arial"/>
        </w:rPr>
        <w:t>constructability assessment</w:t>
      </w:r>
      <w:r>
        <w:rPr>
          <w:rFonts w:cs="Arial"/>
        </w:rPr>
        <w:t xml:space="preserve">, </w:t>
      </w:r>
      <w:r w:rsidR="00865BFA">
        <w:rPr>
          <w:rFonts w:cs="Arial"/>
        </w:rPr>
        <w:t xml:space="preserve">safety management, </w:t>
      </w:r>
      <w:r>
        <w:rPr>
          <w:rFonts w:cs="Arial"/>
        </w:rPr>
        <w:t>environmental approvals</w:t>
      </w:r>
      <w:r w:rsidR="00865BFA">
        <w:rPr>
          <w:rFonts w:cs="Arial"/>
        </w:rPr>
        <w:t xml:space="preserve"> and compliance</w:t>
      </w:r>
      <w:r>
        <w:rPr>
          <w:rFonts w:cs="Arial"/>
        </w:rPr>
        <w:t xml:space="preserve">, </w:t>
      </w:r>
      <w:r w:rsidRPr="002C7495">
        <w:rPr>
          <w:rFonts w:cs="Arial"/>
        </w:rPr>
        <w:t>procurement</w:t>
      </w:r>
      <w:r w:rsidR="00865BFA">
        <w:rPr>
          <w:rFonts w:cs="Arial"/>
        </w:rPr>
        <w:t xml:space="preserve"> and contract management</w:t>
      </w:r>
      <w:r w:rsidRPr="002C7495">
        <w:rPr>
          <w:rFonts w:cs="Arial"/>
        </w:rPr>
        <w:t>,</w:t>
      </w:r>
      <w:r>
        <w:rPr>
          <w:rFonts w:cs="Arial"/>
        </w:rPr>
        <w:t xml:space="preserve"> </w:t>
      </w:r>
      <w:r w:rsidR="00865BFA">
        <w:rPr>
          <w:rFonts w:cs="Arial"/>
        </w:rPr>
        <w:t xml:space="preserve">community and </w:t>
      </w:r>
      <w:r>
        <w:rPr>
          <w:rFonts w:cs="Arial"/>
        </w:rPr>
        <w:t>stakeholder engagement,</w:t>
      </w:r>
      <w:r w:rsidRPr="002C7495">
        <w:rPr>
          <w:rFonts w:cs="Arial"/>
        </w:rPr>
        <w:t xml:space="preserve"> delivery and completion processes</w:t>
      </w:r>
      <w:r>
        <w:rPr>
          <w:rFonts w:cs="Arial"/>
        </w:rPr>
        <w:t>,</w:t>
      </w:r>
      <w:r w:rsidRPr="002C7495">
        <w:rPr>
          <w:rFonts w:cs="Arial"/>
        </w:rPr>
        <w:t xml:space="preserve"> and handover to operations</w:t>
      </w:r>
      <w:r w:rsidR="00865BFA">
        <w:rPr>
          <w:rFonts w:cs="Arial"/>
        </w:rPr>
        <w:t xml:space="preserve"> and/or asset owner</w:t>
      </w:r>
      <w:r w:rsidRPr="002C7495">
        <w:rPr>
          <w:rFonts w:cs="Arial"/>
        </w:rPr>
        <w:t>.</w:t>
      </w:r>
    </w:p>
    <w:p w14:paraId="747286EB" w14:textId="77777777" w:rsidR="00756C5C" w:rsidRDefault="00756C5C" w:rsidP="00756C5C">
      <w:pPr>
        <w:pStyle w:val="ListParagraph"/>
        <w:numPr>
          <w:ilvl w:val="0"/>
          <w:numId w:val="12"/>
        </w:numPr>
        <w:tabs>
          <w:tab w:val="num" w:pos="709"/>
        </w:tabs>
        <w:spacing w:line="240" w:lineRule="auto"/>
        <w:rPr>
          <w:rFonts w:cs="Arial"/>
        </w:rPr>
      </w:pPr>
      <w:r w:rsidRPr="00981594">
        <w:rPr>
          <w:rFonts w:cs="Arial"/>
        </w:rPr>
        <w:t>Ability to understand high level technical and commercial issues</w:t>
      </w:r>
      <w:r>
        <w:rPr>
          <w:rFonts w:cs="Arial"/>
        </w:rPr>
        <w:t xml:space="preserve"> and demonstrated experience in resolving these issues</w:t>
      </w:r>
      <w:r w:rsidRPr="00981594">
        <w:rPr>
          <w:rFonts w:cs="Arial"/>
        </w:rPr>
        <w:t>.</w:t>
      </w:r>
    </w:p>
    <w:p w14:paraId="68AEE113" w14:textId="77777777" w:rsidR="00756C5C" w:rsidRPr="00981594" w:rsidRDefault="00756C5C" w:rsidP="00756C5C">
      <w:pPr>
        <w:pStyle w:val="ListParagraph"/>
        <w:numPr>
          <w:ilvl w:val="0"/>
          <w:numId w:val="12"/>
        </w:numPr>
        <w:tabs>
          <w:tab w:val="num" w:pos="709"/>
        </w:tabs>
        <w:spacing w:line="240" w:lineRule="auto"/>
        <w:rPr>
          <w:rFonts w:cs="Arial"/>
        </w:rPr>
      </w:pPr>
      <w:r>
        <w:rPr>
          <w:rFonts w:cs="Arial"/>
        </w:rPr>
        <w:t xml:space="preserve">Understanding of the NSW water sector </w:t>
      </w:r>
      <w:r w:rsidR="00865BFA">
        <w:rPr>
          <w:rFonts w:cs="Arial"/>
        </w:rPr>
        <w:t>and construction industry.</w:t>
      </w:r>
    </w:p>
    <w:p w14:paraId="17FD91E9" w14:textId="77777777" w:rsidR="00C727DC" w:rsidRDefault="00C727DC" w:rsidP="00C727DC">
      <w:pPr>
        <w:tabs>
          <w:tab w:val="left" w:pos="2925"/>
        </w:tabs>
        <w:rPr>
          <w:rStyle w:val="Heading1Char"/>
        </w:rPr>
      </w:pPr>
      <w:r w:rsidRPr="00614552">
        <w:rPr>
          <w:rStyle w:val="Heading1Char"/>
        </w:rPr>
        <w:t>Essential requirements</w:t>
      </w:r>
    </w:p>
    <w:p w14:paraId="75D362B8" w14:textId="77777777" w:rsidR="00756C5C" w:rsidRPr="00CC5E42" w:rsidRDefault="00756C5C" w:rsidP="00756C5C">
      <w:pPr>
        <w:pStyle w:val="ListParagraph"/>
        <w:numPr>
          <w:ilvl w:val="0"/>
          <w:numId w:val="15"/>
        </w:numPr>
        <w:rPr>
          <w:rFonts w:ascii="Georgia" w:hAnsi="Georgia"/>
        </w:rPr>
      </w:pPr>
      <w:r w:rsidRPr="00CC5E42">
        <w:t>Appropriate tertiary qualifications and/or equivalent relevant working experience in project management,</w:t>
      </w:r>
      <w:r w:rsidRPr="00034BAA">
        <w:t xml:space="preserve"> </w:t>
      </w:r>
      <w:r w:rsidR="00865BFA">
        <w:t xml:space="preserve">construction management, </w:t>
      </w:r>
      <w:r w:rsidRPr="00034BAA">
        <w:t>engineering, building or construction</w:t>
      </w:r>
      <w:r w:rsidRPr="00E001B8">
        <w:t xml:space="preserve"> </w:t>
      </w:r>
      <w:r w:rsidRPr="00B537B4">
        <w:t>acceptable for membership in the Institute of Engineers Australia</w:t>
      </w:r>
      <w:r>
        <w:t xml:space="preserve"> or the Australian Institute of Project Management.</w:t>
      </w:r>
    </w:p>
    <w:p w14:paraId="497F2D32" w14:textId="77777777" w:rsidR="00756C5C" w:rsidRPr="00807788" w:rsidRDefault="00756C5C" w:rsidP="00756C5C">
      <w:pPr>
        <w:pStyle w:val="ListParagraph"/>
        <w:numPr>
          <w:ilvl w:val="0"/>
          <w:numId w:val="15"/>
        </w:numPr>
        <w:rPr>
          <w:rFonts w:ascii="Georgia" w:hAnsi="Georgia"/>
        </w:rPr>
      </w:pPr>
      <w:r w:rsidRPr="00B537B4">
        <w:t>A valid NSW Driver’s Licence and willingness to drive</w:t>
      </w:r>
      <w:r>
        <w:t xml:space="preserve"> and work in</w:t>
      </w:r>
      <w:r w:rsidRPr="00B537B4">
        <w:t xml:space="preserve"> remote locations</w:t>
      </w:r>
      <w:r>
        <w:t>.</w:t>
      </w:r>
    </w:p>
    <w:p w14:paraId="2EF5B6D9" w14:textId="77777777" w:rsidR="003727EE" w:rsidRPr="00C978B9" w:rsidRDefault="003727EE" w:rsidP="003727EE">
      <w:pPr>
        <w:pStyle w:val="Heading1"/>
      </w:pPr>
      <w:r w:rsidRPr="00C978B9">
        <w:t>Capabilities for the role</w:t>
      </w:r>
    </w:p>
    <w:p w14:paraId="23747AF3" w14:textId="77777777" w:rsidR="003727EE" w:rsidRPr="00175AAF" w:rsidRDefault="003727EE" w:rsidP="003727EE">
      <w:r w:rsidRPr="00175AAF">
        <w:t xml:space="preserve">The </w:t>
      </w:r>
      <w:hyperlink r:id="rId11" w:history="1">
        <w:r w:rsidRPr="009F4755">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69D8721" w14:textId="77777777" w:rsidR="003727EE" w:rsidRPr="00175AAF" w:rsidRDefault="003727EE" w:rsidP="003727E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455E870" w14:textId="77777777" w:rsidR="003727EE" w:rsidRPr="00C978B9" w:rsidRDefault="003727EE" w:rsidP="003727EE">
      <w:pPr>
        <w:pStyle w:val="Heading1"/>
      </w:pPr>
      <w:r w:rsidRPr="00C978B9">
        <w:t xml:space="preserve">Focus </w:t>
      </w:r>
      <w:r>
        <w:t>c</w:t>
      </w:r>
      <w:r w:rsidRPr="00C978B9">
        <w:t>apabilities</w:t>
      </w:r>
    </w:p>
    <w:p w14:paraId="0EC2D64D" w14:textId="77777777" w:rsidR="003727EE" w:rsidRDefault="003727EE" w:rsidP="003727E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63A3F1A2" w14:textId="77777777" w:rsidR="003727EE" w:rsidRDefault="003727EE" w:rsidP="003727EE">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379AD65" w14:textId="77777777" w:rsidR="00F87B88" w:rsidRPr="00BB12E9" w:rsidRDefault="00F87B88" w:rsidP="003727EE">
      <w:pPr>
        <w:pStyle w:val="PlainText"/>
        <w:spacing w:before="62" w:line="276" w:lineRule="auto"/>
        <w:rPr>
          <w:rFonts w:ascii="Arial" w:hAnsi="Arial"/>
          <w:szCs w:val="22"/>
          <w:lang w:val="en-US"/>
        </w:rPr>
      </w:pPr>
    </w:p>
    <w:tbl>
      <w:tblPr>
        <w:tblW w:w="10753" w:type="dxa"/>
        <w:jc w:val="center"/>
        <w:tblBorders>
          <w:top w:val="single" w:sz="8" w:space="0" w:color="BCBEC0"/>
          <w:bottom w:val="single" w:sz="12" w:space="0" w:color="auto"/>
          <w:insideH w:val="single" w:sz="8" w:space="0" w:color="BCBEC0"/>
        </w:tblBorders>
        <w:tblLayout w:type="fixed"/>
        <w:tblCellMar>
          <w:left w:w="57" w:type="dxa"/>
          <w:right w:w="0" w:type="dxa"/>
        </w:tblCellMar>
        <w:tblLook w:val="04A0" w:firstRow="1" w:lastRow="0" w:firstColumn="1" w:lastColumn="0" w:noHBand="0" w:noVBand="1"/>
      </w:tblPr>
      <w:tblGrid>
        <w:gridCol w:w="1406"/>
        <w:gridCol w:w="2881"/>
        <w:gridCol w:w="90"/>
        <w:gridCol w:w="4770"/>
        <w:gridCol w:w="1606"/>
      </w:tblGrid>
      <w:tr w:rsidR="003727EE" w:rsidRPr="00CC78FD" w14:paraId="5C79ADC8" w14:textId="77777777" w:rsidTr="00844ACF">
        <w:trPr>
          <w:cantSplit/>
          <w:tblHeader/>
          <w:jc w:val="center"/>
        </w:trPr>
        <w:tc>
          <w:tcPr>
            <w:tcW w:w="1406" w:type="dxa"/>
            <w:tcBorders>
              <w:top w:val="single" w:sz="8" w:space="0" w:color="auto"/>
              <w:left w:val="nil"/>
              <w:bottom w:val="single" w:sz="12" w:space="0" w:color="auto"/>
              <w:right w:val="nil"/>
              <w:tl2br w:val="nil"/>
              <w:tr2bl w:val="nil"/>
            </w:tcBorders>
            <w:shd w:val="clear" w:color="auto" w:fill="BCBEC0"/>
            <w:vAlign w:val="center"/>
          </w:tcPr>
          <w:p w14:paraId="0DFDB17E" w14:textId="77777777" w:rsidR="003727EE" w:rsidRPr="00CC78FD" w:rsidRDefault="003727EE" w:rsidP="00844ACF">
            <w:pPr>
              <w:pStyle w:val="TableText"/>
              <w:rPr>
                <w:b/>
                <w:sz w:val="24"/>
                <w:szCs w:val="24"/>
              </w:rPr>
            </w:pPr>
            <w:r w:rsidRPr="00CC78FD">
              <w:rPr>
                <w:b/>
              </w:rPr>
              <w:t>Capability group/sets</w:t>
            </w:r>
          </w:p>
        </w:tc>
        <w:tc>
          <w:tcPr>
            <w:tcW w:w="2881" w:type="dxa"/>
            <w:tcBorders>
              <w:top w:val="single" w:sz="8" w:space="0" w:color="auto"/>
              <w:left w:val="nil"/>
              <w:bottom w:val="single" w:sz="12" w:space="0" w:color="auto"/>
              <w:right w:val="nil"/>
              <w:tl2br w:val="nil"/>
              <w:tr2bl w:val="nil"/>
            </w:tcBorders>
            <w:shd w:val="clear" w:color="auto" w:fill="BCBEC0"/>
          </w:tcPr>
          <w:p w14:paraId="588EF248" w14:textId="77777777" w:rsidR="003727EE" w:rsidRPr="00CC78FD" w:rsidRDefault="003727EE" w:rsidP="00844ACF">
            <w:pPr>
              <w:pStyle w:val="TableText"/>
              <w:rPr>
                <w:b/>
                <w:sz w:val="24"/>
                <w:szCs w:val="24"/>
              </w:rPr>
            </w:pPr>
            <w:r w:rsidRPr="00CC78FD">
              <w:rPr>
                <w:b/>
              </w:rPr>
              <w:t>Capability name</w:t>
            </w:r>
          </w:p>
        </w:tc>
        <w:tc>
          <w:tcPr>
            <w:tcW w:w="90" w:type="dxa"/>
            <w:tcBorders>
              <w:top w:val="single" w:sz="8" w:space="0" w:color="auto"/>
              <w:left w:val="nil"/>
              <w:bottom w:val="single" w:sz="12" w:space="0" w:color="auto"/>
              <w:right w:val="nil"/>
              <w:tl2br w:val="nil"/>
              <w:tr2bl w:val="nil"/>
            </w:tcBorders>
            <w:shd w:val="clear" w:color="auto" w:fill="BCBEC0"/>
          </w:tcPr>
          <w:p w14:paraId="7EF1A73E" w14:textId="77777777" w:rsidR="003727EE" w:rsidRPr="00CC78FD" w:rsidRDefault="003727EE" w:rsidP="00844ACF">
            <w:pPr>
              <w:pStyle w:val="TableText"/>
              <w:rPr>
                <w:b/>
              </w:rPr>
            </w:pPr>
          </w:p>
        </w:tc>
        <w:tc>
          <w:tcPr>
            <w:tcW w:w="4770" w:type="dxa"/>
            <w:tcBorders>
              <w:top w:val="single" w:sz="8" w:space="0" w:color="auto"/>
              <w:left w:val="nil"/>
              <w:bottom w:val="single" w:sz="12" w:space="0" w:color="auto"/>
              <w:right w:val="nil"/>
              <w:tl2br w:val="nil"/>
              <w:tr2bl w:val="nil"/>
            </w:tcBorders>
            <w:shd w:val="clear" w:color="auto" w:fill="BCBEC0"/>
          </w:tcPr>
          <w:p w14:paraId="17A9F5BB" w14:textId="77777777" w:rsidR="003727EE" w:rsidRPr="00CC78FD" w:rsidRDefault="003727EE" w:rsidP="00844ACF">
            <w:pPr>
              <w:pStyle w:val="TableText"/>
              <w:rPr>
                <w:b/>
              </w:rPr>
            </w:pPr>
            <w:r w:rsidRPr="00CC78FD">
              <w:rPr>
                <w:b/>
              </w:rPr>
              <w:t>Behavioural indicators</w:t>
            </w:r>
          </w:p>
        </w:tc>
        <w:tc>
          <w:tcPr>
            <w:tcW w:w="1606" w:type="dxa"/>
            <w:tcBorders>
              <w:top w:val="single" w:sz="8" w:space="0" w:color="auto"/>
              <w:left w:val="nil"/>
              <w:bottom w:val="single" w:sz="12" w:space="0" w:color="auto"/>
              <w:right w:val="nil"/>
              <w:tl2br w:val="nil"/>
              <w:tr2bl w:val="nil"/>
            </w:tcBorders>
            <w:shd w:val="clear" w:color="auto" w:fill="BCBEC0"/>
          </w:tcPr>
          <w:p w14:paraId="6E44B251" w14:textId="77777777" w:rsidR="003727EE" w:rsidRPr="00CC78FD" w:rsidRDefault="003727EE" w:rsidP="00844ACF">
            <w:pPr>
              <w:pStyle w:val="TableText"/>
              <w:jc w:val="both"/>
              <w:rPr>
                <w:b/>
              </w:rPr>
            </w:pPr>
            <w:r w:rsidRPr="00CC78FD">
              <w:rPr>
                <w:b/>
              </w:rPr>
              <w:t xml:space="preserve">Level </w:t>
            </w:r>
          </w:p>
        </w:tc>
      </w:tr>
      <w:tr w:rsidR="003727EE" w:rsidRPr="00CC78FD" w14:paraId="5177AA6F" w14:textId="77777777" w:rsidTr="00844ACF">
        <w:trPr>
          <w:cantSplit/>
          <w:jc w:val="center"/>
        </w:trPr>
        <w:tc>
          <w:tcPr>
            <w:tcW w:w="1406" w:type="dxa"/>
            <w:tcBorders>
              <w:bottom w:val="single" w:sz="8" w:space="0" w:color="BCBEC0"/>
            </w:tcBorders>
            <w:shd w:val="clear" w:color="auto" w:fill="auto"/>
          </w:tcPr>
          <w:p w14:paraId="430CC246" w14:textId="7388919D"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drawing>
                <wp:inline distT="0" distB="0" distL="0" distR="0" wp14:anchorId="14BCDC52" wp14:editId="51B6F958">
                  <wp:extent cx="847725" cy="847725"/>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8" w:space="0" w:color="BCBEC0"/>
            </w:tcBorders>
            <w:shd w:val="clear" w:color="auto" w:fill="auto"/>
          </w:tcPr>
          <w:p w14:paraId="5B85D17E" w14:textId="77777777" w:rsidR="003727EE" w:rsidRPr="00CC78FD" w:rsidRDefault="003727EE" w:rsidP="00844ACF">
            <w:pPr>
              <w:pStyle w:val="TableText"/>
              <w:rPr>
                <w:b/>
              </w:rPr>
            </w:pPr>
            <w:r w:rsidRPr="00CC78FD">
              <w:rPr>
                <w:b/>
              </w:rPr>
              <w:t>Act with Integrity</w:t>
            </w:r>
          </w:p>
          <w:p w14:paraId="37C2B55A" w14:textId="77777777" w:rsidR="003727EE" w:rsidRPr="00CC78FD" w:rsidRDefault="003727EE" w:rsidP="00844ACF">
            <w:pPr>
              <w:pStyle w:val="TableText"/>
            </w:pPr>
            <w:r w:rsidRPr="00CC78FD">
              <w:t>Be ethical and professional, and uphold and promote the public sector values</w:t>
            </w:r>
          </w:p>
        </w:tc>
        <w:tc>
          <w:tcPr>
            <w:tcW w:w="4770" w:type="dxa"/>
            <w:tcBorders>
              <w:bottom w:val="single" w:sz="8" w:space="0" w:color="BCBEC0"/>
            </w:tcBorders>
            <w:shd w:val="clear" w:color="auto" w:fill="auto"/>
          </w:tcPr>
          <w:p w14:paraId="43B40AB9" w14:textId="77777777" w:rsidR="003727EE" w:rsidRPr="00CC78FD" w:rsidRDefault="003727EE" w:rsidP="00844ACF">
            <w:pPr>
              <w:pStyle w:val="TableBullet"/>
              <w:tabs>
                <w:tab w:val="clear" w:pos="284"/>
                <w:tab w:val="num" w:pos="360"/>
              </w:tabs>
              <w:ind w:left="360" w:hanging="360"/>
            </w:pPr>
            <w:r w:rsidRPr="00CC78FD">
              <w:t>Represent the organisation in an honest, ethical and professional way and encourage others to do so</w:t>
            </w:r>
          </w:p>
          <w:p w14:paraId="6D0C2A8E" w14:textId="77777777" w:rsidR="003727EE" w:rsidRPr="00CC78FD" w:rsidRDefault="003727EE" w:rsidP="00844ACF">
            <w:pPr>
              <w:pStyle w:val="TableBullet"/>
              <w:tabs>
                <w:tab w:val="clear" w:pos="284"/>
                <w:tab w:val="num" w:pos="360"/>
              </w:tabs>
              <w:ind w:left="360" w:hanging="360"/>
            </w:pPr>
            <w:r w:rsidRPr="00CC78FD">
              <w:t>Act professionally and support a culture of integrity</w:t>
            </w:r>
          </w:p>
          <w:p w14:paraId="06C97124" w14:textId="77777777" w:rsidR="003727EE" w:rsidRPr="00CC78FD" w:rsidRDefault="003727EE" w:rsidP="00844ACF">
            <w:pPr>
              <w:pStyle w:val="TableBullet"/>
              <w:tabs>
                <w:tab w:val="clear" w:pos="284"/>
                <w:tab w:val="num" w:pos="360"/>
              </w:tabs>
              <w:ind w:left="360" w:hanging="360"/>
            </w:pPr>
            <w:r w:rsidRPr="00CC78FD">
              <w:t>Identify and explain ethical issues and set an example for others to follow</w:t>
            </w:r>
          </w:p>
          <w:p w14:paraId="790626C0" w14:textId="77777777" w:rsidR="003727EE" w:rsidRPr="00CC78FD" w:rsidRDefault="003727EE" w:rsidP="00844ACF">
            <w:pPr>
              <w:pStyle w:val="TableBullet"/>
              <w:tabs>
                <w:tab w:val="clear" w:pos="284"/>
                <w:tab w:val="num" w:pos="360"/>
              </w:tabs>
              <w:ind w:left="360" w:hanging="360"/>
            </w:pPr>
            <w:r w:rsidRPr="00CC78FD">
              <w:t>Ensure that others are aware of and understand the legislation and policy framework within which they operate</w:t>
            </w:r>
          </w:p>
          <w:p w14:paraId="7C09882F" w14:textId="77777777" w:rsidR="003727EE" w:rsidRPr="00CC78FD" w:rsidRDefault="003727EE" w:rsidP="00844ACF">
            <w:pPr>
              <w:pStyle w:val="TableBullet"/>
              <w:tabs>
                <w:tab w:val="clear" w:pos="284"/>
                <w:tab w:val="num" w:pos="360"/>
              </w:tabs>
              <w:ind w:left="360" w:hanging="360"/>
            </w:pPr>
            <w:r w:rsidRPr="00CC78FD">
              <w:t>Act to prevent and report misconduct and illegal and inappropriate behaviour</w:t>
            </w:r>
          </w:p>
        </w:tc>
        <w:tc>
          <w:tcPr>
            <w:tcW w:w="1606" w:type="dxa"/>
            <w:tcBorders>
              <w:bottom w:val="single" w:sz="8" w:space="0" w:color="BCBEC0"/>
            </w:tcBorders>
            <w:shd w:val="clear" w:color="auto" w:fill="auto"/>
          </w:tcPr>
          <w:p w14:paraId="14BA7DC5" w14:textId="77777777" w:rsidR="003727EE" w:rsidRPr="00CC78FD" w:rsidRDefault="003727EE" w:rsidP="00844ACF">
            <w:pPr>
              <w:pStyle w:val="TableBullet"/>
              <w:numPr>
                <w:ilvl w:val="0"/>
                <w:numId w:val="0"/>
              </w:numPr>
              <w:jc w:val="both"/>
            </w:pPr>
            <w:r w:rsidRPr="00CC78FD">
              <w:t>Adept</w:t>
            </w:r>
          </w:p>
        </w:tc>
      </w:tr>
      <w:tr w:rsidR="00844ACF" w:rsidRPr="00CC78FD" w14:paraId="42F7E2AC" w14:textId="77777777" w:rsidTr="00844ACF">
        <w:trPr>
          <w:cantSplit/>
          <w:jc w:val="center"/>
        </w:trPr>
        <w:tc>
          <w:tcPr>
            <w:tcW w:w="1406" w:type="dxa"/>
            <w:tcBorders>
              <w:bottom w:val="single" w:sz="8" w:space="0" w:color="BCBEC0"/>
            </w:tcBorders>
            <w:shd w:val="clear" w:color="auto" w:fill="auto"/>
          </w:tcPr>
          <w:p w14:paraId="76D2432E" w14:textId="7882C0C9" w:rsidR="00844ACF"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lastRenderedPageBreak/>
              <w:drawing>
                <wp:inline distT="0" distB="0" distL="0" distR="0" wp14:anchorId="2C5CF627" wp14:editId="46A66523">
                  <wp:extent cx="847725" cy="847725"/>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8" w:space="0" w:color="BCBEC0"/>
            </w:tcBorders>
            <w:shd w:val="clear" w:color="auto" w:fill="auto"/>
          </w:tcPr>
          <w:p w14:paraId="7B683A43" w14:textId="77777777" w:rsidR="00844ACF" w:rsidRPr="00CC78FD" w:rsidRDefault="00844ACF" w:rsidP="00844ACF">
            <w:pPr>
              <w:pStyle w:val="TableText"/>
              <w:rPr>
                <w:b/>
              </w:rPr>
            </w:pPr>
            <w:r w:rsidRPr="00CC78FD">
              <w:rPr>
                <w:b/>
              </w:rPr>
              <w:t>Communicate Effectively</w:t>
            </w:r>
          </w:p>
          <w:p w14:paraId="68901499" w14:textId="77777777" w:rsidR="00844ACF" w:rsidRPr="00CC78FD" w:rsidRDefault="00844ACF" w:rsidP="00844ACF">
            <w:pPr>
              <w:pStyle w:val="TableText"/>
            </w:pPr>
            <w:r w:rsidRPr="00CC78FD">
              <w:t>Communicate clearly, actively listen to others, and respond with understanding and respect</w:t>
            </w:r>
          </w:p>
        </w:tc>
        <w:tc>
          <w:tcPr>
            <w:tcW w:w="4770" w:type="dxa"/>
            <w:tcBorders>
              <w:bottom w:val="single" w:sz="8" w:space="0" w:color="BCBEC0"/>
            </w:tcBorders>
            <w:shd w:val="clear" w:color="auto" w:fill="auto"/>
          </w:tcPr>
          <w:p w14:paraId="7A731FF3" w14:textId="77777777" w:rsidR="00844ACF" w:rsidRPr="00CC78FD" w:rsidRDefault="00844ACF" w:rsidP="00844ACF">
            <w:pPr>
              <w:pStyle w:val="TableBullet"/>
              <w:tabs>
                <w:tab w:val="clear" w:pos="284"/>
                <w:tab w:val="num" w:pos="360"/>
              </w:tabs>
              <w:ind w:left="360" w:hanging="360"/>
            </w:pPr>
            <w:r w:rsidRPr="00CC78FD">
              <w:t>Present with credibility, engage diverse audiences and test levels of understanding</w:t>
            </w:r>
          </w:p>
          <w:p w14:paraId="2D9D9C79" w14:textId="77777777" w:rsidR="00844ACF" w:rsidRPr="00CC78FD" w:rsidRDefault="00844ACF" w:rsidP="00844ACF">
            <w:pPr>
              <w:pStyle w:val="TableBullet"/>
              <w:tabs>
                <w:tab w:val="clear" w:pos="284"/>
                <w:tab w:val="num" w:pos="360"/>
              </w:tabs>
              <w:ind w:left="360" w:hanging="360"/>
            </w:pPr>
            <w:r w:rsidRPr="00CC78FD">
              <w:t>Translate technical and complex information clearly and concisely for diverse audiences</w:t>
            </w:r>
          </w:p>
          <w:p w14:paraId="128896B7" w14:textId="77777777" w:rsidR="00844ACF" w:rsidRPr="00CC78FD" w:rsidRDefault="00844ACF" w:rsidP="00844ACF">
            <w:pPr>
              <w:pStyle w:val="TableBullet"/>
              <w:tabs>
                <w:tab w:val="clear" w:pos="284"/>
                <w:tab w:val="num" w:pos="360"/>
              </w:tabs>
              <w:ind w:left="360" w:hanging="360"/>
            </w:pPr>
            <w:r w:rsidRPr="00CC78FD">
              <w:t>Create opportunities for others to contribute to discussion and debate</w:t>
            </w:r>
          </w:p>
          <w:p w14:paraId="1D0AAC45" w14:textId="77777777" w:rsidR="00844ACF" w:rsidRPr="00CC78FD" w:rsidRDefault="00844ACF" w:rsidP="00844ACF">
            <w:pPr>
              <w:pStyle w:val="TableBullet"/>
              <w:tabs>
                <w:tab w:val="clear" w:pos="284"/>
                <w:tab w:val="num" w:pos="360"/>
              </w:tabs>
              <w:ind w:left="360" w:hanging="360"/>
            </w:pPr>
            <w:r w:rsidRPr="00CC78FD">
              <w:t>Contribute to and promote information sharing across the organisation</w:t>
            </w:r>
          </w:p>
          <w:p w14:paraId="3D7F98FA" w14:textId="77777777" w:rsidR="00844ACF" w:rsidRPr="00CC78FD" w:rsidRDefault="00844ACF" w:rsidP="00844ACF">
            <w:pPr>
              <w:pStyle w:val="TableBullet"/>
              <w:tabs>
                <w:tab w:val="clear" w:pos="284"/>
                <w:tab w:val="num" w:pos="360"/>
              </w:tabs>
              <w:ind w:left="360" w:hanging="360"/>
            </w:pPr>
            <w:r w:rsidRPr="00CC78FD">
              <w:t>Manage complex communications that involve understanding and responding to multiple and divergent viewpoints</w:t>
            </w:r>
          </w:p>
          <w:p w14:paraId="631C745A" w14:textId="77777777" w:rsidR="00844ACF" w:rsidRPr="00CC78FD" w:rsidRDefault="00844ACF" w:rsidP="00844ACF">
            <w:pPr>
              <w:pStyle w:val="TableBullet"/>
              <w:tabs>
                <w:tab w:val="clear" w:pos="284"/>
                <w:tab w:val="num" w:pos="360"/>
              </w:tabs>
              <w:ind w:left="360" w:hanging="360"/>
            </w:pPr>
            <w:r w:rsidRPr="00CC78FD">
              <w:t>Explore creative ways to engage diverse audiences and communicate information</w:t>
            </w:r>
          </w:p>
          <w:p w14:paraId="55A8901D" w14:textId="77777777" w:rsidR="00844ACF" w:rsidRPr="00CC78FD" w:rsidRDefault="00844ACF" w:rsidP="00844ACF">
            <w:pPr>
              <w:pStyle w:val="TableBullet"/>
              <w:tabs>
                <w:tab w:val="clear" w:pos="284"/>
                <w:tab w:val="num" w:pos="360"/>
              </w:tabs>
              <w:ind w:left="360" w:hanging="360"/>
            </w:pPr>
            <w:r w:rsidRPr="00CC78FD">
              <w:t>Adjust style and approach to optimise outcomes</w:t>
            </w:r>
          </w:p>
          <w:p w14:paraId="3EAD8632" w14:textId="77777777" w:rsidR="00844ACF" w:rsidRPr="00CC78FD" w:rsidRDefault="00844ACF" w:rsidP="00844ACF">
            <w:pPr>
              <w:pStyle w:val="TableBullet"/>
              <w:tabs>
                <w:tab w:val="clear" w:pos="284"/>
                <w:tab w:val="num" w:pos="360"/>
              </w:tabs>
              <w:ind w:left="360" w:hanging="360"/>
            </w:pPr>
            <w:r w:rsidRPr="00CC78FD">
              <w:t>Write fluently and persuasively in plain English and in a range of styles and formats</w:t>
            </w:r>
          </w:p>
        </w:tc>
        <w:tc>
          <w:tcPr>
            <w:tcW w:w="1606" w:type="dxa"/>
            <w:tcBorders>
              <w:bottom w:val="single" w:sz="8" w:space="0" w:color="BCBEC0"/>
            </w:tcBorders>
            <w:shd w:val="clear" w:color="auto" w:fill="auto"/>
          </w:tcPr>
          <w:p w14:paraId="220207F4" w14:textId="77777777" w:rsidR="00844ACF" w:rsidRPr="00CC78FD" w:rsidRDefault="00844ACF" w:rsidP="00844ACF">
            <w:pPr>
              <w:pStyle w:val="TableBullet"/>
              <w:numPr>
                <w:ilvl w:val="0"/>
                <w:numId w:val="0"/>
              </w:numPr>
              <w:jc w:val="both"/>
            </w:pPr>
            <w:r w:rsidRPr="00CC78FD">
              <w:t>Advanced</w:t>
            </w:r>
          </w:p>
        </w:tc>
      </w:tr>
      <w:tr w:rsidR="00844ACF" w:rsidRPr="00CC78FD" w14:paraId="22A83DE4" w14:textId="77777777" w:rsidTr="00844ACF">
        <w:trPr>
          <w:cantSplit/>
          <w:jc w:val="center"/>
        </w:trPr>
        <w:tc>
          <w:tcPr>
            <w:tcW w:w="1406" w:type="dxa"/>
            <w:tcBorders>
              <w:top w:val="single" w:sz="8" w:space="0" w:color="BCBEC0"/>
            </w:tcBorders>
            <w:shd w:val="clear" w:color="auto" w:fill="auto"/>
          </w:tcPr>
          <w:p w14:paraId="3ABFC1D1" w14:textId="54422C38" w:rsidR="00844ACF"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055C1123" wp14:editId="58FF468B">
                  <wp:extent cx="8572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bottom w:val="single" w:sz="4" w:space="0" w:color="BCBEC0"/>
            </w:tcBorders>
            <w:shd w:val="clear" w:color="auto" w:fill="auto"/>
          </w:tcPr>
          <w:p w14:paraId="697B46E4" w14:textId="77777777" w:rsidR="00844ACF" w:rsidRPr="00CC78FD" w:rsidRDefault="00844ACF" w:rsidP="00844ACF">
            <w:pPr>
              <w:pStyle w:val="TableText"/>
              <w:rPr>
                <w:b/>
              </w:rPr>
            </w:pPr>
            <w:r w:rsidRPr="00CC78FD">
              <w:rPr>
                <w:b/>
              </w:rPr>
              <w:t>Commit to Customer Service</w:t>
            </w:r>
          </w:p>
          <w:p w14:paraId="395B7C1C" w14:textId="77777777" w:rsidR="00844ACF" w:rsidRPr="00CC78FD" w:rsidRDefault="00844ACF" w:rsidP="00844ACF">
            <w:pPr>
              <w:pStyle w:val="TableText"/>
              <w:rPr>
                <w:b/>
              </w:rPr>
            </w:pPr>
            <w:r w:rsidRPr="00CC78FD">
              <w:t>Provide customer-focused services in line with public sector and organisational objectives</w:t>
            </w:r>
          </w:p>
        </w:tc>
        <w:tc>
          <w:tcPr>
            <w:tcW w:w="4770" w:type="dxa"/>
            <w:tcBorders>
              <w:top w:val="single" w:sz="8" w:space="0" w:color="BCBEC0"/>
              <w:bottom w:val="single" w:sz="4" w:space="0" w:color="BCBEC0"/>
            </w:tcBorders>
            <w:shd w:val="clear" w:color="auto" w:fill="auto"/>
          </w:tcPr>
          <w:p w14:paraId="05B50B80" w14:textId="77777777" w:rsidR="00844ACF" w:rsidRPr="00CC78FD" w:rsidRDefault="00844ACF" w:rsidP="00844ACF">
            <w:pPr>
              <w:pStyle w:val="TableBullet"/>
              <w:tabs>
                <w:tab w:val="clear" w:pos="284"/>
                <w:tab w:val="num" w:pos="360"/>
              </w:tabs>
              <w:ind w:left="360" w:hanging="360"/>
            </w:pPr>
            <w:r w:rsidRPr="00CC78FD">
              <w:t>Take responsibility for delivering high-quality customer-focused services</w:t>
            </w:r>
          </w:p>
          <w:p w14:paraId="0D86F25D" w14:textId="77777777" w:rsidR="00844ACF" w:rsidRPr="00CC78FD" w:rsidRDefault="00844ACF" w:rsidP="00844ACF">
            <w:pPr>
              <w:pStyle w:val="TableBullet"/>
              <w:tabs>
                <w:tab w:val="clear" w:pos="284"/>
                <w:tab w:val="num" w:pos="360"/>
              </w:tabs>
              <w:ind w:left="360" w:hanging="360"/>
            </w:pPr>
            <w:r w:rsidRPr="00CC78FD">
              <w:t>Design processes and policies based on the customer’s point of view and needs</w:t>
            </w:r>
          </w:p>
          <w:p w14:paraId="0D0C8A7E" w14:textId="77777777" w:rsidR="00844ACF" w:rsidRPr="00CC78FD" w:rsidRDefault="00844ACF" w:rsidP="00844ACF">
            <w:pPr>
              <w:pStyle w:val="TableBullet"/>
              <w:tabs>
                <w:tab w:val="clear" w:pos="284"/>
                <w:tab w:val="num" w:pos="360"/>
              </w:tabs>
              <w:ind w:left="360" w:hanging="360"/>
            </w:pPr>
            <w:r w:rsidRPr="00CC78FD">
              <w:t>Understand and measure what is important to customers</w:t>
            </w:r>
          </w:p>
          <w:p w14:paraId="3529B9CC" w14:textId="77777777" w:rsidR="00844ACF" w:rsidRPr="00CC78FD" w:rsidRDefault="00844ACF" w:rsidP="00844ACF">
            <w:pPr>
              <w:pStyle w:val="TableBullet"/>
              <w:tabs>
                <w:tab w:val="clear" w:pos="284"/>
                <w:tab w:val="num" w:pos="360"/>
              </w:tabs>
              <w:ind w:left="360" w:hanging="360"/>
            </w:pPr>
            <w:r w:rsidRPr="00CC78FD">
              <w:t>Use data and information to monitor and improve customer service delivery</w:t>
            </w:r>
          </w:p>
          <w:p w14:paraId="1CC99F87" w14:textId="77777777" w:rsidR="00844ACF" w:rsidRPr="00CC78FD" w:rsidRDefault="00844ACF" w:rsidP="00844ACF">
            <w:pPr>
              <w:pStyle w:val="TableBullet"/>
              <w:tabs>
                <w:tab w:val="clear" w:pos="284"/>
                <w:tab w:val="num" w:pos="360"/>
              </w:tabs>
              <w:ind w:left="360" w:hanging="360"/>
            </w:pPr>
            <w:r w:rsidRPr="00CC78FD">
              <w:t>Find opportunities to cooperate with internal and external stakeholders to improve outcomes for customers</w:t>
            </w:r>
          </w:p>
          <w:p w14:paraId="7DF9BE67" w14:textId="77777777" w:rsidR="00844ACF" w:rsidRPr="00CC78FD" w:rsidRDefault="00844ACF" w:rsidP="00844ACF">
            <w:pPr>
              <w:pStyle w:val="TableBullet"/>
              <w:tabs>
                <w:tab w:val="clear" w:pos="284"/>
                <w:tab w:val="num" w:pos="360"/>
              </w:tabs>
              <w:ind w:left="360" w:hanging="360"/>
            </w:pPr>
            <w:r w:rsidRPr="00CC78FD">
              <w:t>Maintain relationships with key customers in area of expertise</w:t>
            </w:r>
          </w:p>
          <w:p w14:paraId="710A76BE" w14:textId="77777777" w:rsidR="00844ACF" w:rsidRPr="00CC78FD" w:rsidRDefault="00844ACF" w:rsidP="00844ACF">
            <w:pPr>
              <w:pStyle w:val="TableBullet"/>
              <w:tabs>
                <w:tab w:val="clear" w:pos="284"/>
                <w:tab w:val="num" w:pos="360"/>
              </w:tabs>
              <w:ind w:left="360" w:hanging="360"/>
            </w:pPr>
            <w:r w:rsidRPr="00CC78FD">
              <w:t>Connect and collaborate with relevant customers within the community</w:t>
            </w:r>
          </w:p>
        </w:tc>
        <w:tc>
          <w:tcPr>
            <w:tcW w:w="1606" w:type="dxa"/>
            <w:tcBorders>
              <w:top w:val="single" w:sz="8" w:space="0" w:color="BCBEC0"/>
              <w:bottom w:val="single" w:sz="4" w:space="0" w:color="BCBEC0"/>
            </w:tcBorders>
            <w:shd w:val="clear" w:color="auto" w:fill="auto"/>
          </w:tcPr>
          <w:p w14:paraId="397A44A5" w14:textId="77777777" w:rsidR="00844ACF" w:rsidRPr="00CC78FD" w:rsidRDefault="00844ACF" w:rsidP="00844ACF">
            <w:pPr>
              <w:pStyle w:val="TableBullet"/>
              <w:numPr>
                <w:ilvl w:val="0"/>
                <w:numId w:val="0"/>
              </w:numPr>
              <w:jc w:val="both"/>
            </w:pPr>
            <w:r w:rsidRPr="00CC78FD">
              <w:t>Adept</w:t>
            </w:r>
          </w:p>
        </w:tc>
      </w:tr>
      <w:tr w:rsidR="00844ACF" w:rsidRPr="00CC78FD" w14:paraId="3011AF0F" w14:textId="77777777" w:rsidTr="00844ACF">
        <w:trPr>
          <w:cantSplit/>
          <w:jc w:val="center"/>
        </w:trPr>
        <w:tc>
          <w:tcPr>
            <w:tcW w:w="1406" w:type="dxa"/>
            <w:tcBorders>
              <w:bottom w:val="single" w:sz="8" w:space="0" w:color="BCBEC0"/>
            </w:tcBorders>
            <w:shd w:val="clear" w:color="auto" w:fill="auto"/>
          </w:tcPr>
          <w:p w14:paraId="2B5B2667" w14:textId="07755925" w:rsidR="00844ACF"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380A0C76" wp14:editId="2B0F5D27">
                  <wp:extent cx="857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bottom w:val="single" w:sz="8" w:space="0" w:color="BCBEC0"/>
            </w:tcBorders>
            <w:shd w:val="clear" w:color="auto" w:fill="auto"/>
          </w:tcPr>
          <w:p w14:paraId="62DCF756" w14:textId="77777777" w:rsidR="00844ACF" w:rsidRPr="00CC78FD" w:rsidRDefault="00844ACF" w:rsidP="00844ACF">
            <w:pPr>
              <w:pStyle w:val="TableText"/>
              <w:rPr>
                <w:b/>
              </w:rPr>
            </w:pPr>
            <w:r w:rsidRPr="00CC78FD">
              <w:rPr>
                <w:b/>
              </w:rPr>
              <w:t>Work Collaboratively</w:t>
            </w:r>
          </w:p>
          <w:p w14:paraId="520987BE" w14:textId="77777777" w:rsidR="00844ACF" w:rsidRPr="00CC78FD" w:rsidRDefault="00844ACF" w:rsidP="00844ACF">
            <w:pPr>
              <w:pStyle w:val="TableText"/>
              <w:rPr>
                <w:b/>
              </w:rPr>
            </w:pPr>
            <w:r w:rsidRPr="00CC78FD">
              <w:t>Collaborate with others and value their contribution</w:t>
            </w:r>
          </w:p>
        </w:tc>
        <w:tc>
          <w:tcPr>
            <w:tcW w:w="4770" w:type="dxa"/>
            <w:tcBorders>
              <w:bottom w:val="single" w:sz="8" w:space="0" w:color="BCBEC0"/>
            </w:tcBorders>
            <w:shd w:val="clear" w:color="auto" w:fill="auto"/>
          </w:tcPr>
          <w:p w14:paraId="52A95445" w14:textId="77777777" w:rsidR="00844ACF" w:rsidRPr="00CC78FD" w:rsidRDefault="00844ACF" w:rsidP="00844ACF">
            <w:pPr>
              <w:pStyle w:val="TableBullet"/>
              <w:tabs>
                <w:tab w:val="clear" w:pos="284"/>
                <w:tab w:val="num" w:pos="360"/>
              </w:tabs>
              <w:ind w:left="360" w:hanging="360"/>
            </w:pPr>
            <w:r w:rsidRPr="00CC78FD">
              <w:t>Recognise outcomes achieved through effective collaboration between teams</w:t>
            </w:r>
          </w:p>
          <w:p w14:paraId="4512C983" w14:textId="77777777" w:rsidR="00844ACF" w:rsidRPr="00CC78FD" w:rsidRDefault="00844ACF" w:rsidP="00844ACF">
            <w:pPr>
              <w:pStyle w:val="TableBullet"/>
              <w:tabs>
                <w:tab w:val="clear" w:pos="284"/>
                <w:tab w:val="num" w:pos="360"/>
              </w:tabs>
              <w:ind w:left="360" w:hanging="360"/>
            </w:pPr>
            <w:r w:rsidRPr="00CC78FD">
              <w:t>Build cooperation and overcome barriers to information sharing, communication and collaboration across the organisation and across government</w:t>
            </w:r>
          </w:p>
          <w:p w14:paraId="7CC97663" w14:textId="77777777" w:rsidR="00844ACF" w:rsidRPr="00CC78FD" w:rsidRDefault="00844ACF" w:rsidP="00844ACF">
            <w:pPr>
              <w:pStyle w:val="TableBullet"/>
              <w:tabs>
                <w:tab w:val="clear" w:pos="284"/>
                <w:tab w:val="num" w:pos="360"/>
              </w:tabs>
              <w:ind w:left="360" w:hanging="360"/>
            </w:pPr>
            <w:r w:rsidRPr="00CC78FD">
              <w:t>Facilitate opportunities to engage and collaborate with stakeholders to develop joint solutions</w:t>
            </w:r>
          </w:p>
          <w:p w14:paraId="57CF9EF6" w14:textId="77777777" w:rsidR="00844ACF" w:rsidRPr="00CC78FD" w:rsidRDefault="00844ACF" w:rsidP="00844ACF">
            <w:pPr>
              <w:pStyle w:val="TableBullet"/>
              <w:tabs>
                <w:tab w:val="clear" w:pos="284"/>
                <w:tab w:val="num" w:pos="360"/>
              </w:tabs>
              <w:ind w:left="360" w:hanging="360"/>
            </w:pPr>
            <w:r w:rsidRPr="00CC78FD">
              <w:t>Network extensively across government and organisations to increase collaboration</w:t>
            </w:r>
          </w:p>
          <w:p w14:paraId="53122BE4" w14:textId="77777777" w:rsidR="00844ACF" w:rsidRPr="00CC78FD" w:rsidRDefault="00844ACF" w:rsidP="00844ACF">
            <w:pPr>
              <w:pStyle w:val="TableBullet"/>
              <w:tabs>
                <w:tab w:val="clear" w:pos="284"/>
                <w:tab w:val="num" w:pos="360"/>
              </w:tabs>
              <w:ind w:left="360" w:hanging="360"/>
            </w:pPr>
            <w:r w:rsidRPr="00CC78FD">
              <w:t>Encourage others to use appropriate collaboration approaches and tools, including digital technologies</w:t>
            </w:r>
          </w:p>
        </w:tc>
        <w:tc>
          <w:tcPr>
            <w:tcW w:w="1606" w:type="dxa"/>
            <w:tcBorders>
              <w:bottom w:val="single" w:sz="8" w:space="0" w:color="BCBEC0"/>
            </w:tcBorders>
            <w:shd w:val="clear" w:color="auto" w:fill="auto"/>
          </w:tcPr>
          <w:p w14:paraId="7B2AB293" w14:textId="77777777" w:rsidR="00844ACF" w:rsidRPr="00CC78FD" w:rsidRDefault="00844ACF" w:rsidP="00844ACF">
            <w:pPr>
              <w:pStyle w:val="TableBullet"/>
              <w:numPr>
                <w:ilvl w:val="0"/>
                <w:numId w:val="0"/>
              </w:numPr>
              <w:jc w:val="both"/>
            </w:pPr>
            <w:r w:rsidRPr="00CC78FD">
              <w:t>Advanced</w:t>
            </w:r>
          </w:p>
        </w:tc>
      </w:tr>
      <w:tr w:rsidR="00844ACF" w:rsidRPr="00CC78FD" w14:paraId="57912A0D" w14:textId="77777777" w:rsidTr="00844ACF">
        <w:trPr>
          <w:cantSplit/>
          <w:jc w:val="center"/>
        </w:trPr>
        <w:tc>
          <w:tcPr>
            <w:tcW w:w="1406" w:type="dxa"/>
            <w:tcBorders>
              <w:bottom w:val="single" w:sz="8" w:space="0" w:color="BCBEC0"/>
            </w:tcBorders>
            <w:shd w:val="clear" w:color="auto" w:fill="auto"/>
          </w:tcPr>
          <w:p w14:paraId="31759D74" w14:textId="77777777" w:rsidR="00844ACF" w:rsidRPr="00CC78FD" w:rsidRDefault="00844ACF" w:rsidP="00844ACF">
            <w:pPr>
              <w:spacing w:after="0" w:line="240" w:lineRule="auto"/>
              <w:rPr>
                <w:rFonts w:eastAsia="Calibri"/>
                <w:sz w:val="20"/>
                <w:szCs w:val="20"/>
                <w:lang w:val="en-AU"/>
              </w:rPr>
            </w:pPr>
          </w:p>
        </w:tc>
        <w:tc>
          <w:tcPr>
            <w:tcW w:w="2971" w:type="dxa"/>
            <w:gridSpan w:val="2"/>
            <w:tcBorders>
              <w:bottom w:val="single" w:sz="8" w:space="0" w:color="BCBEC0"/>
            </w:tcBorders>
            <w:shd w:val="clear" w:color="auto" w:fill="auto"/>
          </w:tcPr>
          <w:p w14:paraId="08263E2A" w14:textId="77777777" w:rsidR="00844ACF" w:rsidRPr="00CC78FD" w:rsidRDefault="00844ACF" w:rsidP="00844ACF">
            <w:pPr>
              <w:pStyle w:val="TableText"/>
            </w:pPr>
          </w:p>
        </w:tc>
        <w:tc>
          <w:tcPr>
            <w:tcW w:w="4770" w:type="dxa"/>
            <w:tcBorders>
              <w:bottom w:val="single" w:sz="8" w:space="0" w:color="BCBEC0"/>
            </w:tcBorders>
            <w:shd w:val="clear" w:color="auto" w:fill="auto"/>
          </w:tcPr>
          <w:p w14:paraId="3E2B8EA0" w14:textId="77777777" w:rsidR="00844ACF" w:rsidRPr="00CC78FD" w:rsidRDefault="00844ACF" w:rsidP="00844ACF">
            <w:pPr>
              <w:pStyle w:val="TableBullet"/>
              <w:tabs>
                <w:tab w:val="clear" w:pos="284"/>
                <w:tab w:val="num" w:pos="360"/>
              </w:tabs>
              <w:ind w:left="360" w:hanging="360"/>
            </w:pPr>
          </w:p>
        </w:tc>
        <w:tc>
          <w:tcPr>
            <w:tcW w:w="1606" w:type="dxa"/>
            <w:tcBorders>
              <w:bottom w:val="single" w:sz="8" w:space="0" w:color="BCBEC0"/>
            </w:tcBorders>
            <w:shd w:val="clear" w:color="auto" w:fill="auto"/>
          </w:tcPr>
          <w:p w14:paraId="280B60E6" w14:textId="77777777" w:rsidR="00844ACF" w:rsidRPr="00CC78FD" w:rsidRDefault="00844ACF" w:rsidP="00844ACF">
            <w:pPr>
              <w:pStyle w:val="TableBullet"/>
              <w:numPr>
                <w:ilvl w:val="0"/>
                <w:numId w:val="0"/>
              </w:numPr>
              <w:jc w:val="both"/>
            </w:pPr>
          </w:p>
        </w:tc>
      </w:tr>
      <w:tr w:rsidR="00844ACF" w:rsidRPr="00CC78FD" w14:paraId="7E8836DD" w14:textId="77777777" w:rsidTr="00844ACF">
        <w:trPr>
          <w:cantSplit/>
          <w:jc w:val="center"/>
        </w:trPr>
        <w:tc>
          <w:tcPr>
            <w:tcW w:w="1406" w:type="dxa"/>
            <w:tcBorders>
              <w:top w:val="single" w:sz="8" w:space="0" w:color="BCBEC0"/>
            </w:tcBorders>
            <w:shd w:val="clear" w:color="auto" w:fill="auto"/>
          </w:tcPr>
          <w:p w14:paraId="77070E09" w14:textId="59B43A0B" w:rsidR="00844ACF"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lastRenderedPageBreak/>
              <w:drawing>
                <wp:inline distT="0" distB="0" distL="0" distR="0" wp14:anchorId="748CCCCD" wp14:editId="06572F0A">
                  <wp:extent cx="857250" cy="85725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bottom w:val="single" w:sz="4" w:space="0" w:color="BCBEC0"/>
            </w:tcBorders>
            <w:shd w:val="clear" w:color="auto" w:fill="auto"/>
          </w:tcPr>
          <w:p w14:paraId="64B25CE3" w14:textId="77777777" w:rsidR="00844ACF" w:rsidRPr="00CC78FD" w:rsidRDefault="00844ACF" w:rsidP="00844ACF">
            <w:pPr>
              <w:pStyle w:val="TableText"/>
              <w:rPr>
                <w:b/>
              </w:rPr>
            </w:pPr>
            <w:r w:rsidRPr="00CC78FD">
              <w:rPr>
                <w:b/>
              </w:rPr>
              <w:t>Plan and Prioritise</w:t>
            </w:r>
          </w:p>
          <w:p w14:paraId="29A266C7" w14:textId="77777777" w:rsidR="00844ACF" w:rsidRPr="00CC78FD" w:rsidRDefault="00844ACF" w:rsidP="00844ACF">
            <w:pPr>
              <w:pStyle w:val="TableText"/>
              <w:rPr>
                <w:b/>
              </w:rPr>
            </w:pPr>
            <w:r w:rsidRPr="00CC78FD">
              <w:t>Plan to achieve priority outcomes and respond flexibly to changing circumstances</w:t>
            </w:r>
          </w:p>
        </w:tc>
        <w:tc>
          <w:tcPr>
            <w:tcW w:w="4770" w:type="dxa"/>
            <w:tcBorders>
              <w:top w:val="single" w:sz="8" w:space="0" w:color="BCBEC0"/>
              <w:bottom w:val="single" w:sz="4" w:space="0" w:color="BCBEC0"/>
            </w:tcBorders>
            <w:shd w:val="clear" w:color="auto" w:fill="auto"/>
          </w:tcPr>
          <w:p w14:paraId="564DB2DD" w14:textId="77777777" w:rsidR="00844ACF" w:rsidRPr="00CC78FD" w:rsidRDefault="00844ACF" w:rsidP="00844ACF">
            <w:pPr>
              <w:pStyle w:val="TableBullet"/>
              <w:tabs>
                <w:tab w:val="clear" w:pos="284"/>
                <w:tab w:val="num" w:pos="360"/>
              </w:tabs>
              <w:ind w:left="360" w:hanging="360"/>
            </w:pPr>
            <w:r w:rsidRPr="00CC78FD">
              <w:t>Understand the links between the business unit, organisation and the whole-of-government agenda</w:t>
            </w:r>
          </w:p>
          <w:p w14:paraId="7DD3A891" w14:textId="77777777" w:rsidR="00844ACF" w:rsidRPr="00CC78FD" w:rsidRDefault="00844ACF" w:rsidP="00844ACF">
            <w:pPr>
              <w:pStyle w:val="TableBullet"/>
              <w:tabs>
                <w:tab w:val="clear" w:pos="284"/>
                <w:tab w:val="num" w:pos="360"/>
              </w:tabs>
              <w:ind w:left="360" w:hanging="360"/>
            </w:pPr>
            <w:r w:rsidRPr="00CC78FD">
              <w:t>Ensure business plan goals are clear and appropriate and include contingency provisions</w:t>
            </w:r>
          </w:p>
          <w:p w14:paraId="3BF6AC2D" w14:textId="77777777" w:rsidR="00844ACF" w:rsidRPr="00CC78FD" w:rsidRDefault="00844ACF" w:rsidP="00844ACF">
            <w:pPr>
              <w:pStyle w:val="TableBullet"/>
              <w:tabs>
                <w:tab w:val="clear" w:pos="284"/>
                <w:tab w:val="num" w:pos="360"/>
              </w:tabs>
              <w:ind w:left="360" w:hanging="360"/>
            </w:pPr>
            <w:r w:rsidRPr="00CC78FD">
              <w:t>Monitor the progress of initiatives and make necessary adjustments</w:t>
            </w:r>
          </w:p>
          <w:p w14:paraId="01380A9A" w14:textId="77777777" w:rsidR="00844ACF" w:rsidRPr="00CC78FD" w:rsidRDefault="00844ACF" w:rsidP="00844ACF">
            <w:pPr>
              <w:pStyle w:val="TableBullet"/>
              <w:tabs>
                <w:tab w:val="clear" w:pos="284"/>
                <w:tab w:val="num" w:pos="360"/>
              </w:tabs>
              <w:ind w:left="360" w:hanging="360"/>
            </w:pPr>
            <w:r w:rsidRPr="00CC78FD">
              <w:t>Anticipate and assess the impact of changes, including government policy and economic conditions, on business plans and initiatives and respond appropriately</w:t>
            </w:r>
          </w:p>
          <w:p w14:paraId="5DFB57A9" w14:textId="77777777" w:rsidR="00844ACF" w:rsidRPr="00CC78FD" w:rsidRDefault="00844ACF" w:rsidP="00844ACF">
            <w:pPr>
              <w:pStyle w:val="TableBullet"/>
              <w:tabs>
                <w:tab w:val="clear" w:pos="284"/>
                <w:tab w:val="num" w:pos="360"/>
              </w:tabs>
              <w:ind w:left="360" w:hanging="360"/>
            </w:pPr>
            <w:r w:rsidRPr="00CC78FD">
              <w:t>Consider the implications of a wide range of complex issues and shift business priorities when necessary</w:t>
            </w:r>
          </w:p>
          <w:p w14:paraId="0E5EE490" w14:textId="77777777" w:rsidR="00844ACF" w:rsidRPr="00CC78FD" w:rsidRDefault="00844ACF" w:rsidP="00844ACF">
            <w:pPr>
              <w:pStyle w:val="TableBullet"/>
              <w:tabs>
                <w:tab w:val="clear" w:pos="284"/>
                <w:tab w:val="num" w:pos="360"/>
              </w:tabs>
              <w:ind w:left="360" w:hanging="360"/>
            </w:pPr>
            <w:r w:rsidRPr="00CC78FD">
              <w:t>Undertake planning to help the organisation transition through change initiatives, and evaluate progress and outcomes to inform future planning</w:t>
            </w:r>
          </w:p>
        </w:tc>
        <w:tc>
          <w:tcPr>
            <w:tcW w:w="1606" w:type="dxa"/>
            <w:tcBorders>
              <w:top w:val="single" w:sz="8" w:space="0" w:color="BCBEC0"/>
              <w:bottom w:val="single" w:sz="4" w:space="0" w:color="BCBEC0"/>
            </w:tcBorders>
            <w:shd w:val="clear" w:color="auto" w:fill="auto"/>
          </w:tcPr>
          <w:p w14:paraId="6973120C" w14:textId="77777777" w:rsidR="00844ACF" w:rsidRPr="00CC78FD" w:rsidRDefault="00844ACF" w:rsidP="00844ACF">
            <w:pPr>
              <w:pStyle w:val="TableBullet"/>
              <w:numPr>
                <w:ilvl w:val="0"/>
                <w:numId w:val="0"/>
              </w:numPr>
              <w:jc w:val="both"/>
            </w:pPr>
            <w:r w:rsidRPr="00CC78FD">
              <w:t>Advanced</w:t>
            </w:r>
          </w:p>
        </w:tc>
      </w:tr>
      <w:tr w:rsidR="00844ACF" w:rsidRPr="00CC78FD" w14:paraId="6E33EEBB" w14:textId="77777777" w:rsidTr="00844ACF">
        <w:trPr>
          <w:cantSplit/>
          <w:jc w:val="center"/>
        </w:trPr>
        <w:tc>
          <w:tcPr>
            <w:tcW w:w="1406" w:type="dxa"/>
            <w:tcBorders>
              <w:bottom w:val="single" w:sz="4" w:space="0" w:color="BCBEC0"/>
            </w:tcBorders>
            <w:shd w:val="clear" w:color="auto" w:fill="auto"/>
          </w:tcPr>
          <w:p w14:paraId="4AADBAB0" w14:textId="7C449FEB" w:rsidR="00844ACF"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5899CEAE" wp14:editId="3153F0AB">
                  <wp:extent cx="85725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05DFDC44" w14:textId="77777777" w:rsidR="00844ACF" w:rsidRPr="00CC78FD" w:rsidRDefault="00844ACF" w:rsidP="00844ACF">
            <w:pPr>
              <w:pStyle w:val="TableText"/>
              <w:rPr>
                <w:b/>
              </w:rPr>
            </w:pPr>
            <w:r w:rsidRPr="00CC78FD">
              <w:rPr>
                <w:b/>
              </w:rPr>
              <w:t>Demonstrate Accountability</w:t>
            </w:r>
          </w:p>
          <w:p w14:paraId="7811C683" w14:textId="77777777" w:rsidR="00844ACF" w:rsidRPr="00CC78FD" w:rsidRDefault="00844ACF" w:rsidP="00844ACF">
            <w:pPr>
              <w:pStyle w:val="TableText"/>
              <w:rPr>
                <w:b/>
              </w:rPr>
            </w:pPr>
            <w:r w:rsidRPr="00CC78FD">
              <w:t>Be proactive and responsible for own actions, and adhere to legislation, policy and guidelines</w:t>
            </w:r>
          </w:p>
        </w:tc>
        <w:tc>
          <w:tcPr>
            <w:tcW w:w="4770" w:type="dxa"/>
            <w:tcBorders>
              <w:bottom w:val="single" w:sz="4" w:space="0" w:color="BCBEC0"/>
            </w:tcBorders>
            <w:shd w:val="clear" w:color="auto" w:fill="auto"/>
          </w:tcPr>
          <w:p w14:paraId="5CF97710" w14:textId="77777777" w:rsidR="00844ACF" w:rsidRPr="00CC78FD" w:rsidRDefault="00844ACF" w:rsidP="00844ACF">
            <w:pPr>
              <w:pStyle w:val="TableBullet"/>
              <w:tabs>
                <w:tab w:val="clear" w:pos="284"/>
                <w:tab w:val="num" w:pos="360"/>
              </w:tabs>
              <w:ind w:left="360" w:hanging="360"/>
            </w:pPr>
            <w:r w:rsidRPr="00CC78FD">
              <w:t>Assess work outcomes and identify and share learnings to inform future actions</w:t>
            </w:r>
          </w:p>
          <w:p w14:paraId="69599B2B" w14:textId="77777777" w:rsidR="00844ACF" w:rsidRPr="00CC78FD" w:rsidRDefault="00844ACF" w:rsidP="00844ACF">
            <w:pPr>
              <w:pStyle w:val="TableBullet"/>
              <w:tabs>
                <w:tab w:val="clear" w:pos="284"/>
                <w:tab w:val="num" w:pos="360"/>
              </w:tabs>
              <w:ind w:left="360" w:hanging="360"/>
            </w:pPr>
            <w:r w:rsidRPr="00CC78FD">
              <w:t>Ensure that own actions and those of others are focused on achieving organisational outcomes</w:t>
            </w:r>
          </w:p>
          <w:p w14:paraId="2DA2B237" w14:textId="77777777" w:rsidR="00844ACF" w:rsidRPr="00CC78FD" w:rsidRDefault="00844ACF" w:rsidP="00844ACF">
            <w:pPr>
              <w:pStyle w:val="TableBullet"/>
              <w:tabs>
                <w:tab w:val="clear" w:pos="284"/>
                <w:tab w:val="num" w:pos="360"/>
              </w:tabs>
              <w:ind w:left="360" w:hanging="360"/>
            </w:pPr>
            <w:r w:rsidRPr="00CC78FD">
              <w:t>Exercise delegations responsibly</w:t>
            </w:r>
          </w:p>
          <w:p w14:paraId="559BA98B" w14:textId="77777777" w:rsidR="00844ACF" w:rsidRPr="00CC78FD" w:rsidRDefault="00844ACF" w:rsidP="00844ACF">
            <w:pPr>
              <w:pStyle w:val="TableBullet"/>
              <w:tabs>
                <w:tab w:val="clear" w:pos="284"/>
                <w:tab w:val="num" w:pos="360"/>
              </w:tabs>
              <w:ind w:left="360" w:hanging="360"/>
            </w:pPr>
            <w:r w:rsidRPr="00CC78FD">
              <w:t>Understand and apply high standards of financial probity with public monies and other resources</w:t>
            </w:r>
          </w:p>
          <w:p w14:paraId="4FC410DD" w14:textId="77777777" w:rsidR="00844ACF" w:rsidRPr="00CC78FD" w:rsidRDefault="00844ACF" w:rsidP="00844ACF">
            <w:pPr>
              <w:pStyle w:val="TableBullet"/>
              <w:tabs>
                <w:tab w:val="clear" w:pos="284"/>
                <w:tab w:val="num" w:pos="360"/>
              </w:tabs>
              <w:ind w:left="360" w:hanging="360"/>
            </w:pPr>
            <w:r w:rsidRPr="00CC78FD">
              <w:t>Identify and implement safe work practices, taking a systematic risk management approach to ensure own and others’ health and safety</w:t>
            </w:r>
          </w:p>
          <w:p w14:paraId="2FC7C02F" w14:textId="77777777" w:rsidR="00844ACF" w:rsidRPr="00CC78FD" w:rsidRDefault="00844ACF" w:rsidP="00844ACF">
            <w:pPr>
              <w:pStyle w:val="TableBullet"/>
              <w:tabs>
                <w:tab w:val="clear" w:pos="284"/>
                <w:tab w:val="num" w:pos="360"/>
              </w:tabs>
              <w:ind w:left="360" w:hanging="360"/>
            </w:pPr>
            <w:r w:rsidRPr="00CC78FD">
              <w:t>Conduct and report on quality control audits</w:t>
            </w:r>
          </w:p>
          <w:p w14:paraId="1D249302" w14:textId="77777777" w:rsidR="00844ACF" w:rsidRPr="00CC78FD" w:rsidRDefault="00844ACF" w:rsidP="00844ACF">
            <w:pPr>
              <w:pStyle w:val="TableBullet"/>
              <w:tabs>
                <w:tab w:val="clear" w:pos="284"/>
                <w:tab w:val="num" w:pos="360"/>
              </w:tabs>
              <w:ind w:left="360" w:hanging="360"/>
            </w:pPr>
            <w:r w:rsidRPr="00CC78FD">
              <w:t>Identify risks to successfully achieving goals, and take appropriate steps to mitigate those risks</w:t>
            </w:r>
          </w:p>
        </w:tc>
        <w:tc>
          <w:tcPr>
            <w:tcW w:w="1606" w:type="dxa"/>
            <w:tcBorders>
              <w:bottom w:val="single" w:sz="4" w:space="0" w:color="BCBEC0"/>
            </w:tcBorders>
            <w:shd w:val="clear" w:color="auto" w:fill="auto"/>
          </w:tcPr>
          <w:p w14:paraId="1F287597" w14:textId="77777777" w:rsidR="00844ACF" w:rsidRPr="00CC78FD" w:rsidRDefault="00844ACF" w:rsidP="00844ACF">
            <w:pPr>
              <w:pStyle w:val="TableBullet"/>
              <w:numPr>
                <w:ilvl w:val="0"/>
                <w:numId w:val="0"/>
              </w:numPr>
              <w:jc w:val="both"/>
            </w:pPr>
            <w:r w:rsidRPr="00CC78FD">
              <w:t>Adept</w:t>
            </w:r>
          </w:p>
        </w:tc>
      </w:tr>
      <w:tr w:rsidR="003727EE" w:rsidRPr="00CC78FD" w14:paraId="5EF53C33" w14:textId="77777777" w:rsidTr="00844ACF">
        <w:trPr>
          <w:cantSplit/>
          <w:jc w:val="center"/>
        </w:trPr>
        <w:tc>
          <w:tcPr>
            <w:tcW w:w="1406" w:type="dxa"/>
            <w:tcBorders>
              <w:bottom w:val="single" w:sz="4" w:space="0" w:color="BCBEC0"/>
            </w:tcBorders>
            <w:shd w:val="clear" w:color="auto" w:fill="auto"/>
          </w:tcPr>
          <w:p w14:paraId="595A63B5" w14:textId="6BDAE987"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lastRenderedPageBreak/>
              <w:drawing>
                <wp:inline distT="0" distB="0" distL="0" distR="0" wp14:anchorId="1F9ACCF1" wp14:editId="4FE6FF3F">
                  <wp:extent cx="847725" cy="847725"/>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7BB0069E" w14:textId="77777777" w:rsidR="003727EE" w:rsidRPr="00CC78FD" w:rsidRDefault="003727EE" w:rsidP="00844ACF">
            <w:pPr>
              <w:pStyle w:val="TableText"/>
              <w:rPr>
                <w:b/>
              </w:rPr>
            </w:pPr>
            <w:r w:rsidRPr="00CC78FD">
              <w:rPr>
                <w:b/>
              </w:rPr>
              <w:t>Project Management</w:t>
            </w:r>
          </w:p>
          <w:p w14:paraId="2AFAE2DF" w14:textId="77777777" w:rsidR="003727EE" w:rsidRPr="00CC78FD" w:rsidRDefault="003727EE" w:rsidP="00844ACF">
            <w:pPr>
              <w:pStyle w:val="TableText"/>
            </w:pPr>
            <w:r w:rsidRPr="00CC78FD">
              <w:t>Understand and apply effective planning, coordination and control methods</w:t>
            </w:r>
          </w:p>
        </w:tc>
        <w:tc>
          <w:tcPr>
            <w:tcW w:w="4770" w:type="dxa"/>
            <w:tcBorders>
              <w:bottom w:val="single" w:sz="4" w:space="0" w:color="BCBEC0"/>
            </w:tcBorders>
            <w:shd w:val="clear" w:color="auto" w:fill="auto"/>
          </w:tcPr>
          <w:p w14:paraId="75DE4812" w14:textId="77777777" w:rsidR="003727EE" w:rsidRPr="00CC78FD" w:rsidRDefault="003727EE" w:rsidP="00844ACF">
            <w:pPr>
              <w:pStyle w:val="TableBullet"/>
              <w:tabs>
                <w:tab w:val="clear" w:pos="284"/>
                <w:tab w:val="num" w:pos="360"/>
              </w:tabs>
              <w:ind w:left="360" w:hanging="360"/>
            </w:pPr>
            <w:r w:rsidRPr="00CC78FD">
              <w:t>Prepare and review project scope and business cases for projects with multiple interdependencies</w:t>
            </w:r>
          </w:p>
          <w:p w14:paraId="6B7FCA2E" w14:textId="77777777" w:rsidR="003727EE" w:rsidRPr="00CC78FD" w:rsidRDefault="003727EE" w:rsidP="00844ACF">
            <w:pPr>
              <w:pStyle w:val="TableBullet"/>
              <w:tabs>
                <w:tab w:val="clear" w:pos="284"/>
                <w:tab w:val="num" w:pos="360"/>
              </w:tabs>
              <w:ind w:left="360" w:hanging="360"/>
            </w:pPr>
            <w:r w:rsidRPr="00CC78FD">
              <w:t>Access key subject-matter experts’ knowledge to inform project plans and directions</w:t>
            </w:r>
          </w:p>
          <w:p w14:paraId="207C396E" w14:textId="77777777" w:rsidR="003727EE" w:rsidRPr="00CC78FD" w:rsidRDefault="003727EE" w:rsidP="00844ACF">
            <w:pPr>
              <w:pStyle w:val="TableBullet"/>
              <w:tabs>
                <w:tab w:val="clear" w:pos="284"/>
                <w:tab w:val="num" w:pos="360"/>
              </w:tabs>
              <w:ind w:left="360" w:hanging="360"/>
            </w:pPr>
            <w:r w:rsidRPr="00CC78FD">
              <w:t>Design and implement effective stakeholder engagement and communications strategies for all project stages</w:t>
            </w:r>
          </w:p>
          <w:p w14:paraId="58B3E808" w14:textId="77777777" w:rsidR="003727EE" w:rsidRPr="00CC78FD" w:rsidRDefault="003727EE" w:rsidP="00844ACF">
            <w:pPr>
              <w:pStyle w:val="TableBullet"/>
              <w:tabs>
                <w:tab w:val="clear" w:pos="284"/>
                <w:tab w:val="num" w:pos="360"/>
              </w:tabs>
              <w:ind w:left="360" w:hanging="360"/>
            </w:pPr>
            <w:r w:rsidRPr="00CC78FD">
              <w:t>Monitor project completion and implement effective and rigorous project evaluation methodologies to inform future planning</w:t>
            </w:r>
          </w:p>
          <w:p w14:paraId="08D96828" w14:textId="77777777" w:rsidR="003727EE" w:rsidRPr="00CC78FD" w:rsidRDefault="003727EE" w:rsidP="00844ACF">
            <w:pPr>
              <w:pStyle w:val="TableBullet"/>
              <w:tabs>
                <w:tab w:val="clear" w:pos="284"/>
                <w:tab w:val="num" w:pos="360"/>
              </w:tabs>
              <w:ind w:left="360" w:hanging="360"/>
            </w:pPr>
            <w:r w:rsidRPr="00CC78FD">
              <w:t>Develop effective strategies to remedy variances from project plans and minimise impact</w:t>
            </w:r>
          </w:p>
          <w:p w14:paraId="177D7391" w14:textId="77777777" w:rsidR="003727EE" w:rsidRPr="00CC78FD" w:rsidRDefault="003727EE" w:rsidP="00844ACF">
            <w:pPr>
              <w:pStyle w:val="TableBullet"/>
              <w:tabs>
                <w:tab w:val="clear" w:pos="284"/>
                <w:tab w:val="num" w:pos="360"/>
              </w:tabs>
              <w:ind w:left="360" w:hanging="360"/>
            </w:pPr>
            <w:r w:rsidRPr="00CC78FD">
              <w:t>Manage transitions between project stages and ensure that changes are consistent with organisational goals</w:t>
            </w:r>
          </w:p>
          <w:p w14:paraId="42C73B85" w14:textId="77777777" w:rsidR="003727EE" w:rsidRPr="00CC78FD" w:rsidRDefault="003727EE" w:rsidP="00844ACF">
            <w:pPr>
              <w:pStyle w:val="TableBullet"/>
              <w:tabs>
                <w:tab w:val="clear" w:pos="284"/>
                <w:tab w:val="num" w:pos="360"/>
              </w:tabs>
              <w:ind w:left="360" w:hanging="360"/>
            </w:pPr>
            <w:r w:rsidRPr="00CC78FD">
              <w:t>Participate in governance processes such as project steering groups</w:t>
            </w:r>
          </w:p>
        </w:tc>
        <w:tc>
          <w:tcPr>
            <w:tcW w:w="1606" w:type="dxa"/>
            <w:tcBorders>
              <w:bottom w:val="single" w:sz="4" w:space="0" w:color="BCBEC0"/>
            </w:tcBorders>
            <w:shd w:val="clear" w:color="auto" w:fill="auto"/>
          </w:tcPr>
          <w:p w14:paraId="70433FD8" w14:textId="77777777" w:rsidR="003727EE" w:rsidRPr="00CC78FD" w:rsidRDefault="003727EE" w:rsidP="00844ACF">
            <w:pPr>
              <w:pStyle w:val="TableBullet"/>
              <w:numPr>
                <w:ilvl w:val="0"/>
                <w:numId w:val="0"/>
              </w:numPr>
              <w:jc w:val="both"/>
            </w:pPr>
            <w:r w:rsidRPr="00CC78FD">
              <w:t>Advanced</w:t>
            </w:r>
          </w:p>
        </w:tc>
      </w:tr>
      <w:tr w:rsidR="00C72FCB" w:rsidRPr="00CC78FD" w14:paraId="382B8D85" w14:textId="77777777" w:rsidTr="00844ACF">
        <w:trPr>
          <w:cantSplit/>
          <w:jc w:val="center"/>
        </w:trPr>
        <w:tc>
          <w:tcPr>
            <w:tcW w:w="1406" w:type="dxa"/>
            <w:tcBorders>
              <w:bottom w:val="single" w:sz="4" w:space="0" w:color="BCBEC0"/>
            </w:tcBorders>
            <w:shd w:val="clear" w:color="auto" w:fill="auto"/>
          </w:tcPr>
          <w:p w14:paraId="01135EC0" w14:textId="36F1DF4B" w:rsidR="00C72FCB"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10B50A54" wp14:editId="56132150">
                  <wp:extent cx="857250" cy="85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5F26A6A4" w14:textId="77777777" w:rsidR="00C72FCB" w:rsidRPr="00005C6F" w:rsidRDefault="00C72FCB" w:rsidP="00844ACF">
            <w:pPr>
              <w:pStyle w:val="TableText"/>
              <w:rPr>
                <w:b/>
              </w:rPr>
            </w:pPr>
            <w:r w:rsidRPr="00005C6F">
              <w:rPr>
                <w:b/>
              </w:rPr>
              <w:t>Procurement and Contract Management</w:t>
            </w:r>
          </w:p>
          <w:p w14:paraId="68D3D8F0" w14:textId="77777777" w:rsidR="00C72FCB" w:rsidRPr="00005C6F" w:rsidRDefault="00C72FCB" w:rsidP="00844ACF">
            <w:pPr>
              <w:pStyle w:val="TableText"/>
            </w:pPr>
            <w:r w:rsidRPr="00005C6F">
              <w:t>Understand and apply procurement processes to ensure effective purchasing and contract performance</w:t>
            </w:r>
          </w:p>
        </w:tc>
        <w:tc>
          <w:tcPr>
            <w:tcW w:w="4770" w:type="dxa"/>
            <w:tcBorders>
              <w:bottom w:val="single" w:sz="4" w:space="0" w:color="BCBEC0"/>
            </w:tcBorders>
            <w:shd w:val="clear" w:color="auto" w:fill="auto"/>
          </w:tcPr>
          <w:p w14:paraId="2236620E" w14:textId="77777777" w:rsidR="00C72FCB" w:rsidRPr="00005C6F" w:rsidRDefault="00C72FCB" w:rsidP="00844ACF">
            <w:pPr>
              <w:pStyle w:val="TableBullet"/>
              <w:tabs>
                <w:tab w:val="clear" w:pos="284"/>
                <w:tab w:val="num" w:pos="360"/>
              </w:tabs>
              <w:ind w:left="360" w:hanging="360"/>
            </w:pPr>
            <w:r w:rsidRPr="00005C6F">
              <w:t>Ensure that employees and contractors apply government and organisational procurement and contract management policies</w:t>
            </w:r>
          </w:p>
          <w:p w14:paraId="1B5C7806" w14:textId="77777777" w:rsidR="00C72FCB" w:rsidRPr="00005C6F" w:rsidRDefault="00C72FCB" w:rsidP="00844ACF">
            <w:pPr>
              <w:pStyle w:val="TableBullet"/>
              <w:tabs>
                <w:tab w:val="clear" w:pos="284"/>
                <w:tab w:val="num" w:pos="360"/>
              </w:tabs>
              <w:ind w:left="360" w:hanging="360"/>
            </w:pPr>
            <w:r w:rsidRPr="00005C6F">
              <w:t>Monitor procurement and contract management risks and ensure that this informs contract development, management and procurement decisions</w:t>
            </w:r>
          </w:p>
          <w:p w14:paraId="457535DA" w14:textId="77777777" w:rsidR="00C72FCB" w:rsidRPr="00005C6F" w:rsidRDefault="00C72FCB" w:rsidP="00844ACF">
            <w:pPr>
              <w:pStyle w:val="TableBullet"/>
              <w:tabs>
                <w:tab w:val="clear" w:pos="284"/>
                <w:tab w:val="num" w:pos="360"/>
              </w:tabs>
              <w:ind w:left="360" w:hanging="360"/>
            </w:pPr>
            <w:r w:rsidRPr="00005C6F">
              <w:t>Promote effective risk management in procurement</w:t>
            </w:r>
          </w:p>
          <w:p w14:paraId="3C9FC476" w14:textId="77777777" w:rsidR="00C72FCB" w:rsidRPr="00005C6F" w:rsidRDefault="00C72FCB" w:rsidP="00844ACF">
            <w:pPr>
              <w:pStyle w:val="TableBullet"/>
              <w:tabs>
                <w:tab w:val="clear" w:pos="284"/>
                <w:tab w:val="num" w:pos="360"/>
              </w:tabs>
              <w:ind w:left="360" w:hanging="360"/>
            </w:pPr>
            <w:r w:rsidRPr="00005C6F">
              <w:t>Implement effective governance arrangements to monitor provider, supplier and contractor performance against contracted deliverables and outcomes</w:t>
            </w:r>
          </w:p>
          <w:p w14:paraId="5840BBA8" w14:textId="77777777" w:rsidR="00C72FCB" w:rsidRPr="00005C6F" w:rsidRDefault="00C72FCB" w:rsidP="00844ACF">
            <w:pPr>
              <w:pStyle w:val="TableBullet"/>
              <w:tabs>
                <w:tab w:val="clear" w:pos="284"/>
                <w:tab w:val="num" w:pos="360"/>
              </w:tabs>
              <w:ind w:left="360" w:hanging="360"/>
            </w:pPr>
            <w:r w:rsidRPr="00005C6F">
              <w:t>Represent the organisation in resolving complex or sensitive disputes with providers, suppliers and contractors</w:t>
            </w:r>
          </w:p>
        </w:tc>
        <w:tc>
          <w:tcPr>
            <w:tcW w:w="1606" w:type="dxa"/>
            <w:tcBorders>
              <w:bottom w:val="single" w:sz="4" w:space="0" w:color="BCBEC0"/>
            </w:tcBorders>
            <w:shd w:val="clear" w:color="auto" w:fill="auto"/>
          </w:tcPr>
          <w:p w14:paraId="466BFF3C" w14:textId="77777777" w:rsidR="00C72FCB" w:rsidRPr="00005C6F" w:rsidRDefault="00C72FCB" w:rsidP="00844ACF">
            <w:pPr>
              <w:pStyle w:val="TableBullet"/>
              <w:numPr>
                <w:ilvl w:val="0"/>
                <w:numId w:val="0"/>
              </w:numPr>
              <w:jc w:val="both"/>
            </w:pPr>
            <w:r w:rsidRPr="00005C6F">
              <w:t>Advanced</w:t>
            </w:r>
          </w:p>
        </w:tc>
      </w:tr>
      <w:tr w:rsidR="00C72FCB" w:rsidRPr="00CC78FD" w14:paraId="0179C2AD" w14:textId="77777777" w:rsidTr="00844ACF">
        <w:trPr>
          <w:cantSplit/>
          <w:jc w:val="center"/>
        </w:trPr>
        <w:tc>
          <w:tcPr>
            <w:tcW w:w="1406" w:type="dxa"/>
            <w:tcBorders>
              <w:bottom w:val="single" w:sz="4" w:space="0" w:color="BCBEC0"/>
            </w:tcBorders>
            <w:shd w:val="clear" w:color="auto" w:fill="auto"/>
          </w:tcPr>
          <w:p w14:paraId="79E0F04B" w14:textId="00AC2054" w:rsidR="00C72FCB"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lastRenderedPageBreak/>
              <w:drawing>
                <wp:inline distT="0" distB="0" distL="0" distR="0" wp14:anchorId="0C59E4A7" wp14:editId="2A119C76">
                  <wp:extent cx="838200" cy="838200"/>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456F6A4D" w14:textId="77777777" w:rsidR="00C72FCB" w:rsidRPr="00CC78FD" w:rsidRDefault="00C72FCB" w:rsidP="00844ACF">
            <w:pPr>
              <w:pStyle w:val="TableText"/>
              <w:rPr>
                <w:b/>
              </w:rPr>
            </w:pPr>
            <w:r w:rsidRPr="00CC78FD">
              <w:rPr>
                <w:b/>
              </w:rPr>
              <w:t>Manage and Develop People</w:t>
            </w:r>
          </w:p>
          <w:p w14:paraId="5E4DEBF4" w14:textId="77777777" w:rsidR="00C72FCB" w:rsidRPr="00CC78FD" w:rsidRDefault="00C72FCB" w:rsidP="00844ACF">
            <w:pPr>
              <w:pStyle w:val="TableText"/>
            </w:pPr>
            <w:r w:rsidRPr="00CC78FD">
              <w:t>Engage and motivate staff, and develop capability and potential in others</w:t>
            </w:r>
          </w:p>
        </w:tc>
        <w:tc>
          <w:tcPr>
            <w:tcW w:w="4770" w:type="dxa"/>
            <w:tcBorders>
              <w:bottom w:val="single" w:sz="4" w:space="0" w:color="BCBEC0"/>
            </w:tcBorders>
            <w:shd w:val="clear" w:color="auto" w:fill="auto"/>
          </w:tcPr>
          <w:p w14:paraId="6E61E3A1" w14:textId="77777777" w:rsidR="00C72FCB" w:rsidRPr="00CC78FD" w:rsidRDefault="00C72FCB" w:rsidP="00844ACF">
            <w:pPr>
              <w:pStyle w:val="TableBullet"/>
              <w:tabs>
                <w:tab w:val="clear" w:pos="284"/>
                <w:tab w:val="num" w:pos="360"/>
              </w:tabs>
              <w:ind w:left="360" w:hanging="360"/>
            </w:pPr>
            <w:r w:rsidRPr="00CC78FD">
              <w:t>Define and clearly communicate roles, responsibilities and performance standards to achieve team outcomes</w:t>
            </w:r>
          </w:p>
          <w:p w14:paraId="3C667839" w14:textId="77777777" w:rsidR="00C72FCB" w:rsidRPr="00CC78FD" w:rsidRDefault="00C72FCB" w:rsidP="00844ACF">
            <w:pPr>
              <w:pStyle w:val="TableBullet"/>
              <w:tabs>
                <w:tab w:val="clear" w:pos="284"/>
                <w:tab w:val="num" w:pos="360"/>
              </w:tabs>
              <w:ind w:left="360" w:hanging="360"/>
            </w:pPr>
            <w:r w:rsidRPr="00CC78FD">
              <w:t>Adjust performance development processes to meet the diverse abilities and needs of individuals and teams</w:t>
            </w:r>
          </w:p>
          <w:p w14:paraId="421EE95D" w14:textId="77777777" w:rsidR="00C72FCB" w:rsidRPr="00CC78FD" w:rsidRDefault="00C72FCB" w:rsidP="00844ACF">
            <w:pPr>
              <w:pStyle w:val="TableBullet"/>
              <w:tabs>
                <w:tab w:val="clear" w:pos="284"/>
                <w:tab w:val="num" w:pos="360"/>
              </w:tabs>
              <w:ind w:left="360" w:hanging="360"/>
            </w:pPr>
            <w:r w:rsidRPr="00CC78FD">
              <w:t>Develop work plans that consider capability, strengths and opportunities for development</w:t>
            </w:r>
          </w:p>
          <w:p w14:paraId="36EB79A4" w14:textId="77777777" w:rsidR="00C72FCB" w:rsidRPr="00CC78FD" w:rsidRDefault="00C72FCB" w:rsidP="00844ACF">
            <w:pPr>
              <w:pStyle w:val="TableBullet"/>
              <w:tabs>
                <w:tab w:val="clear" w:pos="284"/>
                <w:tab w:val="num" w:pos="360"/>
              </w:tabs>
              <w:ind w:left="360" w:hanging="360"/>
            </w:pPr>
            <w:r w:rsidRPr="00CC78FD">
              <w:t>Be aware of the influences of bias when managing team members</w:t>
            </w:r>
          </w:p>
          <w:p w14:paraId="02A64ECA" w14:textId="77777777" w:rsidR="00C72FCB" w:rsidRPr="00CC78FD" w:rsidRDefault="00C72FCB" w:rsidP="00844ACF">
            <w:pPr>
              <w:pStyle w:val="TableBullet"/>
              <w:tabs>
                <w:tab w:val="clear" w:pos="284"/>
                <w:tab w:val="num" w:pos="360"/>
              </w:tabs>
              <w:ind w:left="360" w:hanging="360"/>
            </w:pPr>
            <w:r w:rsidRPr="00CC78FD">
              <w:t>Seek feedback on own management capabilities and develop strategies to address any gaps</w:t>
            </w:r>
          </w:p>
          <w:p w14:paraId="4129566D" w14:textId="77777777" w:rsidR="00C72FCB" w:rsidRPr="00CC78FD" w:rsidRDefault="00C72FCB" w:rsidP="00844ACF">
            <w:pPr>
              <w:pStyle w:val="TableBullet"/>
              <w:tabs>
                <w:tab w:val="clear" w:pos="284"/>
                <w:tab w:val="num" w:pos="360"/>
              </w:tabs>
              <w:ind w:left="360" w:hanging="360"/>
            </w:pPr>
            <w:r w:rsidRPr="00CC78FD">
              <w:t>Address and resolve team and individual performance issues, including unsatisfactory performance, in a timely and effective way</w:t>
            </w:r>
          </w:p>
          <w:p w14:paraId="69E57288" w14:textId="77777777" w:rsidR="00C72FCB" w:rsidRPr="00CC78FD" w:rsidRDefault="00C72FCB" w:rsidP="00844ACF">
            <w:pPr>
              <w:pStyle w:val="TableBullet"/>
              <w:tabs>
                <w:tab w:val="clear" w:pos="284"/>
                <w:tab w:val="num" w:pos="360"/>
              </w:tabs>
              <w:ind w:left="360" w:hanging="360"/>
            </w:pPr>
            <w:r w:rsidRPr="00CC78FD">
              <w:t>Monitor and report on team performance in line with established performance development frameworks</w:t>
            </w:r>
          </w:p>
        </w:tc>
        <w:tc>
          <w:tcPr>
            <w:tcW w:w="1606" w:type="dxa"/>
            <w:tcBorders>
              <w:bottom w:val="single" w:sz="4" w:space="0" w:color="BCBEC0"/>
            </w:tcBorders>
            <w:shd w:val="clear" w:color="auto" w:fill="auto"/>
          </w:tcPr>
          <w:p w14:paraId="2267C192" w14:textId="77777777" w:rsidR="00C72FCB" w:rsidRPr="00CC78FD" w:rsidRDefault="00C72FCB" w:rsidP="00844ACF">
            <w:pPr>
              <w:pStyle w:val="TableBullet"/>
              <w:numPr>
                <w:ilvl w:val="0"/>
                <w:numId w:val="0"/>
              </w:numPr>
              <w:jc w:val="both"/>
            </w:pPr>
            <w:r w:rsidRPr="00CC78FD">
              <w:t>Adept</w:t>
            </w:r>
          </w:p>
        </w:tc>
      </w:tr>
    </w:tbl>
    <w:p w14:paraId="372E2903" w14:textId="77777777" w:rsidR="003727EE" w:rsidRDefault="003727EE" w:rsidP="003727EE"/>
    <w:p w14:paraId="00E81A7B" w14:textId="77777777" w:rsidR="003727EE" w:rsidRDefault="003727EE" w:rsidP="003727EE">
      <w:pPr>
        <w:pStyle w:val="Heading1"/>
      </w:pPr>
      <w:r>
        <w:t>Complementary capabilities</w:t>
      </w:r>
    </w:p>
    <w:p w14:paraId="634C9D13" w14:textId="77777777" w:rsidR="003727EE" w:rsidRPr="003927AE" w:rsidRDefault="003727EE" w:rsidP="003727E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D32CB2E" w14:textId="77777777" w:rsidR="003727EE" w:rsidRDefault="003727EE" w:rsidP="003727E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70A96A84" w14:textId="77777777" w:rsidR="003727EE" w:rsidRDefault="003727EE" w:rsidP="003727EE">
      <w:pPr>
        <w:pStyle w:val="PlainText"/>
        <w:spacing w:before="62" w:line="276" w:lineRule="auto"/>
        <w:rPr>
          <w:rFonts w:ascii="Arial" w:hAnsi="Arial"/>
          <w:szCs w:val="22"/>
          <w:lang w:val="en-US"/>
        </w:rPr>
      </w:pPr>
    </w:p>
    <w:tbl>
      <w:tblPr>
        <w:tblW w:w="10753" w:type="dxa"/>
        <w:jc w:val="center"/>
        <w:tblBorders>
          <w:top w:val="single" w:sz="8" w:space="0" w:color="BCBEC0"/>
          <w:bottom w:val="single" w:sz="12" w:space="0" w:color="auto"/>
          <w:insideH w:val="single" w:sz="8" w:space="0" w:color="BCBEC0"/>
        </w:tblBorders>
        <w:tblLayout w:type="fixed"/>
        <w:tblCellMar>
          <w:left w:w="57" w:type="dxa"/>
          <w:right w:w="0" w:type="dxa"/>
        </w:tblCellMar>
        <w:tblLook w:val="04A0" w:firstRow="1" w:lastRow="0" w:firstColumn="1" w:lastColumn="0" w:noHBand="0" w:noVBand="1"/>
      </w:tblPr>
      <w:tblGrid>
        <w:gridCol w:w="1406"/>
        <w:gridCol w:w="2881"/>
        <w:gridCol w:w="90"/>
        <w:gridCol w:w="4770"/>
        <w:gridCol w:w="1606"/>
      </w:tblGrid>
      <w:tr w:rsidR="003727EE" w:rsidRPr="00CC78FD" w14:paraId="369A0791" w14:textId="77777777" w:rsidTr="00844ACF">
        <w:trPr>
          <w:cantSplit/>
          <w:tblHeader/>
          <w:jc w:val="center"/>
        </w:trPr>
        <w:tc>
          <w:tcPr>
            <w:tcW w:w="1406" w:type="dxa"/>
            <w:tcBorders>
              <w:top w:val="single" w:sz="8" w:space="0" w:color="auto"/>
              <w:left w:val="nil"/>
              <w:bottom w:val="single" w:sz="12" w:space="0" w:color="auto"/>
              <w:right w:val="nil"/>
              <w:tl2br w:val="nil"/>
              <w:tr2bl w:val="nil"/>
            </w:tcBorders>
            <w:shd w:val="clear" w:color="auto" w:fill="BCBEC0"/>
            <w:vAlign w:val="center"/>
          </w:tcPr>
          <w:p w14:paraId="2E683CBF" w14:textId="77777777" w:rsidR="003727EE" w:rsidRPr="00CC78FD" w:rsidRDefault="003727EE" w:rsidP="00844ACF">
            <w:pPr>
              <w:pStyle w:val="TableText"/>
              <w:rPr>
                <w:b/>
                <w:sz w:val="24"/>
                <w:szCs w:val="24"/>
              </w:rPr>
            </w:pPr>
            <w:r w:rsidRPr="00CC78FD">
              <w:rPr>
                <w:b/>
              </w:rPr>
              <w:t>Capability group/sets</w:t>
            </w:r>
          </w:p>
        </w:tc>
        <w:tc>
          <w:tcPr>
            <w:tcW w:w="2881" w:type="dxa"/>
            <w:tcBorders>
              <w:top w:val="single" w:sz="8" w:space="0" w:color="auto"/>
              <w:left w:val="nil"/>
              <w:bottom w:val="single" w:sz="12" w:space="0" w:color="auto"/>
              <w:right w:val="nil"/>
              <w:tl2br w:val="nil"/>
              <w:tr2bl w:val="nil"/>
            </w:tcBorders>
            <w:shd w:val="clear" w:color="auto" w:fill="BCBEC0"/>
          </w:tcPr>
          <w:p w14:paraId="6FEF295A" w14:textId="77777777" w:rsidR="003727EE" w:rsidRPr="00CC78FD" w:rsidRDefault="003727EE" w:rsidP="00844ACF">
            <w:pPr>
              <w:pStyle w:val="TableText"/>
              <w:rPr>
                <w:b/>
                <w:sz w:val="24"/>
                <w:szCs w:val="24"/>
              </w:rPr>
            </w:pPr>
            <w:r w:rsidRPr="00CC78FD">
              <w:rPr>
                <w:b/>
              </w:rPr>
              <w:t>Capability name</w:t>
            </w:r>
          </w:p>
        </w:tc>
        <w:tc>
          <w:tcPr>
            <w:tcW w:w="90" w:type="dxa"/>
            <w:tcBorders>
              <w:top w:val="single" w:sz="8" w:space="0" w:color="auto"/>
              <w:left w:val="nil"/>
              <w:bottom w:val="single" w:sz="12" w:space="0" w:color="auto"/>
              <w:right w:val="nil"/>
              <w:tl2br w:val="nil"/>
              <w:tr2bl w:val="nil"/>
            </w:tcBorders>
            <w:shd w:val="clear" w:color="auto" w:fill="BCBEC0"/>
          </w:tcPr>
          <w:p w14:paraId="451243DA" w14:textId="77777777" w:rsidR="003727EE" w:rsidRPr="00CC78FD" w:rsidRDefault="003727EE" w:rsidP="00844ACF">
            <w:pPr>
              <w:pStyle w:val="TableText"/>
              <w:rPr>
                <w:b/>
              </w:rPr>
            </w:pPr>
          </w:p>
        </w:tc>
        <w:tc>
          <w:tcPr>
            <w:tcW w:w="4770" w:type="dxa"/>
            <w:tcBorders>
              <w:top w:val="single" w:sz="8" w:space="0" w:color="auto"/>
              <w:left w:val="nil"/>
              <w:bottom w:val="single" w:sz="12" w:space="0" w:color="auto"/>
              <w:right w:val="nil"/>
              <w:tl2br w:val="nil"/>
              <w:tr2bl w:val="nil"/>
            </w:tcBorders>
            <w:shd w:val="clear" w:color="auto" w:fill="BCBEC0"/>
          </w:tcPr>
          <w:p w14:paraId="68C1DA3C" w14:textId="77777777" w:rsidR="003727EE" w:rsidRPr="00CC78FD" w:rsidRDefault="003727EE" w:rsidP="00844ACF">
            <w:pPr>
              <w:pStyle w:val="TableText"/>
              <w:rPr>
                <w:b/>
              </w:rPr>
            </w:pPr>
            <w:r w:rsidRPr="00CC78FD">
              <w:rPr>
                <w:b/>
              </w:rPr>
              <w:t>Description</w:t>
            </w:r>
          </w:p>
        </w:tc>
        <w:tc>
          <w:tcPr>
            <w:tcW w:w="1606" w:type="dxa"/>
            <w:tcBorders>
              <w:top w:val="single" w:sz="8" w:space="0" w:color="auto"/>
              <w:left w:val="nil"/>
              <w:bottom w:val="single" w:sz="12" w:space="0" w:color="auto"/>
              <w:right w:val="nil"/>
              <w:tl2br w:val="nil"/>
              <w:tr2bl w:val="nil"/>
            </w:tcBorders>
            <w:shd w:val="clear" w:color="auto" w:fill="BCBEC0"/>
          </w:tcPr>
          <w:p w14:paraId="6FDE1A0B" w14:textId="77777777" w:rsidR="003727EE" w:rsidRPr="00CC78FD" w:rsidRDefault="003727EE" w:rsidP="00844ACF">
            <w:pPr>
              <w:pStyle w:val="TableText"/>
              <w:jc w:val="both"/>
              <w:rPr>
                <w:b/>
              </w:rPr>
            </w:pPr>
            <w:r w:rsidRPr="00CC78FD">
              <w:rPr>
                <w:b/>
              </w:rPr>
              <w:t xml:space="preserve">Level </w:t>
            </w:r>
          </w:p>
        </w:tc>
      </w:tr>
      <w:tr w:rsidR="003727EE" w:rsidRPr="00CC78FD" w14:paraId="3766A25C" w14:textId="77777777" w:rsidTr="00844ACF">
        <w:trPr>
          <w:cantSplit/>
          <w:jc w:val="center"/>
        </w:trPr>
        <w:tc>
          <w:tcPr>
            <w:tcW w:w="1406" w:type="dxa"/>
            <w:tcBorders>
              <w:bottom w:val="single" w:sz="4" w:space="0" w:color="BCBEC0"/>
            </w:tcBorders>
            <w:shd w:val="clear" w:color="auto" w:fill="auto"/>
          </w:tcPr>
          <w:p w14:paraId="4E210AFC" w14:textId="6A6A0AC9"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drawing>
                <wp:inline distT="0" distB="0" distL="0" distR="0" wp14:anchorId="6FA58D9E" wp14:editId="12F209AE">
                  <wp:extent cx="581025" cy="581025"/>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64AF400F"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Display Resilience and Courage</w:t>
            </w:r>
          </w:p>
        </w:tc>
        <w:tc>
          <w:tcPr>
            <w:tcW w:w="4770" w:type="dxa"/>
            <w:tcBorders>
              <w:bottom w:val="single" w:sz="4" w:space="0" w:color="BCBEC0"/>
            </w:tcBorders>
            <w:shd w:val="clear" w:color="auto" w:fill="auto"/>
          </w:tcPr>
          <w:p w14:paraId="32396979"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Be open and honest, prepared to express your views, and willing to accept and commit to change</w:t>
            </w:r>
          </w:p>
        </w:tc>
        <w:tc>
          <w:tcPr>
            <w:tcW w:w="1606" w:type="dxa"/>
            <w:tcBorders>
              <w:bottom w:val="single" w:sz="4" w:space="0" w:color="BCBEC0"/>
            </w:tcBorders>
            <w:shd w:val="clear" w:color="auto" w:fill="auto"/>
          </w:tcPr>
          <w:p w14:paraId="5F90219E" w14:textId="77777777" w:rsidR="003727EE" w:rsidRPr="00CC78FD" w:rsidRDefault="003727EE" w:rsidP="00844ACF">
            <w:pPr>
              <w:pStyle w:val="TableBullet"/>
              <w:numPr>
                <w:ilvl w:val="0"/>
                <w:numId w:val="0"/>
              </w:numPr>
              <w:jc w:val="both"/>
            </w:pPr>
            <w:r w:rsidRPr="00CC78FD">
              <w:t>Adept</w:t>
            </w:r>
          </w:p>
        </w:tc>
      </w:tr>
      <w:tr w:rsidR="003727EE" w:rsidRPr="00CC78FD" w14:paraId="6DB2A7C1" w14:textId="77777777" w:rsidTr="00844ACF">
        <w:trPr>
          <w:cantSplit/>
          <w:jc w:val="center"/>
        </w:trPr>
        <w:tc>
          <w:tcPr>
            <w:tcW w:w="1406" w:type="dxa"/>
            <w:tcBorders>
              <w:bottom w:val="single" w:sz="4" w:space="0" w:color="BCBEC0"/>
            </w:tcBorders>
            <w:shd w:val="clear" w:color="auto" w:fill="auto"/>
          </w:tcPr>
          <w:p w14:paraId="776F75D7" w14:textId="3DBBF553" w:rsidR="003727EE"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3D36D405" wp14:editId="1538C3CB">
                  <wp:extent cx="581025" cy="581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0A08B1D2"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Manage Self</w:t>
            </w:r>
          </w:p>
        </w:tc>
        <w:tc>
          <w:tcPr>
            <w:tcW w:w="4770" w:type="dxa"/>
            <w:tcBorders>
              <w:bottom w:val="single" w:sz="4" w:space="0" w:color="BCBEC0"/>
            </w:tcBorders>
            <w:shd w:val="clear" w:color="auto" w:fill="auto"/>
          </w:tcPr>
          <w:p w14:paraId="0A9A6A62"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Show drive and motivation, an ability to self-reflect and a commitment to learning</w:t>
            </w:r>
          </w:p>
        </w:tc>
        <w:tc>
          <w:tcPr>
            <w:tcW w:w="1606" w:type="dxa"/>
            <w:tcBorders>
              <w:bottom w:val="single" w:sz="4" w:space="0" w:color="BCBEC0"/>
            </w:tcBorders>
            <w:shd w:val="clear" w:color="auto" w:fill="auto"/>
          </w:tcPr>
          <w:p w14:paraId="60EFE1B4" w14:textId="77777777" w:rsidR="003727EE" w:rsidRPr="00CC78FD" w:rsidRDefault="003727EE" w:rsidP="00844ACF">
            <w:pPr>
              <w:pStyle w:val="TableBullet"/>
              <w:numPr>
                <w:ilvl w:val="0"/>
                <w:numId w:val="0"/>
              </w:numPr>
              <w:jc w:val="both"/>
            </w:pPr>
            <w:r w:rsidRPr="00CC78FD">
              <w:t>Adept</w:t>
            </w:r>
          </w:p>
        </w:tc>
      </w:tr>
      <w:tr w:rsidR="003727EE" w:rsidRPr="00CC78FD" w14:paraId="4C654A23" w14:textId="77777777" w:rsidTr="00844ACF">
        <w:trPr>
          <w:cantSplit/>
          <w:jc w:val="center"/>
        </w:trPr>
        <w:tc>
          <w:tcPr>
            <w:tcW w:w="1406" w:type="dxa"/>
            <w:tcBorders>
              <w:bottom w:val="single" w:sz="4" w:space="0" w:color="BCBEC0"/>
            </w:tcBorders>
            <w:shd w:val="clear" w:color="auto" w:fill="auto"/>
          </w:tcPr>
          <w:p w14:paraId="79DA907E" w14:textId="0562CDAE" w:rsidR="003727EE"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7B7093C3" wp14:editId="1382361E">
                  <wp:extent cx="581025" cy="581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50E63BDE"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Value Diversity and Inclusion</w:t>
            </w:r>
          </w:p>
        </w:tc>
        <w:tc>
          <w:tcPr>
            <w:tcW w:w="4770" w:type="dxa"/>
            <w:tcBorders>
              <w:bottom w:val="single" w:sz="4" w:space="0" w:color="BCBEC0"/>
            </w:tcBorders>
            <w:shd w:val="clear" w:color="auto" w:fill="auto"/>
          </w:tcPr>
          <w:p w14:paraId="2B93847F"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Demonstrate inclusive behaviour and show respect for diverse backgrounds, experiences and perspectives</w:t>
            </w:r>
          </w:p>
        </w:tc>
        <w:tc>
          <w:tcPr>
            <w:tcW w:w="1606" w:type="dxa"/>
            <w:tcBorders>
              <w:bottom w:val="single" w:sz="4" w:space="0" w:color="BCBEC0"/>
            </w:tcBorders>
            <w:shd w:val="clear" w:color="auto" w:fill="auto"/>
          </w:tcPr>
          <w:p w14:paraId="554ED59A" w14:textId="77777777" w:rsidR="003727EE" w:rsidRPr="00CC78FD" w:rsidRDefault="003727EE" w:rsidP="00844ACF">
            <w:pPr>
              <w:pStyle w:val="TableBullet"/>
              <w:numPr>
                <w:ilvl w:val="0"/>
                <w:numId w:val="0"/>
              </w:numPr>
              <w:jc w:val="both"/>
            </w:pPr>
            <w:r w:rsidRPr="00CC78FD">
              <w:t>Intermediate</w:t>
            </w:r>
          </w:p>
        </w:tc>
      </w:tr>
      <w:tr w:rsidR="003727EE" w:rsidRPr="00CC78FD" w14:paraId="09DB4CE4" w14:textId="77777777" w:rsidTr="00844ACF">
        <w:trPr>
          <w:cantSplit/>
          <w:jc w:val="center"/>
        </w:trPr>
        <w:tc>
          <w:tcPr>
            <w:tcW w:w="1406" w:type="dxa"/>
            <w:tcBorders>
              <w:bottom w:val="single" w:sz="4" w:space="0" w:color="BCBEC0"/>
            </w:tcBorders>
            <w:shd w:val="clear" w:color="auto" w:fill="auto"/>
          </w:tcPr>
          <w:p w14:paraId="64DA0EB5" w14:textId="40A7BEF4"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drawing>
                <wp:inline distT="0" distB="0" distL="0" distR="0" wp14:anchorId="28E198C7" wp14:editId="4A6C87EF">
                  <wp:extent cx="581025" cy="58102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1C732879"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Influence and Negotiate</w:t>
            </w:r>
          </w:p>
        </w:tc>
        <w:tc>
          <w:tcPr>
            <w:tcW w:w="4770" w:type="dxa"/>
            <w:tcBorders>
              <w:bottom w:val="single" w:sz="4" w:space="0" w:color="BCBEC0"/>
            </w:tcBorders>
            <w:shd w:val="clear" w:color="auto" w:fill="auto"/>
          </w:tcPr>
          <w:p w14:paraId="08E460F5"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Gain consensus and commitment from others, and resolve issues and conflicts</w:t>
            </w:r>
          </w:p>
        </w:tc>
        <w:tc>
          <w:tcPr>
            <w:tcW w:w="1606" w:type="dxa"/>
            <w:tcBorders>
              <w:bottom w:val="single" w:sz="4" w:space="0" w:color="BCBEC0"/>
            </w:tcBorders>
            <w:shd w:val="clear" w:color="auto" w:fill="auto"/>
          </w:tcPr>
          <w:p w14:paraId="3C6856EB" w14:textId="77777777" w:rsidR="003727EE" w:rsidRPr="00CC78FD" w:rsidRDefault="003727EE" w:rsidP="00844ACF">
            <w:pPr>
              <w:pStyle w:val="TableBullet"/>
              <w:numPr>
                <w:ilvl w:val="0"/>
                <w:numId w:val="0"/>
              </w:numPr>
              <w:jc w:val="both"/>
            </w:pPr>
            <w:r w:rsidRPr="00CC78FD">
              <w:t>Adept</w:t>
            </w:r>
          </w:p>
        </w:tc>
      </w:tr>
      <w:tr w:rsidR="00273BE3" w:rsidRPr="00CC78FD" w14:paraId="53E1D7E5" w14:textId="77777777" w:rsidTr="00844ACF">
        <w:trPr>
          <w:cantSplit/>
          <w:jc w:val="center"/>
        </w:trPr>
        <w:tc>
          <w:tcPr>
            <w:tcW w:w="1406" w:type="dxa"/>
            <w:tcBorders>
              <w:bottom w:val="single" w:sz="4" w:space="0" w:color="BCBEC0"/>
            </w:tcBorders>
            <w:shd w:val="clear" w:color="auto" w:fill="auto"/>
          </w:tcPr>
          <w:p w14:paraId="3D21804C" w14:textId="553F50F7" w:rsidR="00273BE3"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71AEC45C" wp14:editId="0004DA82">
                  <wp:extent cx="581025" cy="58102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4943C9A9" w14:textId="77777777" w:rsidR="00273BE3" w:rsidRPr="00CC78FD" w:rsidRDefault="00273BE3" w:rsidP="00844ACF">
            <w:pPr>
              <w:spacing w:after="0" w:line="240" w:lineRule="auto"/>
              <w:rPr>
                <w:rFonts w:eastAsia="Calibri"/>
                <w:sz w:val="20"/>
                <w:szCs w:val="20"/>
                <w:lang w:val="en-AU"/>
              </w:rPr>
            </w:pPr>
            <w:r>
              <w:rPr>
                <w:rFonts w:eastAsia="Calibri"/>
                <w:sz w:val="20"/>
                <w:szCs w:val="20"/>
                <w:lang w:val="en-AU"/>
              </w:rPr>
              <w:t>Deliver Results</w:t>
            </w:r>
          </w:p>
        </w:tc>
        <w:tc>
          <w:tcPr>
            <w:tcW w:w="4770" w:type="dxa"/>
            <w:tcBorders>
              <w:bottom w:val="single" w:sz="4" w:space="0" w:color="BCBEC0"/>
            </w:tcBorders>
            <w:shd w:val="clear" w:color="auto" w:fill="auto"/>
          </w:tcPr>
          <w:p w14:paraId="489C415E" w14:textId="77777777" w:rsidR="00273BE3" w:rsidRPr="00CC78FD" w:rsidRDefault="00273BE3" w:rsidP="00844ACF">
            <w:pPr>
              <w:spacing w:after="0" w:line="240" w:lineRule="auto"/>
              <w:rPr>
                <w:rFonts w:eastAsia="Calibri"/>
                <w:sz w:val="20"/>
                <w:szCs w:val="20"/>
                <w:lang w:val="en-AU"/>
              </w:rPr>
            </w:pPr>
            <w:r w:rsidRPr="00273BE3">
              <w:rPr>
                <w:rFonts w:eastAsia="Calibri"/>
                <w:sz w:val="20"/>
                <w:szCs w:val="20"/>
                <w:lang w:val="en-AU"/>
              </w:rPr>
              <w:t>Achieve results through the efficient use of resources and a commitment to quality outcomes</w:t>
            </w:r>
          </w:p>
        </w:tc>
        <w:tc>
          <w:tcPr>
            <w:tcW w:w="1606" w:type="dxa"/>
            <w:tcBorders>
              <w:bottom w:val="single" w:sz="4" w:space="0" w:color="BCBEC0"/>
            </w:tcBorders>
            <w:shd w:val="clear" w:color="auto" w:fill="auto"/>
          </w:tcPr>
          <w:p w14:paraId="2D849F59" w14:textId="77777777" w:rsidR="00273BE3" w:rsidRPr="00CC78FD" w:rsidRDefault="00273BE3" w:rsidP="00844ACF">
            <w:pPr>
              <w:pStyle w:val="TableBullet"/>
              <w:numPr>
                <w:ilvl w:val="0"/>
                <w:numId w:val="0"/>
              </w:numPr>
              <w:jc w:val="both"/>
            </w:pPr>
            <w:r>
              <w:t>Advanced</w:t>
            </w:r>
          </w:p>
        </w:tc>
      </w:tr>
      <w:tr w:rsidR="003727EE" w:rsidRPr="00CC78FD" w14:paraId="769F4E41" w14:textId="77777777" w:rsidTr="00844ACF">
        <w:trPr>
          <w:cantSplit/>
          <w:jc w:val="center"/>
        </w:trPr>
        <w:tc>
          <w:tcPr>
            <w:tcW w:w="1406" w:type="dxa"/>
            <w:tcBorders>
              <w:bottom w:val="single" w:sz="4" w:space="0" w:color="BCBEC0"/>
            </w:tcBorders>
            <w:shd w:val="clear" w:color="auto" w:fill="auto"/>
          </w:tcPr>
          <w:p w14:paraId="1A245FBC" w14:textId="05E446F8"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lastRenderedPageBreak/>
              <w:drawing>
                <wp:inline distT="0" distB="0" distL="0" distR="0" wp14:anchorId="58AFF4DB" wp14:editId="1082D2F9">
                  <wp:extent cx="581025" cy="581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00796639"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Think and Solve Problems</w:t>
            </w:r>
          </w:p>
        </w:tc>
        <w:tc>
          <w:tcPr>
            <w:tcW w:w="4770" w:type="dxa"/>
            <w:tcBorders>
              <w:bottom w:val="single" w:sz="4" w:space="0" w:color="BCBEC0"/>
            </w:tcBorders>
            <w:shd w:val="clear" w:color="auto" w:fill="auto"/>
          </w:tcPr>
          <w:p w14:paraId="4C5351A7"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Think, analyse and consider the broader context to develop practical solutions</w:t>
            </w:r>
          </w:p>
        </w:tc>
        <w:tc>
          <w:tcPr>
            <w:tcW w:w="1606" w:type="dxa"/>
            <w:tcBorders>
              <w:bottom w:val="single" w:sz="4" w:space="0" w:color="BCBEC0"/>
            </w:tcBorders>
            <w:shd w:val="clear" w:color="auto" w:fill="auto"/>
          </w:tcPr>
          <w:p w14:paraId="33704F4F" w14:textId="77777777" w:rsidR="003727EE" w:rsidRPr="00CC78FD" w:rsidRDefault="003727EE" w:rsidP="00844ACF">
            <w:pPr>
              <w:pStyle w:val="TableBullet"/>
              <w:numPr>
                <w:ilvl w:val="0"/>
                <w:numId w:val="0"/>
              </w:numPr>
              <w:jc w:val="both"/>
            </w:pPr>
            <w:r w:rsidRPr="00CC78FD">
              <w:t>Adept</w:t>
            </w:r>
          </w:p>
        </w:tc>
      </w:tr>
      <w:tr w:rsidR="003727EE" w:rsidRPr="00CC78FD" w14:paraId="22F6DABE" w14:textId="77777777" w:rsidTr="00844ACF">
        <w:trPr>
          <w:cantSplit/>
          <w:jc w:val="center"/>
        </w:trPr>
        <w:tc>
          <w:tcPr>
            <w:tcW w:w="1406" w:type="dxa"/>
            <w:tcBorders>
              <w:bottom w:val="single" w:sz="4" w:space="0" w:color="BCBEC0"/>
            </w:tcBorders>
            <w:shd w:val="clear" w:color="auto" w:fill="auto"/>
          </w:tcPr>
          <w:p w14:paraId="588A1B88" w14:textId="6A6D1072"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drawing>
                <wp:inline distT="0" distB="0" distL="0" distR="0" wp14:anchorId="71516413" wp14:editId="696BDF94">
                  <wp:extent cx="581025" cy="581025"/>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454F1D6D"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Finance</w:t>
            </w:r>
          </w:p>
        </w:tc>
        <w:tc>
          <w:tcPr>
            <w:tcW w:w="4770" w:type="dxa"/>
            <w:tcBorders>
              <w:bottom w:val="single" w:sz="4" w:space="0" w:color="BCBEC0"/>
            </w:tcBorders>
            <w:shd w:val="clear" w:color="auto" w:fill="auto"/>
          </w:tcPr>
          <w:p w14:paraId="0728C374"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Understand and apply financial processes to achieve value for money and minimise financial risk</w:t>
            </w:r>
          </w:p>
        </w:tc>
        <w:tc>
          <w:tcPr>
            <w:tcW w:w="1606" w:type="dxa"/>
            <w:tcBorders>
              <w:bottom w:val="single" w:sz="4" w:space="0" w:color="BCBEC0"/>
            </w:tcBorders>
            <w:shd w:val="clear" w:color="auto" w:fill="auto"/>
          </w:tcPr>
          <w:p w14:paraId="41DEFF59" w14:textId="77777777" w:rsidR="003727EE" w:rsidRPr="00CC78FD" w:rsidRDefault="003727EE" w:rsidP="00844ACF">
            <w:pPr>
              <w:pStyle w:val="TableBullet"/>
              <w:numPr>
                <w:ilvl w:val="0"/>
                <w:numId w:val="0"/>
              </w:numPr>
              <w:jc w:val="both"/>
            </w:pPr>
            <w:r w:rsidRPr="00CC78FD">
              <w:t>Adept</w:t>
            </w:r>
          </w:p>
        </w:tc>
      </w:tr>
      <w:tr w:rsidR="003727EE" w:rsidRPr="00CC78FD" w14:paraId="1FC1DDF2" w14:textId="77777777" w:rsidTr="00844ACF">
        <w:trPr>
          <w:cantSplit/>
          <w:jc w:val="center"/>
        </w:trPr>
        <w:tc>
          <w:tcPr>
            <w:tcW w:w="1406" w:type="dxa"/>
            <w:tcBorders>
              <w:bottom w:val="single" w:sz="4" w:space="0" w:color="BCBEC0"/>
            </w:tcBorders>
            <w:shd w:val="clear" w:color="auto" w:fill="auto"/>
          </w:tcPr>
          <w:p w14:paraId="73326397" w14:textId="4D3B0559" w:rsidR="003727EE"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5A792A08" wp14:editId="248CEBB3">
                  <wp:extent cx="581025" cy="581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6F239D60"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Technology</w:t>
            </w:r>
          </w:p>
        </w:tc>
        <w:tc>
          <w:tcPr>
            <w:tcW w:w="4770" w:type="dxa"/>
            <w:tcBorders>
              <w:bottom w:val="single" w:sz="4" w:space="0" w:color="BCBEC0"/>
            </w:tcBorders>
            <w:shd w:val="clear" w:color="auto" w:fill="auto"/>
          </w:tcPr>
          <w:p w14:paraId="44596017"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Understand and use available technologies to maximise efficiencies and effectiveness</w:t>
            </w:r>
          </w:p>
        </w:tc>
        <w:tc>
          <w:tcPr>
            <w:tcW w:w="1606" w:type="dxa"/>
            <w:tcBorders>
              <w:bottom w:val="single" w:sz="4" w:space="0" w:color="BCBEC0"/>
            </w:tcBorders>
            <w:shd w:val="clear" w:color="auto" w:fill="auto"/>
          </w:tcPr>
          <w:p w14:paraId="33C821B5" w14:textId="77777777" w:rsidR="003727EE" w:rsidRPr="00CC78FD" w:rsidRDefault="003727EE" w:rsidP="00844ACF">
            <w:pPr>
              <w:pStyle w:val="TableBullet"/>
              <w:numPr>
                <w:ilvl w:val="0"/>
                <w:numId w:val="0"/>
              </w:numPr>
              <w:jc w:val="both"/>
            </w:pPr>
            <w:r w:rsidRPr="00CC78FD">
              <w:t>Intermediate</w:t>
            </w:r>
          </w:p>
        </w:tc>
      </w:tr>
      <w:tr w:rsidR="003727EE" w:rsidRPr="00CC78FD" w14:paraId="5CE8E381" w14:textId="77777777" w:rsidTr="00844ACF">
        <w:trPr>
          <w:cantSplit/>
          <w:jc w:val="center"/>
        </w:trPr>
        <w:tc>
          <w:tcPr>
            <w:tcW w:w="1406" w:type="dxa"/>
            <w:tcBorders>
              <w:bottom w:val="single" w:sz="4" w:space="0" w:color="BCBEC0"/>
            </w:tcBorders>
            <w:shd w:val="clear" w:color="auto" w:fill="auto"/>
          </w:tcPr>
          <w:p w14:paraId="6B6C4170" w14:textId="758ABE9A" w:rsidR="003727EE" w:rsidRPr="00CC78FD" w:rsidRDefault="00677E61" w:rsidP="00844ACF">
            <w:pPr>
              <w:spacing w:after="0" w:line="240" w:lineRule="auto"/>
              <w:rPr>
                <w:rFonts w:eastAsia="Calibri"/>
                <w:sz w:val="20"/>
                <w:szCs w:val="20"/>
                <w:lang w:val="en-AU"/>
              </w:rPr>
            </w:pPr>
            <w:r>
              <w:rPr>
                <w:rFonts w:eastAsia="Calibri"/>
                <w:noProof/>
                <w:sz w:val="20"/>
                <w:szCs w:val="20"/>
                <w:lang w:val="en-AU" w:eastAsia="en-AU"/>
              </w:rPr>
              <w:drawing>
                <wp:inline distT="0" distB="0" distL="0" distR="0" wp14:anchorId="754E5BEE" wp14:editId="0DD312F3">
                  <wp:extent cx="581025" cy="581025"/>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33174C31"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Inspire Direction and Purpose</w:t>
            </w:r>
          </w:p>
        </w:tc>
        <w:tc>
          <w:tcPr>
            <w:tcW w:w="4770" w:type="dxa"/>
            <w:tcBorders>
              <w:bottom w:val="single" w:sz="4" w:space="0" w:color="BCBEC0"/>
            </w:tcBorders>
            <w:shd w:val="clear" w:color="auto" w:fill="auto"/>
          </w:tcPr>
          <w:p w14:paraId="1FD2B9DC"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Communicate goals, priorities and vision, and recognise achievements</w:t>
            </w:r>
          </w:p>
        </w:tc>
        <w:tc>
          <w:tcPr>
            <w:tcW w:w="1606" w:type="dxa"/>
            <w:tcBorders>
              <w:bottom w:val="single" w:sz="4" w:space="0" w:color="BCBEC0"/>
            </w:tcBorders>
            <w:shd w:val="clear" w:color="auto" w:fill="auto"/>
          </w:tcPr>
          <w:p w14:paraId="72310064" w14:textId="77777777" w:rsidR="003727EE" w:rsidRPr="00CC78FD" w:rsidRDefault="003727EE" w:rsidP="00844ACF">
            <w:pPr>
              <w:pStyle w:val="TableBullet"/>
              <w:numPr>
                <w:ilvl w:val="0"/>
                <w:numId w:val="0"/>
              </w:numPr>
              <w:jc w:val="both"/>
            </w:pPr>
            <w:r w:rsidRPr="00CC78FD">
              <w:t>Adept</w:t>
            </w:r>
          </w:p>
        </w:tc>
      </w:tr>
      <w:tr w:rsidR="003727EE" w:rsidRPr="00CC78FD" w14:paraId="382A0B66" w14:textId="77777777" w:rsidTr="00844ACF">
        <w:trPr>
          <w:cantSplit/>
          <w:jc w:val="center"/>
        </w:trPr>
        <w:tc>
          <w:tcPr>
            <w:tcW w:w="1406" w:type="dxa"/>
            <w:tcBorders>
              <w:bottom w:val="single" w:sz="4" w:space="0" w:color="BCBEC0"/>
            </w:tcBorders>
            <w:shd w:val="clear" w:color="auto" w:fill="auto"/>
          </w:tcPr>
          <w:p w14:paraId="6D6CAA58" w14:textId="7C9ACC3C" w:rsidR="003727EE"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5A29B04C" wp14:editId="01AD9E33">
                  <wp:extent cx="581025" cy="581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7CCFF40A"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Optimise Business Outcomes</w:t>
            </w:r>
          </w:p>
        </w:tc>
        <w:tc>
          <w:tcPr>
            <w:tcW w:w="4770" w:type="dxa"/>
            <w:tcBorders>
              <w:bottom w:val="single" w:sz="4" w:space="0" w:color="BCBEC0"/>
            </w:tcBorders>
            <w:shd w:val="clear" w:color="auto" w:fill="auto"/>
          </w:tcPr>
          <w:p w14:paraId="50D2306C"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Manage people and resources effectively to achieve public value</w:t>
            </w:r>
          </w:p>
        </w:tc>
        <w:tc>
          <w:tcPr>
            <w:tcW w:w="1606" w:type="dxa"/>
            <w:tcBorders>
              <w:bottom w:val="single" w:sz="4" w:space="0" w:color="BCBEC0"/>
            </w:tcBorders>
            <w:shd w:val="clear" w:color="auto" w:fill="auto"/>
          </w:tcPr>
          <w:p w14:paraId="2A9884C4" w14:textId="77777777" w:rsidR="003727EE" w:rsidRPr="00CC78FD" w:rsidRDefault="003727EE" w:rsidP="00844ACF">
            <w:pPr>
              <w:pStyle w:val="TableBullet"/>
              <w:numPr>
                <w:ilvl w:val="0"/>
                <w:numId w:val="0"/>
              </w:numPr>
              <w:jc w:val="both"/>
            </w:pPr>
            <w:r w:rsidRPr="00CC78FD">
              <w:t>Intermediate</w:t>
            </w:r>
          </w:p>
        </w:tc>
      </w:tr>
      <w:tr w:rsidR="003727EE" w:rsidRPr="00CC78FD" w14:paraId="429D4311" w14:textId="77777777" w:rsidTr="00844ACF">
        <w:trPr>
          <w:cantSplit/>
          <w:jc w:val="center"/>
        </w:trPr>
        <w:tc>
          <w:tcPr>
            <w:tcW w:w="1406" w:type="dxa"/>
            <w:tcBorders>
              <w:bottom w:val="single" w:sz="4" w:space="0" w:color="BCBEC0"/>
            </w:tcBorders>
            <w:shd w:val="clear" w:color="auto" w:fill="auto"/>
          </w:tcPr>
          <w:p w14:paraId="40042ABC" w14:textId="534FA95D" w:rsidR="003727EE" w:rsidRPr="00CC78FD" w:rsidRDefault="00677E61" w:rsidP="00844ACF">
            <w:pPr>
              <w:spacing w:after="0" w:line="240" w:lineRule="auto"/>
              <w:rPr>
                <w:rFonts w:eastAsia="Calibri"/>
                <w:noProof/>
                <w:sz w:val="20"/>
                <w:szCs w:val="20"/>
                <w:lang w:val="en-AU" w:eastAsia="en-AU"/>
              </w:rPr>
            </w:pPr>
            <w:r>
              <w:rPr>
                <w:rFonts w:eastAsia="Calibri"/>
                <w:noProof/>
                <w:sz w:val="20"/>
                <w:szCs w:val="20"/>
                <w:lang w:val="en-AU" w:eastAsia="en-AU"/>
              </w:rPr>
              <w:drawing>
                <wp:inline distT="0" distB="0" distL="0" distR="0" wp14:anchorId="0C5D30C0" wp14:editId="2E642797">
                  <wp:extent cx="581025" cy="581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7AE85099"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Manage Reform and Change</w:t>
            </w:r>
          </w:p>
        </w:tc>
        <w:tc>
          <w:tcPr>
            <w:tcW w:w="4770" w:type="dxa"/>
            <w:tcBorders>
              <w:bottom w:val="single" w:sz="4" w:space="0" w:color="BCBEC0"/>
            </w:tcBorders>
            <w:shd w:val="clear" w:color="auto" w:fill="auto"/>
          </w:tcPr>
          <w:p w14:paraId="3D6909C6" w14:textId="77777777" w:rsidR="003727EE" w:rsidRPr="00CC78FD" w:rsidRDefault="003727EE" w:rsidP="00844ACF">
            <w:pPr>
              <w:spacing w:after="0" w:line="240" w:lineRule="auto"/>
              <w:rPr>
                <w:rFonts w:eastAsia="Calibri"/>
                <w:sz w:val="20"/>
                <w:szCs w:val="20"/>
                <w:lang w:val="en-AU"/>
              </w:rPr>
            </w:pPr>
            <w:r w:rsidRPr="00CC78FD">
              <w:rPr>
                <w:rFonts w:eastAsia="Calibri"/>
                <w:sz w:val="20"/>
                <w:szCs w:val="20"/>
                <w:lang w:val="en-AU"/>
              </w:rPr>
              <w:t>Support, promote and champion change, and assist others to engage with change</w:t>
            </w:r>
          </w:p>
        </w:tc>
        <w:tc>
          <w:tcPr>
            <w:tcW w:w="1606" w:type="dxa"/>
            <w:tcBorders>
              <w:bottom w:val="single" w:sz="4" w:space="0" w:color="BCBEC0"/>
            </w:tcBorders>
            <w:shd w:val="clear" w:color="auto" w:fill="auto"/>
          </w:tcPr>
          <w:p w14:paraId="01A8C514" w14:textId="77777777" w:rsidR="003727EE" w:rsidRPr="00CC78FD" w:rsidRDefault="003727EE" w:rsidP="00844ACF">
            <w:pPr>
              <w:pStyle w:val="TableBullet"/>
              <w:numPr>
                <w:ilvl w:val="0"/>
                <w:numId w:val="0"/>
              </w:numPr>
              <w:jc w:val="both"/>
            </w:pPr>
            <w:r w:rsidRPr="00CC78FD">
              <w:t>Intermediate</w:t>
            </w:r>
          </w:p>
        </w:tc>
      </w:tr>
    </w:tbl>
    <w:p w14:paraId="2622C2DD" w14:textId="77777777" w:rsidR="003727EE" w:rsidRPr="003927AE" w:rsidRDefault="003727EE" w:rsidP="003727EE"/>
    <w:p w14:paraId="1E9A5581" w14:textId="77777777" w:rsidR="007478A2" w:rsidRDefault="003727EE">
      <w:r w:rsidRPr="00C978B9" w:rsidDel="003727EE">
        <w:t xml:space="preserve"> </w:t>
      </w:r>
    </w:p>
    <w:sectPr w:rsidR="007478A2" w:rsidSect="009D747B">
      <w:footerReference w:type="default" r:id="rId22"/>
      <w:headerReference w:type="first" r:id="rId23"/>
      <w:footerReference w:type="first" r:id="rId24"/>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56131" w14:textId="77777777" w:rsidR="001A64B3" w:rsidRDefault="001A64B3" w:rsidP="00BB532F">
      <w:pPr>
        <w:spacing w:after="0" w:line="240" w:lineRule="auto"/>
      </w:pPr>
      <w:r>
        <w:separator/>
      </w:r>
    </w:p>
  </w:endnote>
  <w:endnote w:type="continuationSeparator" w:id="0">
    <w:p w14:paraId="3BEF1D10" w14:textId="77777777" w:rsidR="001A64B3" w:rsidRDefault="001A64B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5010"/>
      <w:gridCol w:w="556"/>
      <w:gridCol w:w="5234"/>
    </w:tblGrid>
    <w:tr w:rsidR="00C03AFD" w:rsidRPr="00CC78FD" w14:paraId="3281BC71" w14:textId="77777777" w:rsidTr="00CC78FD">
      <w:tc>
        <w:tcPr>
          <w:tcW w:w="2250" w:type="pct"/>
          <w:shd w:val="clear" w:color="auto" w:fill="auto"/>
          <w:vAlign w:val="center"/>
        </w:tcPr>
        <w:p w14:paraId="346D18E2" w14:textId="77777777" w:rsidR="00C03AFD" w:rsidRPr="00CC78FD" w:rsidRDefault="00C03AFD" w:rsidP="00395783">
          <w:pPr>
            <w:pStyle w:val="Footer"/>
          </w:pPr>
          <w:r w:rsidRPr="00CC78FD">
            <w:rPr>
              <w:color w:val="928B81"/>
              <w:sz w:val="18"/>
            </w:rPr>
            <w:t xml:space="preserve">Role </w:t>
          </w:r>
          <w:r w:rsidR="001147E1" w:rsidRPr="00CC78FD">
            <w:rPr>
              <w:color w:val="928B81"/>
              <w:sz w:val="18"/>
            </w:rPr>
            <w:t>Description</w:t>
          </w:r>
          <w:r w:rsidR="001147E1" w:rsidRPr="00CC78FD">
            <w:rPr>
              <w:color w:val="595959"/>
              <w:sz w:val="18"/>
            </w:rPr>
            <w:t xml:space="preserve"> Manager</w:t>
          </w:r>
          <w:r w:rsidR="001F1F41">
            <w:rPr>
              <w:color w:val="595959"/>
              <w:sz w:val="18"/>
            </w:rPr>
            <w:t xml:space="preserve"> Construction Services</w:t>
          </w:r>
          <w:r w:rsidR="00765A6A" w:rsidRPr="00CC78FD">
            <w:rPr>
              <w:rFonts w:cs="Arial"/>
              <w:color w:val="000000"/>
              <w:sz w:val="18"/>
              <w:szCs w:val="18"/>
              <w:lang w:eastAsia="en-AU"/>
            </w:rPr>
            <w:t xml:space="preserve"> </w:t>
          </w:r>
          <w:r w:rsidR="00EA0BFE">
            <w:rPr>
              <w:rFonts w:cs="Arial"/>
              <w:color w:val="000000"/>
              <w:sz w:val="18"/>
              <w:szCs w:val="18"/>
              <w:lang w:eastAsia="en-AU"/>
            </w:rPr>
            <w:t>Infrastructure</w:t>
          </w:r>
          <w:r w:rsidR="00170C82">
            <w:rPr>
              <w:rFonts w:cs="Arial"/>
              <w:color w:val="000000"/>
              <w:sz w:val="18"/>
              <w:szCs w:val="18"/>
              <w:lang w:eastAsia="en-AU"/>
            </w:rPr>
            <w:t xml:space="preserve"> Projects</w:t>
          </w:r>
          <w:r w:rsidR="00AB1BC2" w:rsidRPr="00CC78FD">
            <w:rPr>
              <w:rFonts w:cs="Arial"/>
              <w:color w:val="000000"/>
              <w:sz w:val="18"/>
              <w:szCs w:val="18"/>
              <w:lang w:eastAsia="en-AU"/>
            </w:rPr>
            <w:t xml:space="preserve"> </w:t>
          </w:r>
        </w:p>
      </w:tc>
      <w:tc>
        <w:tcPr>
          <w:tcW w:w="250" w:type="pct"/>
          <w:shd w:val="clear" w:color="auto" w:fill="auto"/>
          <w:vAlign w:val="center"/>
        </w:tcPr>
        <w:p w14:paraId="5860544A" w14:textId="77777777" w:rsidR="00C03AFD" w:rsidRPr="00CC78FD" w:rsidRDefault="00C03AFD" w:rsidP="00CC78FD">
          <w:pPr>
            <w:pStyle w:val="Footer"/>
            <w:jc w:val="center"/>
            <w:rPr>
              <w:color w:val="928B81"/>
            </w:rPr>
          </w:pPr>
          <w:r w:rsidRPr="00CC78FD">
            <w:rPr>
              <w:noProof/>
              <w:color w:val="928B81"/>
              <w:sz w:val="18"/>
              <w:lang w:eastAsia="en-AU"/>
            </w:rPr>
            <w:fldChar w:fldCharType="begin"/>
          </w:r>
          <w:r w:rsidRPr="00CC78FD">
            <w:rPr>
              <w:noProof/>
              <w:color w:val="928B81"/>
              <w:sz w:val="18"/>
              <w:lang w:eastAsia="en-AU"/>
            </w:rPr>
            <w:instrText xml:space="preserve"> PAGE  \* Arabic </w:instrText>
          </w:r>
          <w:r w:rsidRPr="00CC78FD">
            <w:rPr>
              <w:noProof/>
              <w:color w:val="928B81"/>
              <w:sz w:val="18"/>
              <w:lang w:eastAsia="en-AU"/>
            </w:rPr>
            <w:fldChar w:fldCharType="separate"/>
          </w:r>
          <w:r w:rsidR="009D4929">
            <w:rPr>
              <w:noProof/>
              <w:color w:val="928B81"/>
              <w:sz w:val="18"/>
              <w:lang w:eastAsia="en-AU"/>
            </w:rPr>
            <w:t>4</w:t>
          </w:r>
          <w:r w:rsidRPr="00CC78FD">
            <w:rPr>
              <w:noProof/>
              <w:color w:val="928B81"/>
              <w:sz w:val="18"/>
              <w:lang w:eastAsia="en-AU"/>
            </w:rPr>
            <w:fldChar w:fldCharType="end"/>
          </w:r>
        </w:p>
      </w:tc>
      <w:tc>
        <w:tcPr>
          <w:tcW w:w="2350" w:type="pct"/>
          <w:shd w:val="clear" w:color="auto" w:fill="auto"/>
        </w:tcPr>
        <w:p w14:paraId="028E91F3" w14:textId="50CB2BBF" w:rsidR="00C03AFD" w:rsidRPr="00CC78FD" w:rsidRDefault="00677E61" w:rsidP="00CC78FD">
          <w:pPr>
            <w:pStyle w:val="Footer"/>
            <w:jc w:val="right"/>
          </w:pPr>
          <w:r>
            <w:rPr>
              <w:noProof/>
              <w:lang w:val="en-AU" w:eastAsia="en-AU"/>
            </w:rPr>
            <w:drawing>
              <wp:inline distT="0" distB="0" distL="0" distR="0" wp14:anchorId="75854534" wp14:editId="2FD9C79A">
                <wp:extent cx="428625" cy="485775"/>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p>
      </w:tc>
    </w:tr>
  </w:tbl>
  <w:p w14:paraId="3627187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RPr="00CC78FD" w14:paraId="642AFA4A" w14:textId="77777777" w:rsidTr="0047547E">
      <w:trPr>
        <w:trHeight w:val="811"/>
      </w:trPr>
      <w:tc>
        <w:tcPr>
          <w:tcW w:w="10005" w:type="dxa"/>
          <w:vAlign w:val="bottom"/>
        </w:tcPr>
        <w:p w14:paraId="715B94DF" w14:textId="77777777" w:rsidR="00BB532F" w:rsidRPr="00CC78FD" w:rsidRDefault="00BB532F" w:rsidP="00CC78FD">
          <w:pPr>
            <w:pStyle w:val="Footer"/>
            <w:tabs>
              <w:tab w:val="clear" w:pos="4680"/>
              <w:tab w:val="clear" w:pos="9360"/>
              <w:tab w:val="center" w:pos="5002"/>
            </w:tabs>
          </w:pPr>
          <w:r w:rsidRPr="00CC78FD">
            <w:rPr>
              <w:color w:val="000000"/>
            </w:rPr>
            <w:tab/>
          </w:r>
          <w:r w:rsidR="00CC78FD" w:rsidRPr="009A030D">
            <w:rPr>
              <w:noProof/>
              <w:lang w:eastAsia="en-AU"/>
            </w:rPr>
            <w:tab/>
          </w:r>
          <w:r w:rsidRPr="00CC78FD">
            <w:rPr>
              <w:noProof/>
              <w:lang w:eastAsia="en-AU"/>
            </w:rPr>
            <w:fldChar w:fldCharType="begin"/>
          </w:r>
          <w:r w:rsidRPr="00CC78FD">
            <w:rPr>
              <w:noProof/>
              <w:lang w:eastAsia="en-AU"/>
            </w:rPr>
            <w:instrText xml:space="preserve"> PAGE  \* Arabic </w:instrText>
          </w:r>
          <w:r w:rsidRPr="00CC78FD">
            <w:rPr>
              <w:noProof/>
              <w:lang w:eastAsia="en-AU"/>
            </w:rPr>
            <w:fldChar w:fldCharType="separate"/>
          </w:r>
          <w:r w:rsidR="009D4929">
            <w:rPr>
              <w:noProof/>
              <w:lang w:eastAsia="en-AU"/>
            </w:rPr>
            <w:t>1</w:t>
          </w:r>
          <w:r w:rsidRPr="00CC78FD">
            <w:rPr>
              <w:noProof/>
              <w:lang w:eastAsia="en-AU"/>
            </w:rPr>
            <w:fldChar w:fldCharType="end"/>
          </w:r>
        </w:p>
      </w:tc>
      <w:tc>
        <w:tcPr>
          <w:tcW w:w="875" w:type="dxa"/>
        </w:tcPr>
        <w:p w14:paraId="616B15AA" w14:textId="30114997" w:rsidR="00BB532F" w:rsidRPr="00CC78FD" w:rsidRDefault="00677E61" w:rsidP="00F067EA">
          <w:pPr>
            <w:pStyle w:val="Footer"/>
            <w:jc w:val="right"/>
          </w:pPr>
          <w:r>
            <w:rPr>
              <w:noProof/>
              <w:lang w:val="en-AU" w:eastAsia="en-AU"/>
            </w:rPr>
            <w:drawing>
              <wp:inline distT="0" distB="0" distL="0" distR="0" wp14:anchorId="43E64F84" wp14:editId="191AB152">
                <wp:extent cx="428625" cy="485775"/>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p>
      </w:tc>
    </w:tr>
  </w:tbl>
  <w:p w14:paraId="5FD0D96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03BB" w14:textId="77777777" w:rsidR="001A64B3" w:rsidRDefault="001A64B3" w:rsidP="00BB532F">
      <w:pPr>
        <w:spacing w:after="0" w:line="240" w:lineRule="auto"/>
      </w:pPr>
      <w:r>
        <w:separator/>
      </w:r>
    </w:p>
  </w:footnote>
  <w:footnote w:type="continuationSeparator" w:id="0">
    <w:p w14:paraId="425DF068" w14:textId="77777777" w:rsidR="001A64B3" w:rsidRDefault="001A64B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3" w:type="dxa"/>
      <w:tblLook w:val="04A0" w:firstRow="1" w:lastRow="0" w:firstColumn="1" w:lastColumn="0" w:noHBand="0" w:noVBand="1"/>
    </w:tblPr>
    <w:tblGrid>
      <w:gridCol w:w="7038"/>
      <w:gridCol w:w="3665"/>
    </w:tblGrid>
    <w:tr w:rsidR="007E2FB7" w:rsidRPr="00CC78FD" w14:paraId="4FEB6DBE" w14:textId="77777777" w:rsidTr="00CC78FD">
      <w:trPr>
        <w:trHeight w:val="1337"/>
      </w:trPr>
      <w:tc>
        <w:tcPr>
          <w:tcW w:w="7038" w:type="dxa"/>
          <w:shd w:val="clear" w:color="auto" w:fill="auto"/>
        </w:tcPr>
        <w:p w14:paraId="6FB29AF0" w14:textId="77777777" w:rsidR="007E2FB7" w:rsidRPr="00CC78FD" w:rsidRDefault="007E2FB7" w:rsidP="00CC78FD">
          <w:pPr>
            <w:pStyle w:val="TitleSub"/>
            <w:spacing w:after="0"/>
            <w:rPr>
              <w:rFonts w:ascii="Arial" w:hAnsi="Arial" w:cs="Arial"/>
            </w:rPr>
          </w:pPr>
          <w:r w:rsidRPr="00CC78FD">
            <w:rPr>
              <w:rFonts w:ascii="Arial" w:hAnsi="Arial" w:cs="Arial"/>
            </w:rPr>
            <w:t xml:space="preserve">Role Description </w:t>
          </w:r>
        </w:p>
        <w:p w14:paraId="31EECA39" w14:textId="77777777" w:rsidR="007E2FB7" w:rsidRPr="00CC78FD" w:rsidRDefault="00765A6A" w:rsidP="00CC78FD">
          <w:pPr>
            <w:pStyle w:val="TitleSub"/>
            <w:spacing w:after="0"/>
            <w:rPr>
              <w:rFonts w:ascii="Arial" w:hAnsi="Arial" w:cs="Arial"/>
              <w:b/>
              <w:lang w:val="en-AU"/>
            </w:rPr>
          </w:pPr>
          <w:r w:rsidRPr="00CC78FD">
            <w:rPr>
              <w:rFonts w:ascii="Arial" w:hAnsi="Arial" w:cs="Arial"/>
              <w:b/>
            </w:rPr>
            <w:t xml:space="preserve">Manager </w:t>
          </w:r>
          <w:r w:rsidR="00854133">
            <w:rPr>
              <w:rFonts w:ascii="Arial" w:hAnsi="Arial" w:cs="Arial"/>
              <w:b/>
            </w:rPr>
            <w:t xml:space="preserve">Construction Services </w:t>
          </w:r>
          <w:r w:rsidR="00484465">
            <w:rPr>
              <w:rFonts w:ascii="Arial" w:hAnsi="Arial" w:cs="Arial"/>
              <w:b/>
            </w:rPr>
            <w:t xml:space="preserve">Infrastructure </w:t>
          </w:r>
          <w:r w:rsidR="00126D52">
            <w:rPr>
              <w:rFonts w:ascii="Arial" w:hAnsi="Arial" w:cs="Arial"/>
              <w:b/>
            </w:rPr>
            <w:t>P</w:t>
          </w:r>
          <w:r w:rsidR="00795E95" w:rsidRPr="00CC78FD">
            <w:rPr>
              <w:rFonts w:ascii="Arial" w:hAnsi="Arial" w:cs="Arial"/>
              <w:b/>
            </w:rPr>
            <w:t>roject</w:t>
          </w:r>
          <w:r w:rsidR="00BA035B">
            <w:rPr>
              <w:rFonts w:ascii="Arial" w:hAnsi="Arial" w:cs="Arial"/>
              <w:b/>
            </w:rPr>
            <w:t>s</w:t>
          </w:r>
        </w:p>
      </w:tc>
      <w:tc>
        <w:tcPr>
          <w:tcW w:w="3665" w:type="dxa"/>
          <w:shd w:val="clear" w:color="auto" w:fill="auto"/>
        </w:tcPr>
        <w:p w14:paraId="30D0A8E0" w14:textId="42874BCD" w:rsidR="000477E1" w:rsidRPr="00CC78FD" w:rsidRDefault="00677E61" w:rsidP="00CC78FD">
          <w:pPr>
            <w:spacing w:after="0" w:line="240" w:lineRule="auto"/>
            <w:jc w:val="right"/>
          </w:pPr>
          <w:r>
            <w:rPr>
              <w:noProof/>
            </w:rPr>
            <w:drawing>
              <wp:inline distT="0" distB="0" distL="0" distR="0" wp14:anchorId="7734E947" wp14:editId="622BB9E4">
                <wp:extent cx="742950" cy="790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inline>
            </w:drawing>
          </w:r>
        </w:p>
      </w:tc>
    </w:tr>
  </w:tbl>
  <w:p w14:paraId="15DE0019"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B87608"/>
    <w:multiLevelType w:val="hybridMultilevel"/>
    <w:tmpl w:val="A3FA5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E2D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CDF545B"/>
    <w:multiLevelType w:val="hybridMultilevel"/>
    <w:tmpl w:val="C2A0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B4462E"/>
    <w:multiLevelType w:val="hybridMultilevel"/>
    <w:tmpl w:val="1464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07192"/>
    <w:multiLevelType w:val="hybridMultilevel"/>
    <w:tmpl w:val="9740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626ED"/>
    <w:multiLevelType w:val="hybridMultilevel"/>
    <w:tmpl w:val="149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9F3C2D"/>
    <w:multiLevelType w:val="hybridMultilevel"/>
    <w:tmpl w:val="9A5C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905CE3"/>
    <w:multiLevelType w:val="hybridMultilevel"/>
    <w:tmpl w:val="019E49EA"/>
    <w:lvl w:ilvl="0" w:tplc="BFFA95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83210"/>
    <w:multiLevelType w:val="hybridMultilevel"/>
    <w:tmpl w:val="8A8A5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D01A4"/>
    <w:multiLevelType w:val="hybridMultilevel"/>
    <w:tmpl w:val="FCD4FE92"/>
    <w:lvl w:ilvl="0" w:tplc="BFFA95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1"/>
  </w:num>
  <w:num w:numId="5">
    <w:abstractNumId w:val="13"/>
  </w:num>
  <w:num w:numId="6">
    <w:abstractNumId w:val="6"/>
  </w:num>
  <w:num w:numId="7">
    <w:abstractNumId w:val="5"/>
  </w:num>
  <w:num w:numId="8">
    <w:abstractNumId w:val="1"/>
  </w:num>
  <w:num w:numId="9">
    <w:abstractNumId w:val="2"/>
  </w:num>
  <w:num w:numId="10">
    <w:abstractNumId w:val="14"/>
  </w:num>
  <w:num w:numId="11">
    <w:abstractNumId w:val="7"/>
  </w:num>
  <w:num w:numId="12">
    <w:abstractNumId w:val="12"/>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08D2"/>
    <w:rsid w:val="00005219"/>
    <w:rsid w:val="0001016C"/>
    <w:rsid w:val="00016F4D"/>
    <w:rsid w:val="0001706E"/>
    <w:rsid w:val="00020023"/>
    <w:rsid w:val="00021BAF"/>
    <w:rsid w:val="00022223"/>
    <w:rsid w:val="00026543"/>
    <w:rsid w:val="00027E23"/>
    <w:rsid w:val="00030565"/>
    <w:rsid w:val="00030D56"/>
    <w:rsid w:val="0003263C"/>
    <w:rsid w:val="00034673"/>
    <w:rsid w:val="00035639"/>
    <w:rsid w:val="0003564E"/>
    <w:rsid w:val="00037FD5"/>
    <w:rsid w:val="000477E1"/>
    <w:rsid w:val="000567EF"/>
    <w:rsid w:val="00057E5C"/>
    <w:rsid w:val="00060B58"/>
    <w:rsid w:val="000645C8"/>
    <w:rsid w:val="00067161"/>
    <w:rsid w:val="000A1B61"/>
    <w:rsid w:val="000A2621"/>
    <w:rsid w:val="000B6AE7"/>
    <w:rsid w:val="000C3CC8"/>
    <w:rsid w:val="000C7DB2"/>
    <w:rsid w:val="000D12B3"/>
    <w:rsid w:val="000D799A"/>
    <w:rsid w:val="000F09E8"/>
    <w:rsid w:val="000F231F"/>
    <w:rsid w:val="000F3EED"/>
    <w:rsid w:val="00104EC7"/>
    <w:rsid w:val="00107902"/>
    <w:rsid w:val="001147E1"/>
    <w:rsid w:val="001155C3"/>
    <w:rsid w:val="00126D52"/>
    <w:rsid w:val="0013000E"/>
    <w:rsid w:val="001336E8"/>
    <w:rsid w:val="001338B5"/>
    <w:rsid w:val="0013413E"/>
    <w:rsid w:val="00134F5E"/>
    <w:rsid w:val="00153F10"/>
    <w:rsid w:val="00165754"/>
    <w:rsid w:val="001671DC"/>
    <w:rsid w:val="00170C82"/>
    <w:rsid w:val="0017285C"/>
    <w:rsid w:val="00172A97"/>
    <w:rsid w:val="00175B7D"/>
    <w:rsid w:val="0018091E"/>
    <w:rsid w:val="0018135B"/>
    <w:rsid w:val="001815E8"/>
    <w:rsid w:val="00185ABC"/>
    <w:rsid w:val="00194A32"/>
    <w:rsid w:val="001A00F1"/>
    <w:rsid w:val="001A1AA1"/>
    <w:rsid w:val="001A1EC8"/>
    <w:rsid w:val="001A28DE"/>
    <w:rsid w:val="001A4F0B"/>
    <w:rsid w:val="001A64B3"/>
    <w:rsid w:val="001A7C7B"/>
    <w:rsid w:val="001B1F0F"/>
    <w:rsid w:val="001B5DFD"/>
    <w:rsid w:val="001B75A6"/>
    <w:rsid w:val="001C0E5F"/>
    <w:rsid w:val="001C2248"/>
    <w:rsid w:val="001C4F33"/>
    <w:rsid w:val="001C5166"/>
    <w:rsid w:val="001C5A46"/>
    <w:rsid w:val="001D097C"/>
    <w:rsid w:val="001D2A69"/>
    <w:rsid w:val="001E2792"/>
    <w:rsid w:val="001E27DB"/>
    <w:rsid w:val="001E31F1"/>
    <w:rsid w:val="001E49B2"/>
    <w:rsid w:val="001F1F41"/>
    <w:rsid w:val="001F2181"/>
    <w:rsid w:val="001F2503"/>
    <w:rsid w:val="00201E8B"/>
    <w:rsid w:val="00205A8A"/>
    <w:rsid w:val="00211D9E"/>
    <w:rsid w:val="00211F68"/>
    <w:rsid w:val="00234301"/>
    <w:rsid w:val="00237421"/>
    <w:rsid w:val="00240A8E"/>
    <w:rsid w:val="00244ADC"/>
    <w:rsid w:val="002478AC"/>
    <w:rsid w:val="00261F35"/>
    <w:rsid w:val="00263ACB"/>
    <w:rsid w:val="00264784"/>
    <w:rsid w:val="002726CE"/>
    <w:rsid w:val="00273BE3"/>
    <w:rsid w:val="0028314F"/>
    <w:rsid w:val="002869A5"/>
    <w:rsid w:val="00287C54"/>
    <w:rsid w:val="002944B3"/>
    <w:rsid w:val="0029778C"/>
    <w:rsid w:val="002A19A8"/>
    <w:rsid w:val="002A648F"/>
    <w:rsid w:val="002B0B83"/>
    <w:rsid w:val="002B1F76"/>
    <w:rsid w:val="002C2823"/>
    <w:rsid w:val="002D36BB"/>
    <w:rsid w:val="002D409C"/>
    <w:rsid w:val="002E1A2C"/>
    <w:rsid w:val="002F4AB1"/>
    <w:rsid w:val="00301747"/>
    <w:rsid w:val="00325E9D"/>
    <w:rsid w:val="00327F5C"/>
    <w:rsid w:val="00340ADC"/>
    <w:rsid w:val="00343491"/>
    <w:rsid w:val="00345199"/>
    <w:rsid w:val="00346D51"/>
    <w:rsid w:val="00351826"/>
    <w:rsid w:val="00365D65"/>
    <w:rsid w:val="00366F48"/>
    <w:rsid w:val="003727EE"/>
    <w:rsid w:val="00372A99"/>
    <w:rsid w:val="00373737"/>
    <w:rsid w:val="00375289"/>
    <w:rsid w:val="00377118"/>
    <w:rsid w:val="0039395B"/>
    <w:rsid w:val="00395783"/>
    <w:rsid w:val="00397E97"/>
    <w:rsid w:val="003A2AFA"/>
    <w:rsid w:val="003A3538"/>
    <w:rsid w:val="003B0F42"/>
    <w:rsid w:val="003B21A5"/>
    <w:rsid w:val="003B403A"/>
    <w:rsid w:val="003B72AD"/>
    <w:rsid w:val="003C00FD"/>
    <w:rsid w:val="003C031F"/>
    <w:rsid w:val="003C5EB3"/>
    <w:rsid w:val="003D5227"/>
    <w:rsid w:val="003E2663"/>
    <w:rsid w:val="003F65DC"/>
    <w:rsid w:val="004003F0"/>
    <w:rsid w:val="004033B5"/>
    <w:rsid w:val="00411F3E"/>
    <w:rsid w:val="0041525E"/>
    <w:rsid w:val="004203B4"/>
    <w:rsid w:val="004225A9"/>
    <w:rsid w:val="004360E8"/>
    <w:rsid w:val="00436621"/>
    <w:rsid w:val="00440B00"/>
    <w:rsid w:val="00442732"/>
    <w:rsid w:val="00444061"/>
    <w:rsid w:val="004462CF"/>
    <w:rsid w:val="00466287"/>
    <w:rsid w:val="004664DB"/>
    <w:rsid w:val="0047547E"/>
    <w:rsid w:val="00484465"/>
    <w:rsid w:val="004873AA"/>
    <w:rsid w:val="00492AA6"/>
    <w:rsid w:val="004A0703"/>
    <w:rsid w:val="004A43CB"/>
    <w:rsid w:val="004B31C9"/>
    <w:rsid w:val="004C0FC2"/>
    <w:rsid w:val="004C45E2"/>
    <w:rsid w:val="004D0C22"/>
    <w:rsid w:val="004D27C8"/>
    <w:rsid w:val="004E44A5"/>
    <w:rsid w:val="004E474E"/>
    <w:rsid w:val="004E5742"/>
    <w:rsid w:val="004E7301"/>
    <w:rsid w:val="004E7F32"/>
    <w:rsid w:val="00502DBF"/>
    <w:rsid w:val="005164F8"/>
    <w:rsid w:val="00521D19"/>
    <w:rsid w:val="00523CFF"/>
    <w:rsid w:val="00527FCF"/>
    <w:rsid w:val="005307BA"/>
    <w:rsid w:val="00531F14"/>
    <w:rsid w:val="00545AC6"/>
    <w:rsid w:val="00551038"/>
    <w:rsid w:val="0056092C"/>
    <w:rsid w:val="00560C14"/>
    <w:rsid w:val="005816D7"/>
    <w:rsid w:val="0059035B"/>
    <w:rsid w:val="00591EBE"/>
    <w:rsid w:val="005B10E1"/>
    <w:rsid w:val="005B5053"/>
    <w:rsid w:val="005C50B8"/>
    <w:rsid w:val="005C5E2D"/>
    <w:rsid w:val="005C7AF5"/>
    <w:rsid w:val="005D71EA"/>
    <w:rsid w:val="005E6C59"/>
    <w:rsid w:val="005E75FC"/>
    <w:rsid w:val="005F290F"/>
    <w:rsid w:val="005F5FD1"/>
    <w:rsid w:val="005F7EE8"/>
    <w:rsid w:val="006022B4"/>
    <w:rsid w:val="00603D53"/>
    <w:rsid w:val="00605678"/>
    <w:rsid w:val="00612673"/>
    <w:rsid w:val="00612AFA"/>
    <w:rsid w:val="00614552"/>
    <w:rsid w:val="00621D45"/>
    <w:rsid w:val="0062312B"/>
    <w:rsid w:val="00623950"/>
    <w:rsid w:val="00626492"/>
    <w:rsid w:val="006335D4"/>
    <w:rsid w:val="0063544E"/>
    <w:rsid w:val="006538BF"/>
    <w:rsid w:val="00657866"/>
    <w:rsid w:val="0067203E"/>
    <w:rsid w:val="00674D4C"/>
    <w:rsid w:val="00677E61"/>
    <w:rsid w:val="00683870"/>
    <w:rsid w:val="0069208D"/>
    <w:rsid w:val="006A2280"/>
    <w:rsid w:val="006A2351"/>
    <w:rsid w:val="006A52C0"/>
    <w:rsid w:val="006A6D36"/>
    <w:rsid w:val="006B2B4F"/>
    <w:rsid w:val="006B723B"/>
    <w:rsid w:val="006C2473"/>
    <w:rsid w:val="006C32CF"/>
    <w:rsid w:val="006C4218"/>
    <w:rsid w:val="006C612D"/>
    <w:rsid w:val="006D07A1"/>
    <w:rsid w:val="006D1FBC"/>
    <w:rsid w:val="006D5E92"/>
    <w:rsid w:val="006D730A"/>
    <w:rsid w:val="006E28E7"/>
    <w:rsid w:val="006F6652"/>
    <w:rsid w:val="006F7124"/>
    <w:rsid w:val="00701F8B"/>
    <w:rsid w:val="007041EA"/>
    <w:rsid w:val="007249EC"/>
    <w:rsid w:val="00730097"/>
    <w:rsid w:val="0073079A"/>
    <w:rsid w:val="00735B28"/>
    <w:rsid w:val="00735E89"/>
    <w:rsid w:val="00742966"/>
    <w:rsid w:val="007478A2"/>
    <w:rsid w:val="00753EEE"/>
    <w:rsid w:val="00754F40"/>
    <w:rsid w:val="00756C5C"/>
    <w:rsid w:val="00765A6A"/>
    <w:rsid w:val="007668C0"/>
    <w:rsid w:val="00766CE0"/>
    <w:rsid w:val="00767553"/>
    <w:rsid w:val="00771F17"/>
    <w:rsid w:val="007736B4"/>
    <w:rsid w:val="00773975"/>
    <w:rsid w:val="00775131"/>
    <w:rsid w:val="00776DCB"/>
    <w:rsid w:val="00780299"/>
    <w:rsid w:val="007862DE"/>
    <w:rsid w:val="00786A0F"/>
    <w:rsid w:val="00792A3E"/>
    <w:rsid w:val="00794CC1"/>
    <w:rsid w:val="00794E0E"/>
    <w:rsid w:val="00795E95"/>
    <w:rsid w:val="007A0062"/>
    <w:rsid w:val="007A26FB"/>
    <w:rsid w:val="007B5FC6"/>
    <w:rsid w:val="007B7C1F"/>
    <w:rsid w:val="007C21C8"/>
    <w:rsid w:val="007C3507"/>
    <w:rsid w:val="007D0E2E"/>
    <w:rsid w:val="007D7CF2"/>
    <w:rsid w:val="007E2FB7"/>
    <w:rsid w:val="00802E1F"/>
    <w:rsid w:val="00805561"/>
    <w:rsid w:val="00806FE1"/>
    <w:rsid w:val="00807ED1"/>
    <w:rsid w:val="00812A40"/>
    <w:rsid w:val="00813213"/>
    <w:rsid w:val="00815C6A"/>
    <w:rsid w:val="008173D5"/>
    <w:rsid w:val="00817B11"/>
    <w:rsid w:val="008203EE"/>
    <w:rsid w:val="008267A0"/>
    <w:rsid w:val="0083547C"/>
    <w:rsid w:val="00844ACF"/>
    <w:rsid w:val="008476E6"/>
    <w:rsid w:val="00854133"/>
    <w:rsid w:val="0085706D"/>
    <w:rsid w:val="00860904"/>
    <w:rsid w:val="00865BFA"/>
    <w:rsid w:val="00883A6F"/>
    <w:rsid w:val="008A0EBB"/>
    <w:rsid w:val="008A13AC"/>
    <w:rsid w:val="008B74C1"/>
    <w:rsid w:val="008C0B4D"/>
    <w:rsid w:val="008C37C8"/>
    <w:rsid w:val="008C59E6"/>
    <w:rsid w:val="008D7766"/>
    <w:rsid w:val="008E08E3"/>
    <w:rsid w:val="008E48E3"/>
    <w:rsid w:val="008F0FB7"/>
    <w:rsid w:val="008F2B12"/>
    <w:rsid w:val="008F69AB"/>
    <w:rsid w:val="00902EC0"/>
    <w:rsid w:val="009036D8"/>
    <w:rsid w:val="009077E2"/>
    <w:rsid w:val="00907E02"/>
    <w:rsid w:val="00910F45"/>
    <w:rsid w:val="00911725"/>
    <w:rsid w:val="0091545C"/>
    <w:rsid w:val="00920304"/>
    <w:rsid w:val="00920415"/>
    <w:rsid w:val="00921B0A"/>
    <w:rsid w:val="00931BA0"/>
    <w:rsid w:val="009351E9"/>
    <w:rsid w:val="00940763"/>
    <w:rsid w:val="00940C04"/>
    <w:rsid w:val="009422F7"/>
    <w:rsid w:val="009536F0"/>
    <w:rsid w:val="00954A38"/>
    <w:rsid w:val="00956538"/>
    <w:rsid w:val="00957666"/>
    <w:rsid w:val="00964A6C"/>
    <w:rsid w:val="0096540D"/>
    <w:rsid w:val="009654E6"/>
    <w:rsid w:val="009662DF"/>
    <w:rsid w:val="00966C93"/>
    <w:rsid w:val="00967E7C"/>
    <w:rsid w:val="00970179"/>
    <w:rsid w:val="00972A42"/>
    <w:rsid w:val="00977E40"/>
    <w:rsid w:val="00980031"/>
    <w:rsid w:val="00981594"/>
    <w:rsid w:val="00985984"/>
    <w:rsid w:val="00994DCE"/>
    <w:rsid w:val="0099587E"/>
    <w:rsid w:val="009979FA"/>
    <w:rsid w:val="009A030D"/>
    <w:rsid w:val="009B1252"/>
    <w:rsid w:val="009B3103"/>
    <w:rsid w:val="009B3EB5"/>
    <w:rsid w:val="009C12FA"/>
    <w:rsid w:val="009D4712"/>
    <w:rsid w:val="009D4929"/>
    <w:rsid w:val="009D60B2"/>
    <w:rsid w:val="009D72FE"/>
    <w:rsid w:val="009D747B"/>
    <w:rsid w:val="009E6674"/>
    <w:rsid w:val="009F4755"/>
    <w:rsid w:val="00A00005"/>
    <w:rsid w:val="00A00C30"/>
    <w:rsid w:val="00A02AEF"/>
    <w:rsid w:val="00A050BF"/>
    <w:rsid w:val="00A14A03"/>
    <w:rsid w:val="00A2122C"/>
    <w:rsid w:val="00A2325C"/>
    <w:rsid w:val="00A35759"/>
    <w:rsid w:val="00A41E4E"/>
    <w:rsid w:val="00A4412E"/>
    <w:rsid w:val="00A47353"/>
    <w:rsid w:val="00A609C2"/>
    <w:rsid w:val="00A67426"/>
    <w:rsid w:val="00A73C38"/>
    <w:rsid w:val="00A77B0C"/>
    <w:rsid w:val="00A83932"/>
    <w:rsid w:val="00A85305"/>
    <w:rsid w:val="00A8686E"/>
    <w:rsid w:val="00A8732A"/>
    <w:rsid w:val="00A87E54"/>
    <w:rsid w:val="00A93867"/>
    <w:rsid w:val="00A94419"/>
    <w:rsid w:val="00A95580"/>
    <w:rsid w:val="00A95F61"/>
    <w:rsid w:val="00A970A2"/>
    <w:rsid w:val="00AB120A"/>
    <w:rsid w:val="00AB1BC2"/>
    <w:rsid w:val="00AB50E4"/>
    <w:rsid w:val="00AB5B3D"/>
    <w:rsid w:val="00AC0137"/>
    <w:rsid w:val="00AC0734"/>
    <w:rsid w:val="00AC1AF9"/>
    <w:rsid w:val="00AC5BCB"/>
    <w:rsid w:val="00AC742D"/>
    <w:rsid w:val="00AC747F"/>
    <w:rsid w:val="00AC7DC9"/>
    <w:rsid w:val="00AD56AB"/>
    <w:rsid w:val="00AE14D7"/>
    <w:rsid w:val="00AE3228"/>
    <w:rsid w:val="00AF01AC"/>
    <w:rsid w:val="00AF3398"/>
    <w:rsid w:val="00AF7D0C"/>
    <w:rsid w:val="00B032E5"/>
    <w:rsid w:val="00B0574B"/>
    <w:rsid w:val="00B13E5B"/>
    <w:rsid w:val="00B145EF"/>
    <w:rsid w:val="00B2037F"/>
    <w:rsid w:val="00B32691"/>
    <w:rsid w:val="00B407F6"/>
    <w:rsid w:val="00B45928"/>
    <w:rsid w:val="00B635E3"/>
    <w:rsid w:val="00B72B4F"/>
    <w:rsid w:val="00B835C0"/>
    <w:rsid w:val="00B874B8"/>
    <w:rsid w:val="00B876AF"/>
    <w:rsid w:val="00BA035B"/>
    <w:rsid w:val="00BA759E"/>
    <w:rsid w:val="00BA7CA4"/>
    <w:rsid w:val="00BB5167"/>
    <w:rsid w:val="00BB532F"/>
    <w:rsid w:val="00BC162D"/>
    <w:rsid w:val="00BC2FE4"/>
    <w:rsid w:val="00BD3F7E"/>
    <w:rsid w:val="00BD4DDA"/>
    <w:rsid w:val="00BE4EAE"/>
    <w:rsid w:val="00C03AFD"/>
    <w:rsid w:val="00C14526"/>
    <w:rsid w:val="00C271F9"/>
    <w:rsid w:val="00C34363"/>
    <w:rsid w:val="00C517B6"/>
    <w:rsid w:val="00C54900"/>
    <w:rsid w:val="00C63F0F"/>
    <w:rsid w:val="00C66266"/>
    <w:rsid w:val="00C70636"/>
    <w:rsid w:val="00C70842"/>
    <w:rsid w:val="00C727DC"/>
    <w:rsid w:val="00C72FCB"/>
    <w:rsid w:val="00C75F67"/>
    <w:rsid w:val="00C8298C"/>
    <w:rsid w:val="00CB3108"/>
    <w:rsid w:val="00CB77D3"/>
    <w:rsid w:val="00CC76F2"/>
    <w:rsid w:val="00CC78FD"/>
    <w:rsid w:val="00CD1512"/>
    <w:rsid w:val="00CD1F8A"/>
    <w:rsid w:val="00CE105E"/>
    <w:rsid w:val="00CE1E5E"/>
    <w:rsid w:val="00CE4B6A"/>
    <w:rsid w:val="00D038B7"/>
    <w:rsid w:val="00D527B3"/>
    <w:rsid w:val="00D55E55"/>
    <w:rsid w:val="00D64D0F"/>
    <w:rsid w:val="00D663ED"/>
    <w:rsid w:val="00D67A17"/>
    <w:rsid w:val="00D74882"/>
    <w:rsid w:val="00D759EE"/>
    <w:rsid w:val="00D767CE"/>
    <w:rsid w:val="00D82130"/>
    <w:rsid w:val="00D956AA"/>
    <w:rsid w:val="00D95759"/>
    <w:rsid w:val="00DA543F"/>
    <w:rsid w:val="00DB78A3"/>
    <w:rsid w:val="00DC0173"/>
    <w:rsid w:val="00DC11EA"/>
    <w:rsid w:val="00DC4056"/>
    <w:rsid w:val="00DE2472"/>
    <w:rsid w:val="00DE58C6"/>
    <w:rsid w:val="00DE6C80"/>
    <w:rsid w:val="00DF1540"/>
    <w:rsid w:val="00DF1FF8"/>
    <w:rsid w:val="00DF5EB4"/>
    <w:rsid w:val="00E17517"/>
    <w:rsid w:val="00E17866"/>
    <w:rsid w:val="00E25470"/>
    <w:rsid w:val="00E27471"/>
    <w:rsid w:val="00E31813"/>
    <w:rsid w:val="00E31AC4"/>
    <w:rsid w:val="00E35D0C"/>
    <w:rsid w:val="00E3655A"/>
    <w:rsid w:val="00E44564"/>
    <w:rsid w:val="00E52C12"/>
    <w:rsid w:val="00E677C4"/>
    <w:rsid w:val="00E7119A"/>
    <w:rsid w:val="00E72D70"/>
    <w:rsid w:val="00E745A8"/>
    <w:rsid w:val="00E80A46"/>
    <w:rsid w:val="00E82B84"/>
    <w:rsid w:val="00E83B02"/>
    <w:rsid w:val="00E85FA0"/>
    <w:rsid w:val="00E87997"/>
    <w:rsid w:val="00E92ED8"/>
    <w:rsid w:val="00E93F2E"/>
    <w:rsid w:val="00E95F38"/>
    <w:rsid w:val="00EA0BFE"/>
    <w:rsid w:val="00EA7A67"/>
    <w:rsid w:val="00EB5396"/>
    <w:rsid w:val="00EC0B04"/>
    <w:rsid w:val="00EC4A51"/>
    <w:rsid w:val="00EC5C1D"/>
    <w:rsid w:val="00ED0CFE"/>
    <w:rsid w:val="00ED176B"/>
    <w:rsid w:val="00ED1918"/>
    <w:rsid w:val="00EE6A68"/>
    <w:rsid w:val="00F067EA"/>
    <w:rsid w:val="00F31B35"/>
    <w:rsid w:val="00F339CD"/>
    <w:rsid w:val="00F33A43"/>
    <w:rsid w:val="00F41650"/>
    <w:rsid w:val="00F424E0"/>
    <w:rsid w:val="00F45CA6"/>
    <w:rsid w:val="00F46167"/>
    <w:rsid w:val="00F47143"/>
    <w:rsid w:val="00F574B6"/>
    <w:rsid w:val="00F6186D"/>
    <w:rsid w:val="00F65BD5"/>
    <w:rsid w:val="00F87B88"/>
    <w:rsid w:val="00F9569D"/>
    <w:rsid w:val="00FC0465"/>
    <w:rsid w:val="00FC306C"/>
    <w:rsid w:val="00FC6457"/>
    <w:rsid w:val="00FD3076"/>
    <w:rsid w:val="00FD46BA"/>
    <w:rsid w:val="00FE1CBC"/>
    <w:rsid w:val="00FE2E58"/>
    <w:rsid w:val="00FE5458"/>
    <w:rsid w:val="00FF386C"/>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CB1C"/>
  <w15:chartTrackingRefBased/>
  <w15:docId w15:val="{83F02C77-8EAC-4CC0-BF6B-6DBDE9AE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994DCE"/>
    <w:pPr>
      <w:keepNext/>
      <w:spacing w:after="120" w:line="400" w:lineRule="atLeast"/>
      <w:outlineLvl w:val="0"/>
    </w:pPr>
    <w:rPr>
      <w:rFonts w:eastAsia="Calibr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Calibr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line="280" w:lineRule="atLeast"/>
    </w:pPr>
    <w:rPr>
      <w:rFonts w:eastAsia="Calibri"/>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Calibri"/>
      <w:color w:val="FFFFFF"/>
      <w:sz w:val="20"/>
      <w:szCs w:val="20"/>
      <w:lang w:val="en-AU"/>
    </w:rPr>
  </w:style>
  <w:style w:type="table" w:customStyle="1" w:styleId="PSCPurple">
    <w:name w:val="PSC_Purple"/>
    <w:basedOn w:val="TableNormal"/>
    <w:uiPriority w:val="99"/>
    <w:rsid w:val="00BB532F"/>
    <w:rPr>
      <w:rFonts w:eastAsia="Calibri"/>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Calibri"/>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Calibri" w:hAnsi="Georgia" w:cs="Georgia"/>
      <w:b/>
      <w:bCs/>
      <w:color w:val="000000"/>
      <w:sz w:val="42"/>
      <w:szCs w:val="42"/>
    </w:rPr>
  </w:style>
  <w:style w:type="character" w:customStyle="1" w:styleId="TitleChar">
    <w:name w:val="Title Char"/>
    <w:link w:val="Title"/>
    <w:uiPriority w:val="14"/>
    <w:rsid w:val="00BB532F"/>
    <w:rPr>
      <w:rFonts w:ascii="Georgia" w:eastAsia="Calibri" w:hAnsi="Georgia" w:cs="Georgia"/>
      <w:b/>
      <w:bCs/>
      <w:color w:val="000000"/>
      <w:sz w:val="42"/>
      <w:szCs w:val="42"/>
    </w:rPr>
  </w:style>
  <w:style w:type="table" w:styleId="TableGrid">
    <w:name w:val="Table Grid"/>
    <w:basedOn w:val="TableNormal"/>
    <w:uiPriority w:val="59"/>
    <w:rsid w:val="007E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Calibri" w:hAnsi="Georgia" w:cs="Georgia"/>
      <w:color w:val="000000"/>
      <w:spacing w:val="-10"/>
      <w:sz w:val="42"/>
      <w:szCs w:val="42"/>
    </w:rPr>
  </w:style>
  <w:style w:type="character" w:customStyle="1" w:styleId="Style1">
    <w:name w:val="Style1"/>
    <w:uiPriority w:val="1"/>
    <w:rsid w:val="007E2FB7"/>
    <w:rPr>
      <w:rFonts w:ascii="Georgia" w:hAnsi="Georgia"/>
      <w:sz w:val="42"/>
    </w:rPr>
  </w:style>
  <w:style w:type="character" w:styleId="PlaceholderText">
    <w:name w:val="Placeholder Tex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Calibri" w:hAnsi="Georgia"/>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link w:val="Heading1"/>
    <w:uiPriority w:val="1"/>
    <w:rsid w:val="00994DCE"/>
    <w:rPr>
      <w:rFonts w:ascii="Arial" w:eastAsia="Calibri" w:hAnsi="Arial" w:cs="Arial"/>
      <w:b/>
      <w:bCs/>
      <w:kern w:val="32"/>
      <w:sz w:val="26"/>
      <w:szCs w:val="32"/>
      <w:lang w:val="en-AU"/>
    </w:rPr>
  </w:style>
  <w:style w:type="character" w:customStyle="1" w:styleId="Heading2Char">
    <w:name w:val="Heading 2 Char"/>
    <w:link w:val="Heading2"/>
    <w:uiPriority w:val="1"/>
    <w:rsid w:val="00994DCE"/>
    <w:rPr>
      <w:rFonts w:ascii="Arial" w:eastAsia="Calibri" w:hAnsi="Arial" w:cs="Arial"/>
      <w:b/>
      <w:bCs/>
      <w:iCs/>
      <w:color w:val="6D6E71"/>
      <w:sz w:val="24"/>
      <w:szCs w:val="28"/>
      <w:lang w:val="en-AU"/>
    </w:rPr>
  </w:style>
  <w:style w:type="character" w:styleId="Hyperlink">
    <w:name w:val="Hyperlink"/>
    <w:uiPriority w:val="15"/>
    <w:semiHidden/>
    <w:rsid w:val="00994DCE"/>
    <w:rPr>
      <w:rFonts w:ascii="Arial" w:hAnsi="Arial"/>
      <w:color w:val="0000FF"/>
      <w:sz w:val="20"/>
      <w:u w:val="single"/>
    </w:rPr>
  </w:style>
  <w:style w:type="character" w:customStyle="1" w:styleId="ListParagraphChar">
    <w:name w:val="List Paragraph Char"/>
    <w:link w:val="ListParagraph"/>
    <w:uiPriority w:val="1"/>
    <w:locked/>
    <w:rsid w:val="00920415"/>
  </w:style>
  <w:style w:type="character" w:styleId="CommentReference">
    <w:name w:val="annotation reference"/>
    <w:uiPriority w:val="99"/>
    <w:semiHidden/>
    <w:unhideWhenUsed/>
    <w:rsid w:val="004C0FC2"/>
    <w:rPr>
      <w:sz w:val="16"/>
      <w:szCs w:val="16"/>
    </w:rPr>
  </w:style>
  <w:style w:type="paragraph" w:styleId="CommentText">
    <w:name w:val="annotation text"/>
    <w:basedOn w:val="Normal"/>
    <w:link w:val="CommentTextChar"/>
    <w:uiPriority w:val="99"/>
    <w:semiHidden/>
    <w:unhideWhenUsed/>
    <w:rsid w:val="004C0FC2"/>
    <w:pPr>
      <w:spacing w:line="240" w:lineRule="auto"/>
    </w:pPr>
    <w:rPr>
      <w:sz w:val="20"/>
      <w:szCs w:val="20"/>
    </w:rPr>
  </w:style>
  <w:style w:type="character" w:customStyle="1" w:styleId="CommentTextChar">
    <w:name w:val="Comment Text Char"/>
    <w:link w:val="CommentText"/>
    <w:uiPriority w:val="99"/>
    <w:semiHidden/>
    <w:rsid w:val="004C0FC2"/>
    <w:rPr>
      <w:sz w:val="20"/>
      <w:szCs w:val="20"/>
    </w:rPr>
  </w:style>
  <w:style w:type="paragraph" w:styleId="CommentSubject">
    <w:name w:val="annotation subject"/>
    <w:basedOn w:val="CommentText"/>
    <w:next w:val="CommentText"/>
    <w:link w:val="CommentSubjectChar"/>
    <w:uiPriority w:val="99"/>
    <w:semiHidden/>
    <w:unhideWhenUsed/>
    <w:rsid w:val="004C0FC2"/>
    <w:rPr>
      <w:b/>
      <w:bCs/>
    </w:rPr>
  </w:style>
  <w:style w:type="character" w:customStyle="1" w:styleId="CommentSubjectChar">
    <w:name w:val="Comment Subject Char"/>
    <w:link w:val="CommentSubject"/>
    <w:uiPriority w:val="99"/>
    <w:semiHidden/>
    <w:rsid w:val="004C0FC2"/>
    <w:rPr>
      <w:b/>
      <w:bCs/>
      <w:sz w:val="20"/>
      <w:szCs w:val="20"/>
    </w:rPr>
  </w:style>
  <w:style w:type="paragraph" w:customStyle="1" w:styleId="Default">
    <w:name w:val="Default"/>
    <w:rsid w:val="0096540D"/>
    <w:pPr>
      <w:autoSpaceDE w:val="0"/>
      <w:autoSpaceDN w:val="0"/>
      <w:adjustRightInd w:val="0"/>
    </w:pPr>
    <w:rPr>
      <w:rFonts w:cs="Arial"/>
      <w:color w:val="000000"/>
      <w:sz w:val="24"/>
      <w:szCs w:val="24"/>
      <w:lang w:eastAsia="en-US"/>
    </w:rPr>
  </w:style>
  <w:style w:type="table" w:customStyle="1" w:styleId="PSCPurple1">
    <w:name w:val="PSC_Purple1"/>
    <w:basedOn w:val="TableNormal"/>
    <w:uiPriority w:val="99"/>
    <w:rsid w:val="007B5FC6"/>
    <w:rPr>
      <w:rFonts w:eastAsia="Calibri"/>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PlainText">
    <w:name w:val="Plain Text"/>
    <w:basedOn w:val="Normal"/>
    <w:link w:val="PlainTextChar"/>
    <w:uiPriority w:val="99"/>
    <w:unhideWhenUsed/>
    <w:rsid w:val="003727EE"/>
    <w:pPr>
      <w:spacing w:after="0" w:line="240" w:lineRule="auto"/>
    </w:pPr>
    <w:rPr>
      <w:rFonts w:ascii="Calibri" w:hAnsi="Calibri"/>
      <w:szCs w:val="21"/>
      <w:lang w:val="en-AU"/>
    </w:rPr>
  </w:style>
  <w:style w:type="character" w:customStyle="1" w:styleId="PlainTextChar">
    <w:name w:val="Plain Text Char"/>
    <w:link w:val="PlainText"/>
    <w:uiPriority w:val="99"/>
    <w:rsid w:val="003727EE"/>
    <w:rPr>
      <w:rFonts w:ascii="Calibri" w:hAnsi="Calibri" w:cs="Times New Roman"/>
      <w:szCs w:val="21"/>
      <w:lang w:val="en-AU"/>
    </w:rPr>
  </w:style>
  <w:style w:type="paragraph" w:styleId="Revision">
    <w:name w:val="Revision"/>
    <w:hidden/>
    <w:uiPriority w:val="99"/>
    <w:semiHidden/>
    <w:rsid w:val="00C727DC"/>
    <w:rPr>
      <w:sz w:val="22"/>
      <w:szCs w:val="22"/>
      <w:lang w:val="en-US" w:eastAsia="en-US"/>
    </w:rPr>
  </w:style>
  <w:style w:type="character" w:styleId="FollowedHyperlink">
    <w:name w:val="FollowedHyperlink"/>
    <w:uiPriority w:val="99"/>
    <w:semiHidden/>
    <w:unhideWhenUsed/>
    <w:rsid w:val="004873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5743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TaxCatchAll xmlns="558aa24c-d1f1-4f00-9011-17f3627ae038"/>
    <lcf76f155ced4ddcb4097134ff3c332f xmlns="2cb9c8c1-a3f8-48df-abd6-a25523cdf4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19" ma:contentTypeDescription="Create a new document." ma:contentTypeScope="" ma:versionID="46cfbef850a7138bc1fe7fe82042ba08">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cb5f69885981e0bfd1902a5e8a4e971"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8E799-6C8D-4099-992E-8B76AF8E9615}">
  <ds:schemaRefs>
    <ds:schemaRef ds:uri="http://schemas.openxmlformats.org/officeDocument/2006/bibliography"/>
  </ds:schemaRefs>
</ds:datastoreItem>
</file>

<file path=customXml/itemProps2.xml><?xml version="1.0" encoding="utf-8"?>
<ds:datastoreItem xmlns:ds="http://schemas.openxmlformats.org/officeDocument/2006/customXml" ds:itemID="{0285C344-6932-4322-87D1-B34DAA6C1D56}">
  <ds:schemaRefs>
    <ds:schemaRef ds:uri="http://schemas.microsoft.com/office/2006/metadata/properties"/>
    <ds:schemaRef ds:uri="http://schemas.microsoft.com/office/infopath/2007/PartnerControls"/>
    <ds:schemaRef ds:uri="http://schemas.microsoft.com/sharepoint/v3"/>
    <ds:schemaRef ds:uri="2cb9c8c1-a3f8-48df-abd6-a25523cdf4f2"/>
    <ds:schemaRef ds:uri="558aa24c-d1f1-4f00-9011-17f3627ae038"/>
  </ds:schemaRefs>
</ds:datastoreItem>
</file>

<file path=customXml/itemProps3.xml><?xml version="1.0" encoding="utf-8"?>
<ds:datastoreItem xmlns:ds="http://schemas.openxmlformats.org/officeDocument/2006/customXml" ds:itemID="{550198CF-F212-47CA-9AA8-82E96DE2AE42}">
  <ds:schemaRefs>
    <ds:schemaRef ds:uri="http://schemas.microsoft.com/sharepoint/v3/contenttype/forms"/>
  </ds:schemaRefs>
</ds:datastoreItem>
</file>

<file path=customXml/itemProps4.xml><?xml version="1.0" encoding="utf-8"?>
<ds:datastoreItem xmlns:ds="http://schemas.openxmlformats.org/officeDocument/2006/customXml" ds:itemID="{961255B4-8BD1-4D81-98FD-469939C1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9</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18092</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Jennifer Cwyk</cp:lastModifiedBy>
  <cp:revision>2</cp:revision>
  <cp:lastPrinted>2021-03-01T03:46:00Z</cp:lastPrinted>
  <dcterms:created xsi:type="dcterms:W3CDTF">2024-10-15T05:06:00Z</dcterms:created>
  <dcterms:modified xsi:type="dcterms:W3CDTF">2024-10-15T05:06:00Z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0x010100C28986F2D096E34E9A659E593DFFDA98</vt:lpwstr>
  </property>
  <property fmtid="{D5CDD505-2E9C-101B-9397-08002B2CF9AE}" pid="3" name="InconRDLibraryProjectDatabase">
    <vt:lpwstr>0</vt:lpwstr>
  </property>
  <property fmtid="{D5CDD505-2E9C-101B-9397-08002B2CF9AE}" pid="4" name="Comments">
    <vt:lpwstr/>
  </property>
  <property fmtid="{D5CDD505-2E9C-101B-9397-08002B2CF9AE}" pid="5" name="Generictemplatecreated">
    <vt:lpwstr>1</vt:lpwstr>
  </property>
  <property fmtid="{D5CDD505-2E9C-101B-9397-08002B2CF9AE}" pid="6" name="AddedtoRDDocumentLibrary">
    <vt:lpwstr>0</vt:lpwstr>
  </property>
</Properties>
</file>