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SCGreen"/>
        <w:tblW w:w="10857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831"/>
      </w:tblGrid>
      <w:tr w:rsidR="00801E41" w:rsidRPr="00DC0173" w14:paraId="39597A66" w14:textId="77777777" w:rsidTr="00C60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6" w:type="dxa"/>
          </w:tcPr>
          <w:p w14:paraId="39597A64" w14:textId="77777777" w:rsidR="00801E41" w:rsidRPr="00DC0173" w:rsidRDefault="00801E41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Cluster</w:t>
            </w:r>
          </w:p>
        </w:tc>
        <w:tc>
          <w:tcPr>
            <w:tcW w:w="6831" w:type="dxa"/>
          </w:tcPr>
          <w:p w14:paraId="39597A65" w14:textId="2C45D285" w:rsidR="00801E41" w:rsidRPr="00405EB0" w:rsidRDefault="00FC39BC" w:rsidP="00C60D72">
            <w:pPr>
              <w:pStyle w:val="TableTextWhite"/>
              <w:rPr>
                <w:b/>
                <w:bCs/>
              </w:rPr>
            </w:pPr>
            <w:r w:rsidRPr="00405EB0">
              <w:rPr>
                <w:b/>
                <w:bCs/>
              </w:rPr>
              <w:t xml:space="preserve">Planning, </w:t>
            </w:r>
            <w:proofErr w:type="gramStart"/>
            <w:r w:rsidRPr="00405EB0">
              <w:rPr>
                <w:b/>
                <w:bCs/>
              </w:rPr>
              <w:t>Housing</w:t>
            </w:r>
            <w:proofErr w:type="gramEnd"/>
            <w:r w:rsidRPr="00405EB0">
              <w:rPr>
                <w:b/>
                <w:bCs/>
              </w:rPr>
              <w:t xml:space="preserve"> and Infrastructure</w:t>
            </w:r>
          </w:p>
        </w:tc>
      </w:tr>
      <w:tr w:rsidR="00801E41" w:rsidRPr="00DC0173" w14:paraId="39597A69" w14:textId="77777777" w:rsidTr="00C60D72">
        <w:tc>
          <w:tcPr>
            <w:tcW w:w="4026" w:type="dxa"/>
          </w:tcPr>
          <w:p w14:paraId="39597A67" w14:textId="77777777" w:rsidR="00801E41" w:rsidRDefault="00801E41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6831" w:type="dxa"/>
          </w:tcPr>
          <w:p w14:paraId="39597A68" w14:textId="4E3454F9" w:rsidR="00801E41" w:rsidRPr="00405EB0" w:rsidRDefault="00801E41" w:rsidP="00C60D72">
            <w:pPr>
              <w:pStyle w:val="TableTextWhite"/>
              <w:rPr>
                <w:b/>
                <w:bCs/>
              </w:rPr>
            </w:pPr>
            <w:r w:rsidRPr="00405EB0">
              <w:rPr>
                <w:b/>
                <w:bCs/>
              </w:rPr>
              <w:t xml:space="preserve">Department of </w:t>
            </w:r>
            <w:r w:rsidR="00FC39BC" w:rsidRPr="00405EB0">
              <w:rPr>
                <w:b/>
                <w:bCs/>
              </w:rPr>
              <w:t xml:space="preserve">Planning, </w:t>
            </w:r>
            <w:proofErr w:type="gramStart"/>
            <w:r w:rsidR="00FC39BC" w:rsidRPr="00405EB0">
              <w:rPr>
                <w:b/>
                <w:bCs/>
              </w:rPr>
              <w:t>Housing</w:t>
            </w:r>
            <w:proofErr w:type="gramEnd"/>
            <w:r w:rsidR="00FC39BC" w:rsidRPr="00405EB0">
              <w:rPr>
                <w:b/>
                <w:bCs/>
              </w:rPr>
              <w:t xml:space="preserve"> and Infrastructure</w:t>
            </w:r>
          </w:p>
        </w:tc>
      </w:tr>
      <w:tr w:rsidR="00801E41" w:rsidRPr="00DC0173" w14:paraId="39597A6C" w14:textId="77777777" w:rsidTr="00C60D72">
        <w:tc>
          <w:tcPr>
            <w:tcW w:w="4026" w:type="dxa"/>
          </w:tcPr>
          <w:p w14:paraId="39597A6A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Division/Branch/Unit</w:t>
            </w:r>
          </w:p>
        </w:tc>
        <w:tc>
          <w:tcPr>
            <w:tcW w:w="6831" w:type="dxa"/>
          </w:tcPr>
          <w:p w14:paraId="39597A6B" w14:textId="38EC838C" w:rsidR="00801E41" w:rsidRPr="00405EB0" w:rsidRDefault="00FC39BC" w:rsidP="003F3724">
            <w:pPr>
              <w:pStyle w:val="TableTextWhite"/>
              <w:rPr>
                <w:b/>
                <w:bCs/>
              </w:rPr>
            </w:pPr>
            <w:r w:rsidRPr="00405EB0">
              <w:rPr>
                <w:b/>
                <w:bCs/>
              </w:rPr>
              <w:t>Strategic Services and Advice</w:t>
            </w:r>
            <w:r w:rsidR="00F0206D" w:rsidRPr="00405EB0">
              <w:rPr>
                <w:b/>
                <w:bCs/>
              </w:rPr>
              <w:t xml:space="preserve"> </w:t>
            </w:r>
            <w:r w:rsidR="00D94F5C" w:rsidRPr="00405EB0">
              <w:rPr>
                <w:b/>
                <w:bCs/>
              </w:rPr>
              <w:t>/ People and Culture</w:t>
            </w:r>
          </w:p>
        </w:tc>
      </w:tr>
      <w:tr w:rsidR="00801E41" w:rsidRPr="00DC0173" w14:paraId="39597A6F" w14:textId="77777777" w:rsidTr="00C60D72">
        <w:tc>
          <w:tcPr>
            <w:tcW w:w="4026" w:type="dxa"/>
          </w:tcPr>
          <w:p w14:paraId="39597A6D" w14:textId="77777777" w:rsidR="00801E41" w:rsidRDefault="00D51479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831" w:type="dxa"/>
          </w:tcPr>
          <w:p w14:paraId="39597A6E" w14:textId="77777777" w:rsidR="00801E41" w:rsidRPr="00405EB0" w:rsidRDefault="00D51479" w:rsidP="00C60D72">
            <w:pPr>
              <w:pStyle w:val="TableTextWhite"/>
              <w:rPr>
                <w:b/>
                <w:bCs/>
              </w:rPr>
            </w:pPr>
            <w:r w:rsidRPr="00405EB0">
              <w:rPr>
                <w:b/>
                <w:bCs/>
              </w:rPr>
              <w:t>Parramatta</w:t>
            </w:r>
          </w:p>
        </w:tc>
      </w:tr>
      <w:tr w:rsidR="00801E41" w:rsidRPr="00DC0173" w14:paraId="39597A72" w14:textId="77777777" w:rsidTr="00C60D72">
        <w:tc>
          <w:tcPr>
            <w:tcW w:w="4026" w:type="dxa"/>
          </w:tcPr>
          <w:p w14:paraId="39597A70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Classification/Grade/Band</w:t>
            </w:r>
          </w:p>
        </w:tc>
        <w:tc>
          <w:tcPr>
            <w:tcW w:w="6831" w:type="dxa"/>
          </w:tcPr>
          <w:p w14:paraId="39597A71" w14:textId="77777777" w:rsidR="00801E41" w:rsidRPr="00405EB0" w:rsidRDefault="00801E41" w:rsidP="00C60D72">
            <w:pPr>
              <w:pStyle w:val="TableTextWhite"/>
              <w:rPr>
                <w:b/>
                <w:bCs/>
              </w:rPr>
            </w:pPr>
            <w:r w:rsidRPr="00405EB0">
              <w:rPr>
                <w:b/>
                <w:bCs/>
              </w:rPr>
              <w:t>Clerk Grade 11/12</w:t>
            </w:r>
          </w:p>
        </w:tc>
      </w:tr>
      <w:tr w:rsidR="00801E41" w:rsidRPr="00DC0173" w14:paraId="39597A78" w14:textId="77777777" w:rsidTr="00C60D72">
        <w:tc>
          <w:tcPr>
            <w:tcW w:w="4026" w:type="dxa"/>
          </w:tcPr>
          <w:p w14:paraId="39597A76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ANZSCO Code</w:t>
            </w:r>
          </w:p>
        </w:tc>
        <w:tc>
          <w:tcPr>
            <w:tcW w:w="6831" w:type="dxa"/>
          </w:tcPr>
          <w:p w14:paraId="39597A77" w14:textId="77777777" w:rsidR="00801E41" w:rsidRPr="00405EB0" w:rsidRDefault="00801E41" w:rsidP="00C60D72">
            <w:pPr>
              <w:pStyle w:val="TableTextWhite"/>
              <w:rPr>
                <w:b/>
                <w:bCs/>
              </w:rPr>
            </w:pPr>
            <w:r w:rsidRPr="00405EB0">
              <w:rPr>
                <w:b/>
                <w:bCs/>
              </w:rPr>
              <w:t>223112</w:t>
            </w:r>
          </w:p>
        </w:tc>
      </w:tr>
      <w:tr w:rsidR="00801E41" w:rsidRPr="00DC0173" w14:paraId="39597A7B" w14:textId="77777777" w:rsidTr="00C60D72">
        <w:tc>
          <w:tcPr>
            <w:tcW w:w="4026" w:type="dxa"/>
          </w:tcPr>
          <w:p w14:paraId="39597A79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PCAT Code</w:t>
            </w:r>
          </w:p>
        </w:tc>
        <w:tc>
          <w:tcPr>
            <w:tcW w:w="6831" w:type="dxa"/>
          </w:tcPr>
          <w:p w14:paraId="39597A7A" w14:textId="77777777" w:rsidR="00801E41" w:rsidRPr="00405EB0" w:rsidRDefault="00801E41" w:rsidP="00C60D72">
            <w:pPr>
              <w:pStyle w:val="TableTextWhite"/>
              <w:rPr>
                <w:b/>
                <w:bCs/>
              </w:rPr>
            </w:pPr>
            <w:r w:rsidRPr="00405EB0">
              <w:rPr>
                <w:b/>
                <w:bCs/>
              </w:rPr>
              <w:t>1224292</w:t>
            </w:r>
          </w:p>
        </w:tc>
      </w:tr>
      <w:tr w:rsidR="00801E41" w:rsidRPr="00DC0173" w14:paraId="39597A7E" w14:textId="77777777" w:rsidTr="00C60D72">
        <w:tc>
          <w:tcPr>
            <w:tcW w:w="4026" w:type="dxa"/>
          </w:tcPr>
          <w:p w14:paraId="39597A7C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Date of Approval</w:t>
            </w:r>
          </w:p>
        </w:tc>
        <w:tc>
          <w:tcPr>
            <w:tcW w:w="6831" w:type="dxa"/>
          </w:tcPr>
          <w:p w14:paraId="39597A7D" w14:textId="0EDFAF96" w:rsidR="00801E41" w:rsidRPr="00405EB0" w:rsidRDefault="00801E41" w:rsidP="00C60D72">
            <w:pPr>
              <w:pStyle w:val="TableTextWhite"/>
              <w:rPr>
                <w:b/>
                <w:bCs/>
              </w:rPr>
            </w:pPr>
            <w:r w:rsidRPr="00405EB0">
              <w:rPr>
                <w:b/>
                <w:bCs/>
              </w:rPr>
              <w:t>March 2020</w:t>
            </w:r>
            <w:r w:rsidR="00545D26" w:rsidRPr="00405EB0">
              <w:rPr>
                <w:b/>
                <w:bCs/>
              </w:rPr>
              <w:t xml:space="preserve"> (updated </w:t>
            </w:r>
            <w:r w:rsidR="00A248DF" w:rsidRPr="00405EB0">
              <w:rPr>
                <w:b/>
                <w:bCs/>
              </w:rPr>
              <w:t xml:space="preserve">20 </w:t>
            </w:r>
            <w:r w:rsidR="00545D26" w:rsidRPr="00405EB0">
              <w:rPr>
                <w:b/>
                <w:bCs/>
              </w:rPr>
              <w:t>October 2020</w:t>
            </w:r>
            <w:r w:rsidR="00EB753E" w:rsidRPr="00405EB0">
              <w:rPr>
                <w:b/>
                <w:bCs/>
              </w:rPr>
              <w:t xml:space="preserve">; </w:t>
            </w:r>
            <w:r w:rsidR="00F0206D" w:rsidRPr="00405EB0">
              <w:rPr>
                <w:b/>
                <w:bCs/>
              </w:rPr>
              <w:t>October</w:t>
            </w:r>
            <w:r w:rsidR="00012FA9" w:rsidRPr="00405EB0">
              <w:rPr>
                <w:b/>
                <w:bCs/>
              </w:rPr>
              <w:t xml:space="preserve"> 2022</w:t>
            </w:r>
            <w:r w:rsidR="00FC39BC" w:rsidRPr="00405EB0">
              <w:rPr>
                <w:b/>
                <w:bCs/>
              </w:rPr>
              <w:t>; October 2024</w:t>
            </w:r>
            <w:r w:rsidR="00545D26" w:rsidRPr="00405EB0">
              <w:rPr>
                <w:b/>
                <w:bCs/>
              </w:rPr>
              <w:t>)</w:t>
            </w:r>
          </w:p>
        </w:tc>
      </w:tr>
      <w:tr w:rsidR="00801E41" w:rsidRPr="00DC0173" w14:paraId="39597A81" w14:textId="77777777" w:rsidTr="00C60D72">
        <w:tc>
          <w:tcPr>
            <w:tcW w:w="4026" w:type="dxa"/>
          </w:tcPr>
          <w:p w14:paraId="39597A7F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Agency Website</w:t>
            </w:r>
          </w:p>
        </w:tc>
        <w:tc>
          <w:tcPr>
            <w:tcW w:w="6831" w:type="dxa"/>
          </w:tcPr>
          <w:p w14:paraId="39597A80" w14:textId="4482B338" w:rsidR="00801E41" w:rsidRPr="00405EB0" w:rsidRDefault="00FC39BC" w:rsidP="00C60D72">
            <w:pPr>
              <w:pStyle w:val="TableTextWhite"/>
              <w:rPr>
                <w:b/>
                <w:bCs/>
              </w:rPr>
            </w:pPr>
            <w:r w:rsidRPr="00405EB0">
              <w:rPr>
                <w:b/>
                <w:bCs/>
              </w:rPr>
              <w:t>https://www.nsw.gov.au/departments-and-agencies/department-of-planning-housing-and-infrastructure</w:t>
            </w:r>
          </w:p>
        </w:tc>
      </w:tr>
    </w:tbl>
    <w:p w14:paraId="39597A82" w14:textId="77777777" w:rsidR="00477EB1" w:rsidRPr="00E55704" w:rsidRDefault="00477EB1" w:rsidP="00477EB1">
      <w:pPr>
        <w:tabs>
          <w:tab w:val="left" w:pos="2925"/>
        </w:tabs>
        <w:rPr>
          <w:rFonts w:cs="Arial"/>
        </w:rPr>
      </w:pPr>
    </w:p>
    <w:p w14:paraId="39597A83" w14:textId="77777777"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Agency overview</w:t>
      </w:r>
    </w:p>
    <w:p w14:paraId="39597A84" w14:textId="222B644A" w:rsidR="00545D26" w:rsidRPr="00FC39BC" w:rsidRDefault="00FC39BC" w:rsidP="00FC39BC">
      <w:pPr>
        <w:rPr>
          <w:rStyle w:val="normaltextrun1"/>
          <w:rFonts w:cs="Arial"/>
          <w:color w:val="111111"/>
        </w:rPr>
      </w:pPr>
      <w:r w:rsidRPr="7C1C0B43">
        <w:rPr>
          <w:rStyle w:val="normaltextrun1"/>
          <w:rFonts w:cs="Arial"/>
          <w:color w:val="111111"/>
        </w:rPr>
        <w:t xml:space="preserve">The Department of Planning, </w:t>
      </w:r>
      <w:proofErr w:type="gramStart"/>
      <w:r w:rsidRPr="7C1C0B43">
        <w:rPr>
          <w:rStyle w:val="normaltextrun1"/>
          <w:rFonts w:cs="Arial"/>
          <w:color w:val="111111"/>
        </w:rPr>
        <w:t>Housing</w:t>
      </w:r>
      <w:proofErr w:type="gramEnd"/>
      <w:r w:rsidRPr="7C1C0B43">
        <w:rPr>
          <w:rStyle w:val="normaltextrun1"/>
          <w:rFonts w:cs="Arial"/>
          <w:color w:val="111111"/>
        </w:rPr>
        <w:t xml:space="preserve"> and Infrastructure (DPHI) improves the </w:t>
      </w:r>
      <w:proofErr w:type="spellStart"/>
      <w:r w:rsidRPr="7C1C0B43">
        <w:rPr>
          <w:rStyle w:val="normaltextrun1"/>
          <w:rFonts w:cs="Arial"/>
          <w:color w:val="111111"/>
        </w:rPr>
        <w:t>liveability</w:t>
      </w:r>
      <w:proofErr w:type="spellEnd"/>
      <w:r w:rsidRPr="7C1C0B43">
        <w:rPr>
          <w:rStyle w:val="normaltextrun1"/>
          <w:rFonts w:cs="Arial"/>
          <w:color w:val="111111"/>
        </w:rPr>
        <w:t xml:space="preserve"> and prosperity of NSW.  To achieve this, we:</w:t>
      </w:r>
    </w:p>
    <w:p w14:paraId="345FFBF6" w14:textId="77777777" w:rsidR="00FC39BC" w:rsidRPr="00FC39BC" w:rsidRDefault="00FC39BC" w:rsidP="00FC39BC">
      <w:pPr>
        <w:rPr>
          <w:rStyle w:val="eop"/>
          <w:rFonts w:cs="Arial"/>
        </w:rPr>
      </w:pPr>
    </w:p>
    <w:p w14:paraId="19E8BFBF" w14:textId="1110B112" w:rsidR="00FC39BC" w:rsidRPr="00FC39BC" w:rsidRDefault="00FC39BC" w:rsidP="00FC39BC">
      <w:pPr>
        <w:pStyle w:val="ListBullet"/>
        <w:rPr>
          <w:rStyle w:val="eop"/>
          <w:rFonts w:ascii="Arial" w:hAnsi="Arial" w:cs="Arial"/>
        </w:rPr>
      </w:pPr>
      <w:r w:rsidRPr="00FC39BC">
        <w:rPr>
          <w:rStyle w:val="eop"/>
          <w:rFonts w:ascii="Arial" w:hAnsi="Arial" w:cs="Arial"/>
        </w:rPr>
        <w:t xml:space="preserve">create vibrant, productive spaces and </w:t>
      </w:r>
      <w:proofErr w:type="gramStart"/>
      <w:r w:rsidRPr="00FC39BC">
        <w:rPr>
          <w:rStyle w:val="eop"/>
          <w:rFonts w:ascii="Arial" w:hAnsi="Arial" w:cs="Arial"/>
        </w:rPr>
        <w:t>precincts;</w:t>
      </w:r>
      <w:proofErr w:type="gramEnd"/>
    </w:p>
    <w:p w14:paraId="01800765" w14:textId="27A863F1" w:rsidR="00FC39BC" w:rsidRPr="00FC39BC" w:rsidRDefault="00FC39BC" w:rsidP="00FC39BC">
      <w:pPr>
        <w:pStyle w:val="ListBullet"/>
        <w:rPr>
          <w:rStyle w:val="eop"/>
          <w:rFonts w:ascii="Arial" w:hAnsi="Arial" w:cs="Arial"/>
        </w:rPr>
      </w:pPr>
      <w:r w:rsidRPr="00FC39BC">
        <w:rPr>
          <w:rStyle w:val="eop"/>
          <w:rFonts w:ascii="Arial" w:hAnsi="Arial" w:cs="Arial"/>
        </w:rPr>
        <w:t xml:space="preserve">manage lands, </w:t>
      </w:r>
      <w:proofErr w:type="gramStart"/>
      <w:r w:rsidRPr="00FC39BC">
        <w:rPr>
          <w:rStyle w:val="eop"/>
          <w:rFonts w:ascii="Arial" w:hAnsi="Arial" w:cs="Arial"/>
        </w:rPr>
        <w:t>assets</w:t>
      </w:r>
      <w:proofErr w:type="gramEnd"/>
      <w:r w:rsidRPr="00FC39BC">
        <w:rPr>
          <w:rStyle w:val="eop"/>
          <w:rFonts w:ascii="Arial" w:hAnsi="Arial" w:cs="Arial"/>
        </w:rPr>
        <w:t xml:space="preserve"> and property effectively; and</w:t>
      </w:r>
    </w:p>
    <w:p w14:paraId="0F07F018" w14:textId="3E928D18" w:rsidR="00FC39BC" w:rsidRPr="00FC39BC" w:rsidRDefault="00FC39BC" w:rsidP="00FC39BC">
      <w:pPr>
        <w:pStyle w:val="ListBullet"/>
        <w:rPr>
          <w:rStyle w:val="eop"/>
          <w:rFonts w:ascii="Arial" w:hAnsi="Arial" w:cs="Arial"/>
        </w:rPr>
      </w:pPr>
      <w:r w:rsidRPr="00FC39BC">
        <w:rPr>
          <w:rStyle w:val="eop"/>
          <w:rFonts w:ascii="Arial" w:hAnsi="Arial" w:cs="Arial"/>
        </w:rPr>
        <w:t>deliver affordable and diverse housing.</w:t>
      </w:r>
    </w:p>
    <w:p w14:paraId="664FB8CF" w14:textId="77777777" w:rsidR="00FC39BC" w:rsidRPr="00FC39BC" w:rsidRDefault="00FC39BC" w:rsidP="00FC39BC">
      <w:pPr>
        <w:rPr>
          <w:rStyle w:val="eop"/>
          <w:rFonts w:cs="Arial"/>
        </w:rPr>
      </w:pPr>
    </w:p>
    <w:p w14:paraId="7778EA6B" w14:textId="37AA4AA8" w:rsidR="00FC39BC" w:rsidRPr="00FC39BC" w:rsidRDefault="00FC39BC" w:rsidP="00FC39BC">
      <w:pPr>
        <w:rPr>
          <w:rStyle w:val="eop"/>
          <w:rFonts w:cs="Arial"/>
        </w:rPr>
      </w:pPr>
      <w:r w:rsidRPr="00FC39BC">
        <w:rPr>
          <w:rStyle w:val="eop"/>
          <w:rFonts w:cs="Arial"/>
        </w:rPr>
        <w:t xml:space="preserve">We strive to be a high performing, world class public service </w:t>
      </w:r>
      <w:proofErr w:type="spellStart"/>
      <w:r w:rsidRPr="00FC39BC">
        <w:rPr>
          <w:rStyle w:val="eop"/>
          <w:rFonts w:cs="Arial"/>
        </w:rPr>
        <w:t>organisation</w:t>
      </w:r>
      <w:proofErr w:type="spellEnd"/>
      <w:r w:rsidRPr="00FC39BC">
        <w:rPr>
          <w:rStyle w:val="eop"/>
          <w:rFonts w:cs="Arial"/>
        </w:rPr>
        <w:t xml:space="preserve"> that celebrates and reflects the full diversity of the community we serve and builds the cultural capability of our department to improve outcomes with, and for, Aboriginal people, </w:t>
      </w:r>
      <w:proofErr w:type="gramStart"/>
      <w:r w:rsidRPr="00FC39BC">
        <w:rPr>
          <w:rStyle w:val="eop"/>
          <w:rFonts w:cs="Arial"/>
        </w:rPr>
        <w:t>communities</w:t>
      </w:r>
      <w:proofErr w:type="gramEnd"/>
      <w:r w:rsidRPr="00FC39BC">
        <w:rPr>
          <w:rStyle w:val="eop"/>
          <w:rFonts w:cs="Arial"/>
        </w:rPr>
        <w:t xml:space="preserve"> and entities.</w:t>
      </w:r>
    </w:p>
    <w:p w14:paraId="39597A85" w14:textId="77777777"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Primary purpose of the role</w:t>
      </w:r>
    </w:p>
    <w:p w14:paraId="56462133" w14:textId="17839D77" w:rsidR="006E2507" w:rsidRPr="003C3E76" w:rsidRDefault="00EC4B46" w:rsidP="003927AE">
      <w:pPr>
        <w:tabs>
          <w:tab w:val="left" w:pos="2925"/>
        </w:tabs>
      </w:pPr>
      <w:r w:rsidRPr="00645136">
        <w:t xml:space="preserve">The role leads and manages the Executive or/and non-Executive </w:t>
      </w:r>
      <w:r w:rsidR="004F2345" w:rsidRPr="00645136">
        <w:t>Talent Acquisition</w:t>
      </w:r>
      <w:r w:rsidRPr="00645136">
        <w:t xml:space="preserve"> function, </w:t>
      </w:r>
      <w:r w:rsidR="00A830B1" w:rsidRPr="00645136">
        <w:t>to en</w:t>
      </w:r>
      <w:r w:rsidR="003A5839" w:rsidRPr="00645136">
        <w:t xml:space="preserve">sure the delivery of </w:t>
      </w:r>
      <w:r w:rsidRPr="00645136">
        <w:t>proactiv</w:t>
      </w:r>
      <w:r w:rsidR="003A5839" w:rsidRPr="00645136">
        <w:t xml:space="preserve">e and </w:t>
      </w:r>
      <w:r w:rsidRPr="00645136">
        <w:t>client focused</w:t>
      </w:r>
      <w:r w:rsidR="003A5839" w:rsidRPr="00645136">
        <w:t xml:space="preserve"> </w:t>
      </w:r>
      <w:r w:rsidRPr="00645136">
        <w:t>recruitment services</w:t>
      </w:r>
      <w:r w:rsidR="00FC39BC">
        <w:t>,</w:t>
      </w:r>
      <w:r w:rsidR="003A5839" w:rsidRPr="00645136">
        <w:t xml:space="preserve"> the </w:t>
      </w:r>
      <w:r w:rsidR="00FF6336" w:rsidRPr="00645136">
        <w:t>design and implementation of</w:t>
      </w:r>
      <w:r w:rsidRPr="00645136">
        <w:t xml:space="preserve"> contemporary recruitment solutions and strategies</w:t>
      </w:r>
      <w:r w:rsidR="001B64F9" w:rsidRPr="00645136">
        <w:t xml:space="preserve">, </w:t>
      </w:r>
      <w:r w:rsidRPr="00645136">
        <w:t>and</w:t>
      </w:r>
      <w:r w:rsidR="00E34A14" w:rsidRPr="00645136">
        <w:t xml:space="preserve"> </w:t>
      </w:r>
      <w:r w:rsidR="001B64F9" w:rsidRPr="00645136">
        <w:t xml:space="preserve">the provision of expert and timely advice </w:t>
      </w:r>
      <w:r w:rsidR="0065080B" w:rsidRPr="00645136">
        <w:t>to</w:t>
      </w:r>
      <w:r w:rsidR="00E34A14" w:rsidRPr="00645136">
        <w:t xml:space="preserve"> clients</w:t>
      </w:r>
      <w:r w:rsidR="00645136" w:rsidRPr="00645136">
        <w:t>.</w:t>
      </w:r>
      <w:r w:rsidR="00645136">
        <w:t xml:space="preserve"> </w:t>
      </w:r>
    </w:p>
    <w:p w14:paraId="783AE4CB" w14:textId="77777777" w:rsidR="00CE3853" w:rsidRPr="00172DFE" w:rsidRDefault="00CE3853" w:rsidP="00CE3853">
      <w:pPr>
        <w:tabs>
          <w:tab w:val="left" w:pos="2925"/>
        </w:tabs>
        <w:rPr>
          <w:rStyle w:val="Heading1Char"/>
        </w:rPr>
      </w:pPr>
      <w:r w:rsidRPr="00172DFE">
        <w:rPr>
          <w:rStyle w:val="Heading1Char"/>
        </w:rPr>
        <w:t>Key accountabilities</w:t>
      </w:r>
    </w:p>
    <w:p w14:paraId="39218B0B" w14:textId="4D5873A7" w:rsidR="003C0974" w:rsidRDefault="0083623A" w:rsidP="00CE3853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 w:rsidRPr="007A582B">
        <w:rPr>
          <w:rFonts w:cs="Arial"/>
        </w:rPr>
        <w:t>Lead</w:t>
      </w:r>
      <w:r w:rsidR="002A78BA" w:rsidRPr="007A582B">
        <w:rPr>
          <w:rFonts w:cs="Arial"/>
        </w:rPr>
        <w:t xml:space="preserve"> the </w:t>
      </w:r>
      <w:r w:rsidR="00905DC1">
        <w:rPr>
          <w:rFonts w:cs="Arial"/>
        </w:rPr>
        <w:t xml:space="preserve">Executive or non-Executive </w:t>
      </w:r>
      <w:r w:rsidR="002A78BA" w:rsidRPr="007A582B">
        <w:rPr>
          <w:rFonts w:cs="Arial"/>
        </w:rPr>
        <w:t xml:space="preserve">Talent Acquisition function to </w:t>
      </w:r>
      <w:r w:rsidR="00591AD8">
        <w:rPr>
          <w:rFonts w:cs="Arial"/>
        </w:rPr>
        <w:t xml:space="preserve">ensure the </w:t>
      </w:r>
      <w:r w:rsidR="002A78BA" w:rsidRPr="007A582B">
        <w:rPr>
          <w:rFonts w:cs="Arial"/>
        </w:rPr>
        <w:t>seamless deliver</w:t>
      </w:r>
      <w:r w:rsidR="00591AD8">
        <w:rPr>
          <w:rFonts w:cs="Arial"/>
        </w:rPr>
        <w:t>y of</w:t>
      </w:r>
      <w:r w:rsidR="002A78BA" w:rsidRPr="007A582B">
        <w:rPr>
          <w:rFonts w:cs="Arial"/>
        </w:rPr>
        <w:t xml:space="preserve"> end-to </w:t>
      </w:r>
      <w:r w:rsidR="00015566" w:rsidRPr="007A582B">
        <w:rPr>
          <w:rFonts w:cs="Arial"/>
        </w:rPr>
        <w:t>end recruitment</w:t>
      </w:r>
      <w:r w:rsidR="002A78BA" w:rsidRPr="007A582B">
        <w:rPr>
          <w:rFonts w:cs="Arial"/>
        </w:rPr>
        <w:t xml:space="preserve"> services </w:t>
      </w:r>
      <w:r w:rsidR="00591AD8">
        <w:rPr>
          <w:rFonts w:cs="Arial"/>
        </w:rPr>
        <w:t xml:space="preserve">whilst leading the development and implementation of a range innovative strategies designed to attract and build a skilled workforce that meets the </w:t>
      </w:r>
      <w:r w:rsidR="00FD0E4D" w:rsidRPr="007A582B">
        <w:rPr>
          <w:rFonts w:cs="Arial"/>
        </w:rPr>
        <w:t>Department</w:t>
      </w:r>
      <w:r w:rsidR="00591AD8">
        <w:rPr>
          <w:rFonts w:cs="Arial"/>
        </w:rPr>
        <w:t>’ current and future needs</w:t>
      </w:r>
      <w:r w:rsidR="00FD0E4D" w:rsidRPr="007A582B">
        <w:rPr>
          <w:rFonts w:cs="Arial"/>
        </w:rPr>
        <w:t>.</w:t>
      </w:r>
    </w:p>
    <w:p w14:paraId="168E80FC" w14:textId="5DEF21E1" w:rsidR="00E2759A" w:rsidRPr="00472130" w:rsidRDefault="00820713" w:rsidP="00E2759A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 w:rsidRPr="00472130">
        <w:rPr>
          <w:rFonts w:cs="Arial"/>
        </w:rPr>
        <w:t xml:space="preserve">Provide leadership </w:t>
      </w:r>
      <w:r w:rsidR="000F56EF" w:rsidRPr="00472130">
        <w:rPr>
          <w:rFonts w:cs="Arial"/>
        </w:rPr>
        <w:t xml:space="preserve">and direction to the team </w:t>
      </w:r>
      <w:r w:rsidR="00B56B73" w:rsidRPr="00472130">
        <w:rPr>
          <w:rFonts w:cs="Arial"/>
        </w:rPr>
        <w:t xml:space="preserve">and support </w:t>
      </w:r>
      <w:r w:rsidR="009C1E98" w:rsidRPr="00472130">
        <w:rPr>
          <w:rFonts w:cs="Arial"/>
        </w:rPr>
        <w:t>direct reports</w:t>
      </w:r>
      <w:r w:rsidR="00B56B73" w:rsidRPr="00472130">
        <w:rPr>
          <w:rFonts w:cs="Arial"/>
        </w:rPr>
        <w:t xml:space="preserve"> to set clear objectives</w:t>
      </w:r>
      <w:r w:rsidR="000F56EF" w:rsidRPr="00472130">
        <w:rPr>
          <w:rFonts w:cs="Arial"/>
        </w:rPr>
        <w:t>, assess performance and provide feedback</w:t>
      </w:r>
      <w:r w:rsidR="00472130" w:rsidRPr="00472130">
        <w:rPr>
          <w:rFonts w:cs="Arial"/>
        </w:rPr>
        <w:t xml:space="preserve">; </w:t>
      </w:r>
      <w:r w:rsidR="00FC55F6" w:rsidRPr="00472130">
        <w:rPr>
          <w:rFonts w:cs="Arial"/>
        </w:rPr>
        <w:t>develop and coach their teams to deliver on th</w:t>
      </w:r>
      <w:r w:rsidR="00725626" w:rsidRPr="00472130">
        <w:rPr>
          <w:rFonts w:cs="Arial"/>
        </w:rPr>
        <w:t>eir work objectives</w:t>
      </w:r>
      <w:r w:rsidR="00472130" w:rsidRPr="00472130">
        <w:rPr>
          <w:rFonts w:cs="Arial"/>
        </w:rPr>
        <w:t xml:space="preserve">; </w:t>
      </w:r>
      <w:r w:rsidR="00E2759A" w:rsidRPr="00472130">
        <w:rPr>
          <w:rFonts w:cs="Arial"/>
        </w:rPr>
        <w:lastRenderedPageBreak/>
        <w:t>and</w:t>
      </w:r>
      <w:r w:rsidR="00472130" w:rsidRPr="00472130">
        <w:rPr>
          <w:rFonts w:cs="Arial"/>
        </w:rPr>
        <w:t xml:space="preserve"> </w:t>
      </w:r>
      <w:r w:rsidR="004A6664" w:rsidRPr="00472130">
        <w:rPr>
          <w:rFonts w:cs="Arial"/>
        </w:rPr>
        <w:t>manage resourcing across the team to ensure equity of workload and appro</w:t>
      </w:r>
      <w:r w:rsidR="00BE740B" w:rsidRPr="00472130">
        <w:rPr>
          <w:rFonts w:cs="Arial"/>
        </w:rPr>
        <w:t>priate support to the Department.</w:t>
      </w:r>
    </w:p>
    <w:p w14:paraId="182D669E" w14:textId="4455C9AE" w:rsidR="00FC39BC" w:rsidRDefault="007F7077" w:rsidP="00CE3853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 w:rsidRPr="00FA705E">
        <w:rPr>
          <w:rFonts w:cs="Arial"/>
        </w:rPr>
        <w:t xml:space="preserve">Provide </w:t>
      </w:r>
      <w:r w:rsidR="00B01724" w:rsidRPr="00FA705E">
        <w:rPr>
          <w:rFonts w:cs="Arial"/>
        </w:rPr>
        <w:t xml:space="preserve">specialist expert and </w:t>
      </w:r>
      <w:r w:rsidR="00FA705E" w:rsidRPr="00FA705E">
        <w:rPr>
          <w:rFonts w:cs="Arial"/>
        </w:rPr>
        <w:t>data-led</w:t>
      </w:r>
      <w:r w:rsidR="00B01724" w:rsidRPr="00FA705E">
        <w:rPr>
          <w:rFonts w:cs="Arial"/>
        </w:rPr>
        <w:t xml:space="preserve"> recruitment </w:t>
      </w:r>
      <w:r w:rsidR="004A714C" w:rsidRPr="00FA705E">
        <w:rPr>
          <w:rFonts w:cs="Arial"/>
        </w:rPr>
        <w:t xml:space="preserve">advice to stakeholders </w:t>
      </w:r>
      <w:r w:rsidR="00477570" w:rsidRPr="00FA705E">
        <w:rPr>
          <w:rFonts w:cs="Arial"/>
        </w:rPr>
        <w:t>to</w:t>
      </w:r>
      <w:r w:rsidR="00EC7BF5" w:rsidRPr="00FA705E">
        <w:rPr>
          <w:rFonts w:cs="Arial"/>
        </w:rPr>
        <w:t xml:space="preserve"> </w:t>
      </w:r>
      <w:r w:rsidR="00DA574B" w:rsidRPr="00FA705E">
        <w:rPr>
          <w:rFonts w:cs="Arial"/>
        </w:rPr>
        <w:t xml:space="preserve">ensure an </w:t>
      </w:r>
      <w:r w:rsidR="003467F5" w:rsidRPr="00FA705E">
        <w:rPr>
          <w:rFonts w:cs="Arial"/>
        </w:rPr>
        <w:t xml:space="preserve">outstanding </w:t>
      </w:r>
      <w:r w:rsidR="00DA574B" w:rsidRPr="00FA705E">
        <w:rPr>
          <w:rFonts w:cs="Arial"/>
        </w:rPr>
        <w:t xml:space="preserve">recruitment experience for both </w:t>
      </w:r>
      <w:r w:rsidR="00FC39BC">
        <w:rPr>
          <w:rFonts w:cs="Arial"/>
        </w:rPr>
        <w:t>h</w:t>
      </w:r>
      <w:r w:rsidR="00DA574B" w:rsidRPr="00FA705E">
        <w:rPr>
          <w:rFonts w:cs="Arial"/>
        </w:rPr>
        <w:t xml:space="preserve">iring </w:t>
      </w:r>
      <w:r w:rsidR="00FC39BC">
        <w:rPr>
          <w:rFonts w:cs="Arial"/>
        </w:rPr>
        <w:t>m</w:t>
      </w:r>
      <w:r w:rsidR="00DA574B" w:rsidRPr="00FA705E">
        <w:rPr>
          <w:rFonts w:cs="Arial"/>
        </w:rPr>
        <w:t xml:space="preserve">anagers and </w:t>
      </w:r>
      <w:r w:rsidR="00FC39BC">
        <w:rPr>
          <w:rFonts w:cs="Arial"/>
        </w:rPr>
        <w:t>c</w:t>
      </w:r>
      <w:r w:rsidR="00DA574B" w:rsidRPr="00FA705E">
        <w:rPr>
          <w:rFonts w:cs="Arial"/>
        </w:rPr>
        <w:t>andidates</w:t>
      </w:r>
      <w:r w:rsidR="00FC39BC">
        <w:rPr>
          <w:rFonts w:cs="Arial"/>
        </w:rPr>
        <w:t>,</w:t>
      </w:r>
      <w:r w:rsidR="003467F5" w:rsidRPr="00FA705E">
        <w:rPr>
          <w:rFonts w:cs="Arial"/>
        </w:rPr>
        <w:t xml:space="preserve"> mitigating </w:t>
      </w:r>
      <w:proofErr w:type="gramStart"/>
      <w:r w:rsidR="003467F5" w:rsidRPr="00FA705E">
        <w:rPr>
          <w:rFonts w:cs="Arial"/>
        </w:rPr>
        <w:t>risks</w:t>
      </w:r>
      <w:proofErr w:type="gramEnd"/>
      <w:r w:rsidR="003467F5" w:rsidRPr="00FA705E">
        <w:rPr>
          <w:rFonts w:cs="Arial"/>
        </w:rPr>
        <w:t xml:space="preserve"> and ensuring the integrity of the </w:t>
      </w:r>
      <w:r w:rsidR="002C496A" w:rsidRPr="00FA705E">
        <w:rPr>
          <w:rFonts w:cs="Arial"/>
        </w:rPr>
        <w:t>recruitment process</w:t>
      </w:r>
      <w:r w:rsidR="000A51A9">
        <w:rPr>
          <w:rFonts w:cs="Arial"/>
        </w:rPr>
        <w:t xml:space="preserve">. </w:t>
      </w:r>
    </w:p>
    <w:p w14:paraId="2407C717" w14:textId="212BBD71" w:rsidR="007F7077" w:rsidRPr="00FA705E" w:rsidRDefault="000A51A9" w:rsidP="00CE3853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rPr>
          <w:rFonts w:cs="Arial"/>
        </w:rPr>
        <w:t>C</w:t>
      </w:r>
      <w:r w:rsidR="005B1352">
        <w:rPr>
          <w:rFonts w:cs="Arial"/>
        </w:rPr>
        <w:t>ollaborate</w:t>
      </w:r>
      <w:r w:rsidR="00EB6919" w:rsidRPr="00FA705E">
        <w:rPr>
          <w:rFonts w:cs="Arial"/>
        </w:rPr>
        <w:t xml:space="preserve"> with </w:t>
      </w:r>
      <w:r w:rsidR="00FC39BC">
        <w:rPr>
          <w:rFonts w:cs="Arial"/>
        </w:rPr>
        <w:t>h</w:t>
      </w:r>
      <w:r w:rsidR="004C001F" w:rsidRPr="00FA705E">
        <w:rPr>
          <w:rFonts w:cs="Arial"/>
        </w:rPr>
        <w:t xml:space="preserve">iring </w:t>
      </w:r>
      <w:r w:rsidR="00FC39BC">
        <w:rPr>
          <w:rFonts w:cs="Arial"/>
        </w:rPr>
        <w:t>m</w:t>
      </w:r>
      <w:r w:rsidR="004C001F" w:rsidRPr="00FA705E">
        <w:rPr>
          <w:rFonts w:cs="Arial"/>
        </w:rPr>
        <w:t xml:space="preserve">anagers and </w:t>
      </w:r>
      <w:r w:rsidR="00EB6919" w:rsidRPr="00FA705E">
        <w:rPr>
          <w:rFonts w:cs="Arial"/>
        </w:rPr>
        <w:t xml:space="preserve">the wider People and Culture team to manage and </w:t>
      </w:r>
      <w:r w:rsidR="00FC39BC">
        <w:rPr>
          <w:rFonts w:cs="Arial"/>
        </w:rPr>
        <w:t xml:space="preserve">provide </w:t>
      </w:r>
      <w:r w:rsidR="004C001F" w:rsidRPr="00FA705E">
        <w:rPr>
          <w:rFonts w:cs="Arial"/>
        </w:rPr>
        <w:t>solution</w:t>
      </w:r>
      <w:r w:rsidR="00FC39BC">
        <w:rPr>
          <w:rFonts w:cs="Arial"/>
        </w:rPr>
        <w:t>s</w:t>
      </w:r>
      <w:r w:rsidR="004C001F" w:rsidRPr="00FA705E">
        <w:rPr>
          <w:rFonts w:cs="Arial"/>
        </w:rPr>
        <w:t xml:space="preserve"> for</w:t>
      </w:r>
      <w:r w:rsidR="00EB6919" w:rsidRPr="00FA705E">
        <w:rPr>
          <w:rFonts w:cs="Arial"/>
        </w:rPr>
        <w:t xml:space="preserve"> escalations</w:t>
      </w:r>
      <w:r w:rsidR="00E2126D">
        <w:rPr>
          <w:rFonts w:cs="Arial"/>
        </w:rPr>
        <w:t xml:space="preserve"> and</w:t>
      </w:r>
      <w:r w:rsidR="00E2126D" w:rsidRPr="00D168A6">
        <w:t xml:space="preserve"> deliver a service orientated, innovative and proactive recruitment service.</w:t>
      </w:r>
    </w:p>
    <w:p w14:paraId="6923E0BD" w14:textId="5D94B83A" w:rsidR="00184DEB" w:rsidRPr="003966DA" w:rsidRDefault="00184DEB" w:rsidP="003966DA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rPr>
          <w:rFonts w:cs="Arial"/>
        </w:rPr>
        <w:t xml:space="preserve">Lead </w:t>
      </w:r>
      <w:r w:rsidR="005F573E">
        <w:rPr>
          <w:rFonts w:cs="Arial"/>
        </w:rPr>
        <w:t>annual recruitment planning by working closely with leaders across the Department</w:t>
      </w:r>
      <w:r w:rsidR="00710661">
        <w:rPr>
          <w:rFonts w:cs="Arial"/>
        </w:rPr>
        <w:t xml:space="preserve"> </w:t>
      </w:r>
      <w:r w:rsidR="00E83B06">
        <w:rPr>
          <w:rFonts w:cs="Arial"/>
        </w:rPr>
        <w:t xml:space="preserve">and Strategic HR Projects Group </w:t>
      </w:r>
      <w:r w:rsidR="005F573E">
        <w:rPr>
          <w:rFonts w:cs="Arial"/>
        </w:rPr>
        <w:t xml:space="preserve">to understand future recruitment </w:t>
      </w:r>
      <w:r w:rsidR="005A5F47">
        <w:rPr>
          <w:rFonts w:cs="Arial"/>
        </w:rPr>
        <w:t>requirements</w:t>
      </w:r>
      <w:r w:rsidR="005F573E">
        <w:rPr>
          <w:rFonts w:cs="Arial"/>
        </w:rPr>
        <w:t xml:space="preserve"> </w:t>
      </w:r>
      <w:r w:rsidR="00FC39BC">
        <w:rPr>
          <w:rFonts w:cs="Arial"/>
        </w:rPr>
        <w:t>and</w:t>
      </w:r>
      <w:r w:rsidR="005F573E">
        <w:rPr>
          <w:rFonts w:cs="Arial"/>
        </w:rPr>
        <w:t xml:space="preserve"> design and implement </w:t>
      </w:r>
      <w:r w:rsidR="00710661">
        <w:rPr>
          <w:rFonts w:cs="Arial"/>
        </w:rPr>
        <w:t xml:space="preserve">proactive </w:t>
      </w:r>
      <w:r w:rsidR="005A5F47">
        <w:rPr>
          <w:rFonts w:cs="Arial"/>
        </w:rPr>
        <w:t xml:space="preserve">recruitment solutions </w:t>
      </w:r>
      <w:r w:rsidR="003D3729">
        <w:rPr>
          <w:rFonts w:cs="Arial"/>
        </w:rPr>
        <w:t xml:space="preserve">to address demand. </w:t>
      </w:r>
    </w:p>
    <w:p w14:paraId="6E4F7B7A" w14:textId="696F20D9" w:rsidR="00F8194E" w:rsidRPr="006754C7" w:rsidRDefault="00F8194E" w:rsidP="00F8194E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 w:rsidRPr="00F8194E">
        <w:t>Drive a continuous improvement program to ensure all recruitment processes, technologies and practices provide consistent high-quality outcomes which are compliant with government and legislative requirements</w:t>
      </w:r>
      <w:r w:rsidR="00273524">
        <w:t xml:space="preserve"> and build and maintain relationships with external </w:t>
      </w:r>
      <w:proofErr w:type="spellStart"/>
      <w:r w:rsidR="00273524">
        <w:t>organisations</w:t>
      </w:r>
      <w:proofErr w:type="spellEnd"/>
      <w:r w:rsidR="00273524">
        <w:t xml:space="preserve"> such as other government agencies, search firms and the private </w:t>
      </w:r>
      <w:r w:rsidR="00B944DD">
        <w:t>sector to</w:t>
      </w:r>
      <w:r w:rsidR="00273524">
        <w:t xml:space="preserve"> identify partnership opportunities and to ensure recruitment services embrace best practice</w:t>
      </w:r>
      <w:r w:rsidR="008C7FDE">
        <w:t xml:space="preserve">. </w:t>
      </w:r>
    </w:p>
    <w:p w14:paraId="4A542F46" w14:textId="63C0F719" w:rsidR="006754C7" w:rsidRPr="003C3E76" w:rsidRDefault="006754C7" w:rsidP="00F8194E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 w:rsidRPr="003C3E76">
        <w:t xml:space="preserve">Provide input and oversight to the Recruitment budget ensuring </w:t>
      </w:r>
      <w:r w:rsidR="008841BF" w:rsidRPr="003C3E76">
        <w:t>optimized investment in the rights tools and technologies and the effective management of t</w:t>
      </w:r>
      <w:r w:rsidR="008A1197" w:rsidRPr="003C3E76">
        <w:t xml:space="preserve">eam resources. </w:t>
      </w:r>
    </w:p>
    <w:p w14:paraId="0810668D" w14:textId="2D6C60AA" w:rsidR="00CE3853" w:rsidRPr="00E2126D" w:rsidRDefault="00CE3853" w:rsidP="00CE3853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 w:rsidRPr="00D168A6">
        <w:t xml:space="preserve">Develop and implement reporting tools and indicators to identify insights and provide intelligence </w:t>
      </w:r>
      <w:r w:rsidR="00591AD8">
        <w:t>for</w:t>
      </w:r>
      <w:r w:rsidR="00591AD8" w:rsidRPr="00D168A6">
        <w:t xml:space="preserve"> </w:t>
      </w:r>
      <w:r w:rsidRPr="00D168A6">
        <w:t>recruitment related activities and monitor, review and evaluate recruitment activities to provide evidence-based recommendations to improve processes and efficiency in recruitment service.</w:t>
      </w:r>
    </w:p>
    <w:p w14:paraId="39597A90" w14:textId="77777777"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Key challenges</w:t>
      </w:r>
    </w:p>
    <w:p w14:paraId="39597A91" w14:textId="718AD218" w:rsidR="0036421D" w:rsidRPr="0036421D" w:rsidRDefault="007E77DC" w:rsidP="0036421D">
      <w:pPr>
        <w:pStyle w:val="ListParagraph"/>
        <w:numPr>
          <w:ilvl w:val="0"/>
          <w:numId w:val="11"/>
        </w:numPr>
        <w:tabs>
          <w:tab w:val="left" w:pos="2925"/>
        </w:tabs>
        <w:rPr>
          <w:rFonts w:ascii="Georgia" w:hAnsi="Georgia"/>
        </w:rPr>
      </w:pPr>
      <w:r>
        <w:t xml:space="preserve">Influencing and negotiating with high level stakeholders </w:t>
      </w:r>
      <w:r w:rsidR="00591AD8">
        <w:t xml:space="preserve">to encourage their engagement </w:t>
      </w:r>
      <w:r>
        <w:t>with a ra</w:t>
      </w:r>
      <w:r w:rsidR="00591AD8">
        <w:t>n</w:t>
      </w:r>
      <w:r>
        <w:t>ge of People and Culture initiatives and processes</w:t>
      </w:r>
      <w:r w:rsidR="00591AD8">
        <w:t>,</w:t>
      </w:r>
      <w:r>
        <w:t xml:space="preserve"> whilst modelling the highest standards of ethical </w:t>
      </w:r>
      <w:proofErr w:type="spellStart"/>
      <w:r>
        <w:t>behaviour</w:t>
      </w:r>
      <w:proofErr w:type="spellEnd"/>
      <w:r>
        <w:t xml:space="preserve">, </w:t>
      </w:r>
      <w:proofErr w:type="gramStart"/>
      <w:r>
        <w:t>confidentiality</w:t>
      </w:r>
      <w:proofErr w:type="gramEnd"/>
      <w:r>
        <w:t xml:space="preserve"> and discretion.</w:t>
      </w:r>
    </w:p>
    <w:p w14:paraId="39597A92" w14:textId="74E2F81F" w:rsidR="0036421D" w:rsidRPr="0036421D" w:rsidRDefault="007E77DC" w:rsidP="0036421D">
      <w:pPr>
        <w:pStyle w:val="ListParagraph"/>
        <w:numPr>
          <w:ilvl w:val="0"/>
          <w:numId w:val="11"/>
        </w:numPr>
        <w:tabs>
          <w:tab w:val="left" w:pos="2925"/>
        </w:tabs>
        <w:rPr>
          <w:rFonts w:ascii="Georgia" w:hAnsi="Georgia"/>
        </w:rPr>
      </w:pPr>
      <w:r>
        <w:t xml:space="preserve">Balancing </w:t>
      </w:r>
      <w:r w:rsidR="00FF458C">
        <w:t xml:space="preserve">a </w:t>
      </w:r>
      <w:r>
        <w:t xml:space="preserve">high volume </w:t>
      </w:r>
      <w:r w:rsidR="00FF458C">
        <w:t xml:space="preserve">of </w:t>
      </w:r>
      <w:r>
        <w:t xml:space="preserve">complex </w:t>
      </w:r>
      <w:r w:rsidR="00FF458C">
        <w:t xml:space="preserve">current and future </w:t>
      </w:r>
      <w:r>
        <w:t xml:space="preserve">recruitment activities, </w:t>
      </w:r>
      <w:r w:rsidR="00FF458C">
        <w:t xml:space="preserve">whilst </w:t>
      </w:r>
      <w:r w:rsidR="00FC155D">
        <w:t>developing and implementing</w:t>
      </w:r>
      <w:r w:rsidR="008218C1">
        <w:t xml:space="preserve"> </w:t>
      </w:r>
      <w:r>
        <w:t>targeted recruitment initiatives</w:t>
      </w:r>
      <w:r w:rsidR="008218C1">
        <w:t xml:space="preserve"> and strategies</w:t>
      </w:r>
      <w:r>
        <w:t xml:space="preserve"> to address </w:t>
      </w:r>
      <w:r w:rsidR="009D150C">
        <w:t>short and long-term</w:t>
      </w:r>
      <w:r>
        <w:t xml:space="preserve"> capability requirements </w:t>
      </w:r>
      <w:r w:rsidR="00FF458C">
        <w:t xml:space="preserve">across </w:t>
      </w:r>
      <w:r>
        <w:t xml:space="preserve">the </w:t>
      </w:r>
      <w:r w:rsidR="009D150C">
        <w:t>department</w:t>
      </w:r>
      <w:r w:rsidR="0036421D">
        <w:t>.</w:t>
      </w:r>
    </w:p>
    <w:p w14:paraId="39597A93" w14:textId="4255A1F7" w:rsidR="003927AE" w:rsidRPr="0036421D" w:rsidRDefault="007E77DC" w:rsidP="0036421D">
      <w:pPr>
        <w:pStyle w:val="ListParagraph"/>
        <w:numPr>
          <w:ilvl w:val="0"/>
          <w:numId w:val="11"/>
        </w:numPr>
        <w:tabs>
          <w:tab w:val="left" w:pos="2925"/>
        </w:tabs>
        <w:rPr>
          <w:rFonts w:ascii="Georgia" w:hAnsi="Georgia"/>
        </w:rPr>
      </w:pPr>
      <w:r>
        <w:t xml:space="preserve">Managing </w:t>
      </w:r>
      <w:r w:rsidR="00FF458C">
        <w:t xml:space="preserve">and driving </w:t>
      </w:r>
      <w:r>
        <w:t>change to continuously improve and streamline service delivery</w:t>
      </w:r>
      <w:r w:rsidR="00FF458C">
        <w:t>, ensuring alignment</w:t>
      </w:r>
      <w:r>
        <w:t xml:space="preserve"> to strategic workforce plans.</w:t>
      </w:r>
      <w:r>
        <w:br/>
      </w:r>
    </w:p>
    <w:p w14:paraId="39597A94" w14:textId="77777777" w:rsidR="003927AE" w:rsidRPr="00EC5C1D" w:rsidRDefault="003927AE" w:rsidP="003927AE">
      <w:pPr>
        <w:tabs>
          <w:tab w:val="left" w:pos="2925"/>
        </w:tabs>
        <w:spacing w:line="240" w:lineRule="auto"/>
        <w:rPr>
          <w:rFonts w:ascii="Georgia" w:hAnsi="Georgia"/>
          <w:b/>
          <w:sz w:val="28"/>
        </w:rPr>
      </w:pPr>
      <w:r w:rsidRPr="00614552">
        <w:rPr>
          <w:rStyle w:val="Heading1Char"/>
        </w:rPr>
        <w:t>Key relationships</w:t>
      </w:r>
    </w:p>
    <w:tbl>
      <w:tblPr>
        <w:tblStyle w:val="PSCPurple"/>
        <w:tblW w:w="10857" w:type="dxa"/>
        <w:tblLayout w:type="fixed"/>
        <w:tblLook w:val="04A0" w:firstRow="1" w:lastRow="0" w:firstColumn="1" w:lastColumn="0" w:noHBand="0" w:noVBand="1"/>
        <w:tblCaption w:val="PSC_Key_RelationshipsTable"/>
        <w:tblDescription w:val="PSC_Key_RelationshipsTable"/>
      </w:tblPr>
      <w:tblGrid>
        <w:gridCol w:w="3601"/>
        <w:gridCol w:w="7256"/>
      </w:tblGrid>
      <w:tr w:rsidR="003927AE" w:rsidRPr="00C978B9" w14:paraId="39597A97" w14:textId="77777777" w:rsidTr="00FC3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601" w:type="dxa"/>
          </w:tcPr>
          <w:p w14:paraId="39597A95" w14:textId="77777777" w:rsidR="003927AE" w:rsidRPr="00C978B9" w:rsidRDefault="003927AE" w:rsidP="00A72C86">
            <w:pPr>
              <w:pStyle w:val="TableTextWhite0"/>
            </w:pPr>
            <w:r w:rsidRPr="00C978B9">
              <w:t>Who</w:t>
            </w:r>
          </w:p>
        </w:tc>
        <w:tc>
          <w:tcPr>
            <w:tcW w:w="7256" w:type="dxa"/>
          </w:tcPr>
          <w:p w14:paraId="39597A96" w14:textId="6A335F5D" w:rsidR="003927AE" w:rsidRPr="00C978B9" w:rsidRDefault="003927AE" w:rsidP="00A72C86">
            <w:pPr>
              <w:pStyle w:val="TableTextWhite0"/>
            </w:pPr>
            <w:r w:rsidRPr="00C978B9">
              <w:t>Why</w:t>
            </w:r>
          </w:p>
        </w:tc>
      </w:tr>
      <w:tr w:rsidR="003927AE" w:rsidRPr="00A8245E" w14:paraId="39597A9A" w14:textId="77777777" w:rsidTr="00FC39BC">
        <w:trPr>
          <w:cantSplit/>
        </w:trPr>
        <w:tc>
          <w:tcPr>
            <w:tcW w:w="3601" w:type="dxa"/>
            <w:shd w:val="clear" w:color="auto" w:fill="BCBEC0"/>
          </w:tcPr>
          <w:p w14:paraId="39597A98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Internal</w:t>
            </w:r>
          </w:p>
        </w:tc>
        <w:tc>
          <w:tcPr>
            <w:tcW w:w="7256" w:type="dxa"/>
            <w:shd w:val="clear" w:color="auto" w:fill="BCBEC0"/>
          </w:tcPr>
          <w:p w14:paraId="39597A99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14:paraId="39597A9E" w14:textId="77777777" w:rsidTr="00FC39BC">
        <w:trPr>
          <w:cantSplit/>
        </w:trPr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39597A9B" w14:textId="6E95FA65" w:rsidR="003927AE" w:rsidRPr="00A15CDB" w:rsidRDefault="003927AE" w:rsidP="00A72C86">
            <w:pPr>
              <w:pStyle w:val="TableText"/>
            </w:pPr>
            <w:r>
              <w:t>Director Talent Acquisition</w:t>
            </w:r>
            <w:r w:rsidR="00DE2130">
              <w:t xml:space="preserve"> and Strategy 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39597A9C" w14:textId="77777777" w:rsidR="0036421D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Collaborate on strategic and operational issues, undertake business planning and evaluate performance against identified key result </w:t>
            </w:r>
            <w:proofErr w:type="gramStart"/>
            <w:r>
              <w:t>areas</w:t>
            </w:r>
            <w:proofErr w:type="gramEnd"/>
          </w:p>
          <w:p w14:paraId="39597A9D" w14:textId="1A9AD935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Provide information regarding </w:t>
            </w:r>
            <w:r w:rsidR="004064D7">
              <w:t xml:space="preserve">resourcing, budget, </w:t>
            </w:r>
            <w:r>
              <w:t>critical issues and status of projects and strategies</w:t>
            </w:r>
          </w:p>
        </w:tc>
      </w:tr>
      <w:tr w:rsidR="003927AE" w:rsidRPr="00C978B9" w14:paraId="39597AA2" w14:textId="77777777" w:rsidTr="00FC39BC">
        <w:trPr>
          <w:cantSplit/>
        </w:trPr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39597A9F" w14:textId="77777777" w:rsidR="003927AE" w:rsidRPr="00A15CDB" w:rsidRDefault="003927AE" w:rsidP="00A72C86">
            <w:pPr>
              <w:pStyle w:val="TableText"/>
            </w:pPr>
            <w:r>
              <w:t>Hiring Managers, Senior Executives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39597AA0" w14:textId="77777777" w:rsidR="0036421D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Partner to coordinate and deliver client-centric recruitment process </w:t>
            </w:r>
            <w:proofErr w:type="gramStart"/>
            <w:r>
              <w:t>management</w:t>
            </w:r>
            <w:proofErr w:type="gramEnd"/>
            <w:r>
              <w:t xml:space="preserve"> </w:t>
            </w:r>
          </w:p>
          <w:p w14:paraId="39597AA1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expert recruitment advice, guidance and support Coach and guide to develop organisational capability</w:t>
            </w:r>
          </w:p>
        </w:tc>
      </w:tr>
      <w:tr w:rsidR="003927AE" w:rsidRPr="00C978B9" w14:paraId="39597AB3" w14:textId="77777777" w:rsidTr="00FC39BC">
        <w:trPr>
          <w:cantSplit/>
        </w:trPr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39597AA3" w14:textId="77777777" w:rsidR="003927AE" w:rsidRDefault="003927AE" w:rsidP="00A72C86">
            <w:pPr>
              <w:pStyle w:val="TableText"/>
            </w:pPr>
            <w:r>
              <w:lastRenderedPageBreak/>
              <w:t>Team</w:t>
            </w:r>
          </w:p>
          <w:p w14:paraId="39597AAC" w14:textId="77777777" w:rsidR="0036421D" w:rsidRPr="0036421D" w:rsidRDefault="0036421D" w:rsidP="00F0206D"/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39597AAD" w14:textId="77777777" w:rsidR="0036421D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Inspire and motivate team, provide direction and manage </w:t>
            </w:r>
            <w:proofErr w:type="gramStart"/>
            <w:r>
              <w:t>performance</w:t>
            </w:r>
            <w:proofErr w:type="gramEnd"/>
          </w:p>
          <w:p w14:paraId="39597AAE" w14:textId="77777777" w:rsidR="0036421D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Encourage and support team to work collaboratively to achieve business outcomes for </w:t>
            </w:r>
            <w:proofErr w:type="gramStart"/>
            <w:r>
              <w:t>clients</w:t>
            </w:r>
            <w:proofErr w:type="gramEnd"/>
          </w:p>
          <w:p w14:paraId="39597AB2" w14:textId="3035D07B" w:rsidR="0036421D" w:rsidRPr="0036421D" w:rsidRDefault="003927AE" w:rsidP="007345B9">
            <w:pPr>
              <w:pStyle w:val="TableText"/>
              <w:numPr>
                <w:ilvl w:val="0"/>
                <w:numId w:val="3"/>
              </w:numPr>
            </w:pPr>
            <w:r>
              <w:t>Lead discussions and decisions regarding implementation of innovation and best practice</w:t>
            </w:r>
          </w:p>
        </w:tc>
      </w:tr>
      <w:tr w:rsidR="003927AE" w:rsidRPr="00A8245E" w14:paraId="39597AB6" w14:textId="77777777" w:rsidTr="00FC39BC">
        <w:trPr>
          <w:cantSplit/>
        </w:trPr>
        <w:tc>
          <w:tcPr>
            <w:tcW w:w="3601" w:type="dxa"/>
            <w:shd w:val="clear" w:color="auto" w:fill="BCBEC0"/>
          </w:tcPr>
          <w:p w14:paraId="39597AB4" w14:textId="797A0010"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External</w:t>
            </w:r>
          </w:p>
        </w:tc>
        <w:tc>
          <w:tcPr>
            <w:tcW w:w="7256" w:type="dxa"/>
            <w:shd w:val="clear" w:color="auto" w:fill="BCBEC0"/>
          </w:tcPr>
          <w:p w14:paraId="39597AB5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14:paraId="39597ABA" w14:textId="77777777" w:rsidTr="00FC39BC">
        <w:trPr>
          <w:cantSplit/>
        </w:trPr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39597AB7" w14:textId="71D42696" w:rsidR="003927AE" w:rsidRPr="00A15CDB" w:rsidRDefault="0009388A" w:rsidP="00A72C86">
            <w:pPr>
              <w:pStyle w:val="TableText"/>
            </w:pPr>
            <w:r>
              <w:t xml:space="preserve">Office of the </w:t>
            </w:r>
            <w:r w:rsidR="003927AE">
              <w:t>Public Service Commission and central agencies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39597AB8" w14:textId="77777777" w:rsidR="0036421D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Obtain information and advice on the delivery of recruitment </w:t>
            </w:r>
            <w:proofErr w:type="gramStart"/>
            <w:r>
              <w:t>activities</w:t>
            </w:r>
            <w:proofErr w:type="gramEnd"/>
          </w:p>
          <w:p w14:paraId="39597AB9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Collaborate and share information Identify opportunities for partnering to address current and future recruitment needs</w:t>
            </w:r>
          </w:p>
        </w:tc>
      </w:tr>
      <w:tr w:rsidR="003927AE" w:rsidRPr="00C978B9" w14:paraId="39597ABE" w14:textId="77777777" w:rsidTr="00FC39BC">
        <w:trPr>
          <w:cantSplit/>
        </w:trPr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39597ABB" w14:textId="77777777" w:rsidR="003927AE" w:rsidRPr="00A15CDB" w:rsidRDefault="003927AE" w:rsidP="00A72C86">
            <w:pPr>
              <w:pStyle w:val="TableText"/>
            </w:pPr>
            <w:r>
              <w:t>Specialist recruitment agencies, service providers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39597ABC" w14:textId="77777777" w:rsidR="0036421D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Act as a conduit between external agencies and hiring managers to ensure the consistent provision of advice of </w:t>
            </w:r>
            <w:proofErr w:type="gramStart"/>
            <w:r>
              <w:t>service</w:t>
            </w:r>
            <w:proofErr w:type="gramEnd"/>
          </w:p>
          <w:p w14:paraId="39597ABD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Manage relationships and expectations</w:t>
            </w:r>
          </w:p>
        </w:tc>
      </w:tr>
    </w:tbl>
    <w:p w14:paraId="39597ABF" w14:textId="77777777" w:rsidR="003927AE" w:rsidRDefault="003927AE" w:rsidP="003927AE"/>
    <w:p w14:paraId="39597AC0" w14:textId="77777777" w:rsidR="003927AE" w:rsidRDefault="003927AE" w:rsidP="003927AE">
      <w:pPr>
        <w:pStyle w:val="Heading1"/>
        <w:rPr>
          <w:sz w:val="28"/>
        </w:rPr>
      </w:pPr>
      <w:r w:rsidRPr="00614552">
        <w:t>Role dimensions</w:t>
      </w:r>
    </w:p>
    <w:p w14:paraId="39597AC1" w14:textId="77777777" w:rsidR="003927AE" w:rsidRPr="00614552" w:rsidRDefault="003927AE" w:rsidP="003927AE">
      <w:pPr>
        <w:pStyle w:val="Heading2"/>
      </w:pPr>
      <w:r w:rsidRPr="00614552">
        <w:t>Decision making</w:t>
      </w:r>
    </w:p>
    <w:p w14:paraId="39597AC2" w14:textId="77777777" w:rsidR="0036421D" w:rsidRPr="0036421D" w:rsidRDefault="003927AE" w:rsidP="0036421D">
      <w:pPr>
        <w:pStyle w:val="ListParagraph"/>
        <w:numPr>
          <w:ilvl w:val="0"/>
          <w:numId w:val="12"/>
        </w:numPr>
        <w:rPr>
          <w:rFonts w:cs="Arial"/>
          <w:szCs w:val="26"/>
        </w:rPr>
      </w:pPr>
      <w:r>
        <w:t>Acts independently in planning, leading and determining the priorities for work of the team.</w:t>
      </w:r>
    </w:p>
    <w:p w14:paraId="39597AC3" w14:textId="77777777" w:rsidR="0036421D" w:rsidRPr="0036421D" w:rsidRDefault="003927AE" w:rsidP="0036421D">
      <w:pPr>
        <w:pStyle w:val="ListParagraph"/>
        <w:numPr>
          <w:ilvl w:val="0"/>
          <w:numId w:val="12"/>
        </w:numPr>
        <w:rPr>
          <w:rFonts w:cs="Arial"/>
          <w:szCs w:val="26"/>
        </w:rPr>
      </w:pPr>
      <w:proofErr w:type="spellStart"/>
      <w:r>
        <w:t>Prioritises</w:t>
      </w:r>
      <w:proofErr w:type="spellEnd"/>
      <w:r>
        <w:t xml:space="preserve"> and manages multiple tasks and demands including matters with critical turnaround times required by internal clients has autonomy to </w:t>
      </w:r>
      <w:proofErr w:type="gramStart"/>
      <w:r>
        <w:t>deliver</w:t>
      </w:r>
      <w:proofErr w:type="gramEnd"/>
    </w:p>
    <w:p w14:paraId="39597AC4" w14:textId="77777777" w:rsidR="0036421D" w:rsidRPr="0036421D" w:rsidRDefault="003927AE" w:rsidP="0036421D">
      <w:pPr>
        <w:pStyle w:val="ListParagraph"/>
        <w:numPr>
          <w:ilvl w:val="0"/>
          <w:numId w:val="12"/>
        </w:numPr>
        <w:rPr>
          <w:rFonts w:cs="Arial"/>
          <w:szCs w:val="26"/>
        </w:rPr>
      </w:pPr>
      <w:r>
        <w:t>Makes day to day decisions and provides guidance on appropriate courses of action that might be taken to address issues.</w:t>
      </w:r>
    </w:p>
    <w:p w14:paraId="39597AC5" w14:textId="77777777" w:rsidR="0036421D" w:rsidRPr="0036421D" w:rsidRDefault="003927AE" w:rsidP="0036421D">
      <w:pPr>
        <w:pStyle w:val="ListParagraph"/>
        <w:numPr>
          <w:ilvl w:val="0"/>
          <w:numId w:val="12"/>
        </w:numPr>
        <w:rPr>
          <w:rFonts w:cs="Arial"/>
          <w:szCs w:val="26"/>
        </w:rPr>
      </w:pPr>
      <w:r>
        <w:t>Exercises discretion in determining the approach to work undertaken and is responsible for interpretation and recommendations made.</w:t>
      </w:r>
    </w:p>
    <w:p w14:paraId="39597AC6" w14:textId="77777777" w:rsidR="003927AE" w:rsidRPr="0036421D" w:rsidRDefault="003927AE" w:rsidP="0036421D">
      <w:pPr>
        <w:pStyle w:val="ListParagraph"/>
        <w:numPr>
          <w:ilvl w:val="0"/>
          <w:numId w:val="12"/>
        </w:numPr>
        <w:rPr>
          <w:rFonts w:cs="Arial"/>
          <w:szCs w:val="26"/>
        </w:rPr>
      </w:pPr>
      <w:r>
        <w:t>Refers to the Director those decisions that may have a significant impact or which require a higher delegation</w:t>
      </w:r>
      <w:r>
        <w:br/>
      </w:r>
    </w:p>
    <w:p w14:paraId="39597AC7" w14:textId="77777777" w:rsidR="003927AE" w:rsidRPr="00614552" w:rsidRDefault="003927AE" w:rsidP="003927AE">
      <w:pPr>
        <w:pStyle w:val="Heading2"/>
      </w:pPr>
      <w:r w:rsidRPr="00614552">
        <w:t>Reporting line</w:t>
      </w:r>
    </w:p>
    <w:p w14:paraId="39597AC8" w14:textId="78DEBA73" w:rsidR="003927AE" w:rsidRPr="00603D53" w:rsidRDefault="003927AE" w:rsidP="003927AE">
      <w:pPr>
        <w:rPr>
          <w:rFonts w:cs="Arial"/>
          <w:szCs w:val="26"/>
        </w:rPr>
      </w:pPr>
      <w:r>
        <w:t>Director Talent Acquisition</w:t>
      </w:r>
      <w:r w:rsidR="0021438E">
        <w:t xml:space="preserve"> and Strategy </w:t>
      </w:r>
    </w:p>
    <w:p w14:paraId="39597AC9" w14:textId="77777777" w:rsidR="003927AE" w:rsidRPr="00614552" w:rsidRDefault="003927AE" w:rsidP="003927AE">
      <w:pPr>
        <w:pStyle w:val="Heading2"/>
      </w:pPr>
      <w:r w:rsidRPr="00614552">
        <w:t>Direct reports</w:t>
      </w:r>
    </w:p>
    <w:p w14:paraId="39597ACA" w14:textId="77777777" w:rsidR="003927AE" w:rsidRPr="00603D53" w:rsidRDefault="003927AE" w:rsidP="003927AE">
      <w:pPr>
        <w:rPr>
          <w:rFonts w:cs="Arial"/>
          <w:szCs w:val="26"/>
        </w:rPr>
      </w:pPr>
      <w:r>
        <w:t>2-4 Direct reports</w:t>
      </w:r>
    </w:p>
    <w:p w14:paraId="39597ACB" w14:textId="77777777" w:rsidR="003927AE" w:rsidRPr="00614552" w:rsidRDefault="003927AE" w:rsidP="003927AE">
      <w:pPr>
        <w:pStyle w:val="Heading2"/>
      </w:pPr>
      <w:r w:rsidRPr="00614552">
        <w:t>Budget/Expenditure</w:t>
      </w:r>
    </w:p>
    <w:p w14:paraId="39597ACC" w14:textId="77777777" w:rsidR="003927AE" w:rsidRDefault="003927AE" w:rsidP="003927AE">
      <w:pPr>
        <w:rPr>
          <w:rFonts w:cs="Arial"/>
          <w:szCs w:val="26"/>
        </w:rPr>
      </w:pPr>
      <w:r>
        <w:t>TBC</w:t>
      </w:r>
    </w:p>
    <w:p w14:paraId="5EEA3F41" w14:textId="77777777" w:rsidR="007345B9" w:rsidRDefault="007345B9">
      <w:pPr>
        <w:rPr>
          <w:rStyle w:val="Heading1Char"/>
        </w:rPr>
      </w:pPr>
      <w:r>
        <w:rPr>
          <w:rStyle w:val="Heading1Char"/>
        </w:rPr>
        <w:br w:type="page"/>
      </w:r>
    </w:p>
    <w:p w14:paraId="39597ACD" w14:textId="1B8BD800" w:rsidR="003927AE" w:rsidRDefault="0036421D" w:rsidP="003927AE">
      <w:pPr>
        <w:tabs>
          <w:tab w:val="left" w:pos="2925"/>
        </w:tabs>
        <w:rPr>
          <w:rStyle w:val="Heading1Char"/>
        </w:rPr>
      </w:pPr>
      <w:r>
        <w:rPr>
          <w:rStyle w:val="Heading1Char"/>
        </w:rPr>
        <w:lastRenderedPageBreak/>
        <w:t>Essential requirements</w:t>
      </w:r>
    </w:p>
    <w:p w14:paraId="39597ACE" w14:textId="3893E318" w:rsidR="003927AE" w:rsidRPr="00D42838" w:rsidRDefault="003927AE" w:rsidP="00B9533C">
      <w:pPr>
        <w:pStyle w:val="ListParagraph"/>
        <w:numPr>
          <w:ilvl w:val="0"/>
          <w:numId w:val="15"/>
        </w:numPr>
      </w:pPr>
      <w:r>
        <w:t xml:space="preserve">Substantial experience in </w:t>
      </w:r>
      <w:r w:rsidR="00DF218B">
        <w:t>leading recruitment teams/</w:t>
      </w:r>
      <w:r w:rsidR="00C8325E">
        <w:t xml:space="preserve">functions including </w:t>
      </w:r>
      <w:r w:rsidR="001052E7">
        <w:t xml:space="preserve">the development and implementation of targeted recruitment strategies and the </w:t>
      </w:r>
      <w:r w:rsidR="00B9533C">
        <w:t xml:space="preserve">management and optimization of </w:t>
      </w:r>
      <w:r w:rsidR="00D42838">
        <w:t>a customer service focused team.</w:t>
      </w:r>
      <w:r>
        <w:br/>
      </w:r>
    </w:p>
    <w:p w14:paraId="39597ACF" w14:textId="77777777" w:rsidR="003927AE" w:rsidRPr="00C978B9" w:rsidRDefault="003927AE" w:rsidP="003927AE">
      <w:pPr>
        <w:pStyle w:val="Heading1"/>
      </w:pPr>
      <w:r w:rsidRPr="00C978B9">
        <w:t>Capabilities for the role</w:t>
      </w:r>
    </w:p>
    <w:p w14:paraId="39597AD0" w14:textId="77777777" w:rsidR="003927AE" w:rsidRPr="00175AAF" w:rsidRDefault="003927AE" w:rsidP="003927AE">
      <w:r w:rsidRPr="00175AAF">
        <w:t xml:space="preserve">The </w:t>
      </w:r>
      <w:hyperlink r:id="rId11" w:history="1">
        <w:r>
          <w:rPr>
            <w:rStyle w:val="Hyperlink"/>
          </w:rPr>
          <w:t>NSW public sector capability framework</w:t>
        </w:r>
      </w:hyperlink>
      <w:r>
        <w:t xml:space="preserve"> describes the capabilities (knowledge, skills and abilities) needed to perform a role. There are four main groups of capabilities: </w:t>
      </w:r>
      <w:r w:rsidRPr="00175AAF">
        <w:t>personal attributes</w:t>
      </w:r>
      <w:r>
        <w:t xml:space="preserve">, </w:t>
      </w:r>
      <w:r w:rsidRPr="00175AAF">
        <w:t>relationships</w:t>
      </w:r>
      <w:r>
        <w:t xml:space="preserve">, </w:t>
      </w:r>
      <w:proofErr w:type="gramStart"/>
      <w:r w:rsidRPr="00175AAF">
        <w:t>results</w:t>
      </w:r>
      <w:proofErr w:type="gramEnd"/>
      <w:r>
        <w:t xml:space="preserve"> and </w:t>
      </w:r>
      <w:r w:rsidRPr="00175AAF">
        <w:t>business enablers</w:t>
      </w:r>
      <w:r>
        <w:t xml:space="preserve">, with a fifth </w:t>
      </w:r>
      <w:r w:rsidRPr="00175AAF">
        <w:t>people management</w:t>
      </w:r>
      <w:r>
        <w:t xml:space="preserve"> group of capabilities for roles with managerial responsibilities. These groups, combined with capabilities drawn from occupation-specific capability sets where relevant, work together to provide an </w:t>
      </w:r>
      <w:r w:rsidRPr="00175AAF">
        <w:t>understanding of the capabilities needed for the role.</w:t>
      </w:r>
    </w:p>
    <w:p w14:paraId="39597AD1" w14:textId="77777777" w:rsidR="003927AE" w:rsidRPr="00175AAF" w:rsidRDefault="003927AE" w:rsidP="003927AE">
      <w:r w:rsidRPr="008D00EC">
        <w:t xml:space="preserve">The capabilities are separated into </w:t>
      </w:r>
      <w:r w:rsidRPr="003927AE">
        <w:rPr>
          <w:b/>
        </w:rPr>
        <w:t>focus capabilities</w:t>
      </w:r>
      <w:r w:rsidRPr="00175AAF">
        <w:t xml:space="preserve"> and </w:t>
      </w:r>
      <w:r w:rsidRPr="003927AE">
        <w:rPr>
          <w:b/>
        </w:rPr>
        <w:t>complementary capabilities</w:t>
      </w:r>
      <w:r w:rsidRPr="00175AAF">
        <w:t xml:space="preserve">. </w:t>
      </w:r>
    </w:p>
    <w:p w14:paraId="39597AD2" w14:textId="77777777" w:rsidR="003927AE" w:rsidRPr="00C978B9" w:rsidRDefault="003927AE" w:rsidP="003927AE">
      <w:pPr>
        <w:pStyle w:val="Heading1"/>
      </w:pPr>
      <w:r w:rsidRPr="00C978B9">
        <w:t xml:space="preserve">Focus </w:t>
      </w:r>
      <w:proofErr w:type="gramStart"/>
      <w:r>
        <w:t>c</w:t>
      </w:r>
      <w:r w:rsidRPr="00C978B9">
        <w:t>apabilities</w:t>
      </w:r>
      <w:proofErr w:type="gramEnd"/>
    </w:p>
    <w:p w14:paraId="39597AD3" w14:textId="77777777"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>
        <w:rPr>
          <w:rFonts w:ascii="Arial" w:eastAsiaTheme="minorEastAsia" w:hAnsi="Arial"/>
          <w:i/>
          <w:szCs w:val="22"/>
          <w:lang w:val="en-US"/>
        </w:rPr>
        <w:t>Focus capabilities</w:t>
      </w:r>
      <w:r>
        <w:rPr>
          <w:rFonts w:ascii="Arial" w:eastAsiaTheme="minorEastAsia" w:hAnsi="Arial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14:paraId="39597AD4" w14:textId="77777777" w:rsidR="003927AE" w:rsidRDefault="003927AE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4D15E4">
        <w:rPr>
          <w:rFonts w:ascii="Arial" w:eastAsiaTheme="minorEastAsia" w:hAnsi="Arial"/>
          <w:szCs w:val="22"/>
          <w:lang w:val="en-US"/>
        </w:rPr>
        <w:t xml:space="preserve">The focus capabilities for this role are shown below with a brief explanation of what each capability covers and the indicators describing the types of </w:t>
      </w:r>
      <w:proofErr w:type="spellStart"/>
      <w:r w:rsidRPr="004D15E4">
        <w:rPr>
          <w:rFonts w:ascii="Arial" w:eastAsiaTheme="minorEastAsia" w:hAnsi="Arial"/>
          <w:szCs w:val="22"/>
          <w:lang w:val="en-US"/>
        </w:rPr>
        <w:t>behaviours</w:t>
      </w:r>
      <w:proofErr w:type="spellEnd"/>
      <w:r>
        <w:rPr>
          <w:rFonts w:ascii="Arial" w:eastAsiaTheme="minorEastAsia" w:hAnsi="Arial"/>
          <w:szCs w:val="22"/>
          <w:lang w:val="en-US"/>
        </w:rPr>
        <w:t xml:space="preserve"> </w:t>
      </w:r>
      <w:r w:rsidRPr="004D15E4">
        <w:rPr>
          <w:rFonts w:ascii="Arial" w:eastAsiaTheme="minorEastAsia" w:hAnsi="Arial"/>
          <w:szCs w:val="22"/>
          <w:lang w:val="en-US"/>
        </w:rPr>
        <w:t xml:space="preserve">expected at </w:t>
      </w:r>
      <w:r>
        <w:rPr>
          <w:rFonts w:ascii="Arial" w:eastAsiaTheme="minorEastAsia" w:hAnsi="Arial"/>
          <w:szCs w:val="22"/>
          <w:lang w:val="en-US"/>
        </w:rPr>
        <w:t>each</w:t>
      </w:r>
      <w:r w:rsidRPr="004D15E4">
        <w:rPr>
          <w:rFonts w:ascii="Arial" w:eastAsiaTheme="minorEastAsia" w:hAnsi="Arial"/>
          <w:szCs w:val="22"/>
          <w:lang w:val="en-US"/>
        </w:rPr>
        <w:t xml:space="preserve"> level.</w:t>
      </w:r>
    </w:p>
    <w:p w14:paraId="39597AD5" w14:textId="77777777" w:rsidR="00BB12E9" w:rsidRPr="00BB12E9" w:rsidRDefault="00BB12E9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06"/>
        <w:gridCol w:w="2881"/>
        <w:gridCol w:w="90"/>
        <w:gridCol w:w="4770"/>
        <w:gridCol w:w="1606"/>
      </w:tblGrid>
      <w:tr w:rsidR="003927AE" w:rsidRPr="00C978B9" w14:paraId="39597ADD" w14:textId="77777777" w:rsidTr="00FC3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39597AD8" w14:textId="77777777" w:rsidR="003927AE" w:rsidRPr="00C978B9" w:rsidRDefault="003927AE" w:rsidP="00F0206D">
            <w:pPr>
              <w:pStyle w:val="TableText"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39597AD9" w14:textId="77777777" w:rsidR="003927AE" w:rsidRPr="00C978B9" w:rsidRDefault="003927AE" w:rsidP="00F0206D">
            <w:pPr>
              <w:pStyle w:val="TableText"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39597ADA" w14:textId="77777777" w:rsidR="003927AE" w:rsidRDefault="003927AE" w:rsidP="00F0206D">
            <w:pPr>
              <w:pStyle w:val="TableText"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39597ADB" w14:textId="77777777" w:rsidR="003927AE" w:rsidRDefault="003927AE" w:rsidP="00F0206D">
            <w:pPr>
              <w:pStyle w:val="TableText"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39597ADC" w14:textId="77777777" w:rsidR="003927AE" w:rsidRDefault="003927AE" w:rsidP="00F0206D">
            <w:pPr>
              <w:pStyle w:val="TableText"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D336D" w:rsidRPr="00C978B9" w14:paraId="39597AE8" w14:textId="77777777" w:rsidTr="00FC39BC">
        <w:trPr>
          <w:cantSplit/>
        </w:trPr>
        <w:tc>
          <w:tcPr>
            <w:tcW w:w="1406" w:type="dxa"/>
            <w:tcBorders>
              <w:bottom w:val="single" w:sz="4" w:space="0" w:color="BCBEC0"/>
            </w:tcBorders>
          </w:tcPr>
          <w:p w14:paraId="39597ADF" w14:textId="77777777" w:rsidR="002D336D" w:rsidRPr="00C978B9" w:rsidRDefault="002D336D" w:rsidP="00F0206D">
            <w:r w:rsidRPr="00C978B9">
              <w:rPr>
                <w:noProof/>
                <w:lang w:eastAsia="en-AU"/>
              </w:rPr>
              <w:drawing>
                <wp:inline distT="0" distB="0" distL="0" distR="0" wp14:anchorId="39597B95" wp14:editId="39597B96">
                  <wp:extent cx="848995" cy="848995"/>
                  <wp:effectExtent l="0" t="0" r="8255" b="8255"/>
                  <wp:docPr id="11" name="personal-attribu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9597AE0" w14:textId="77777777" w:rsidR="002D336D" w:rsidRPr="00A8226F" w:rsidRDefault="002D336D" w:rsidP="00F0206D">
            <w:pPr>
              <w:pStyle w:val="TableText"/>
              <w:rPr>
                <w:b/>
              </w:rPr>
            </w:pPr>
            <w:r>
              <w:rPr>
                <w:b/>
              </w:rPr>
              <w:t>Act with Integrity</w:t>
            </w:r>
          </w:p>
          <w:p w14:paraId="39597AE1" w14:textId="77777777" w:rsidR="002D336D" w:rsidRPr="00AA57E3" w:rsidRDefault="002D336D" w:rsidP="00F0206D">
            <w:pPr>
              <w:pStyle w:val="TableText"/>
            </w:pPr>
            <w:r>
              <w:t>Be ethical and professional, and uphold and promote the public sector values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AFD9D6D" w14:textId="77777777" w:rsidR="004D27AF" w:rsidRPr="004D27AF" w:rsidRDefault="004D27AF" w:rsidP="00F0206D">
            <w:pPr>
              <w:pStyle w:val="TableBullet"/>
            </w:pPr>
            <w:r w:rsidRPr="004D27AF">
              <w:rPr>
                <w:lang w:val="en-US"/>
              </w:rPr>
              <w:t xml:space="preserve">Model the highest standards of ethical and professional </w:t>
            </w:r>
            <w:proofErr w:type="spellStart"/>
            <w:r w:rsidRPr="004D27AF">
              <w:rPr>
                <w:lang w:val="en-US"/>
              </w:rPr>
              <w:t>behaviour</w:t>
            </w:r>
            <w:proofErr w:type="spellEnd"/>
            <w:r w:rsidRPr="004D27AF">
              <w:rPr>
                <w:lang w:val="en-US"/>
              </w:rPr>
              <w:t xml:space="preserve"> and reinforce their </w:t>
            </w:r>
            <w:proofErr w:type="gramStart"/>
            <w:r w:rsidRPr="004D27AF">
              <w:rPr>
                <w:lang w:val="en-US"/>
              </w:rPr>
              <w:t>use</w:t>
            </w:r>
            <w:proofErr w:type="gramEnd"/>
            <w:r w:rsidRPr="004D27AF">
              <w:rPr>
                <w:lang w:val="en-US"/>
              </w:rPr>
              <w:t xml:space="preserve"> </w:t>
            </w:r>
          </w:p>
          <w:p w14:paraId="478D76F5" w14:textId="77777777" w:rsidR="004D27AF" w:rsidRPr="004D27AF" w:rsidRDefault="004D27AF" w:rsidP="00F0206D">
            <w:pPr>
              <w:pStyle w:val="TableBullet"/>
            </w:pPr>
            <w:r w:rsidRPr="004D27AF">
              <w:rPr>
                <w:lang w:val="en-US"/>
              </w:rPr>
              <w:t xml:space="preserve">Represent the </w:t>
            </w:r>
            <w:proofErr w:type="spellStart"/>
            <w:r w:rsidRPr="004D27AF">
              <w:rPr>
                <w:lang w:val="en-US"/>
              </w:rPr>
              <w:t>organisation</w:t>
            </w:r>
            <w:proofErr w:type="spellEnd"/>
            <w:r w:rsidRPr="004D27AF">
              <w:rPr>
                <w:lang w:val="en-US"/>
              </w:rPr>
              <w:t xml:space="preserve"> in an honest, ethical and professional way and set an example for others to </w:t>
            </w:r>
            <w:proofErr w:type="gramStart"/>
            <w:r w:rsidRPr="004D27AF">
              <w:rPr>
                <w:lang w:val="en-US"/>
              </w:rPr>
              <w:t>follow</w:t>
            </w:r>
            <w:proofErr w:type="gramEnd"/>
            <w:r w:rsidRPr="004D27AF">
              <w:rPr>
                <w:lang w:val="en-US"/>
              </w:rPr>
              <w:t xml:space="preserve"> </w:t>
            </w:r>
          </w:p>
          <w:p w14:paraId="01FA2C69" w14:textId="77777777" w:rsidR="004D27AF" w:rsidRPr="004D27AF" w:rsidRDefault="004D27AF" w:rsidP="00F0206D">
            <w:pPr>
              <w:pStyle w:val="TableBullet"/>
            </w:pPr>
            <w:r w:rsidRPr="004D27AF">
              <w:rPr>
                <w:lang w:val="en-US"/>
              </w:rPr>
              <w:t xml:space="preserve">Promote a culture of integrity and professionalism within the </w:t>
            </w:r>
            <w:proofErr w:type="spellStart"/>
            <w:r w:rsidRPr="004D27AF">
              <w:rPr>
                <w:lang w:val="en-US"/>
              </w:rPr>
              <w:t>organisation</w:t>
            </w:r>
            <w:proofErr w:type="spellEnd"/>
            <w:r w:rsidRPr="004D27AF">
              <w:rPr>
                <w:lang w:val="en-US"/>
              </w:rPr>
              <w:t xml:space="preserve"> and in dealings external to </w:t>
            </w:r>
            <w:proofErr w:type="gramStart"/>
            <w:r w:rsidRPr="004D27AF">
              <w:rPr>
                <w:lang w:val="en-US"/>
              </w:rPr>
              <w:t>government</w:t>
            </w:r>
            <w:proofErr w:type="gramEnd"/>
            <w:r w:rsidRPr="004D27AF">
              <w:rPr>
                <w:lang w:val="en-US"/>
              </w:rPr>
              <w:t xml:space="preserve"> </w:t>
            </w:r>
          </w:p>
          <w:p w14:paraId="3E9F7E2C" w14:textId="77777777" w:rsidR="004D27AF" w:rsidRPr="004D27AF" w:rsidRDefault="004D27AF" w:rsidP="00F0206D">
            <w:pPr>
              <w:pStyle w:val="TableBullet"/>
            </w:pPr>
            <w:r w:rsidRPr="004D27AF">
              <w:rPr>
                <w:lang w:val="en-US"/>
              </w:rPr>
              <w:t xml:space="preserve">Monitor ethical practices, standards and systems and reinforce their </w:t>
            </w:r>
            <w:proofErr w:type="gramStart"/>
            <w:r w:rsidRPr="004D27AF">
              <w:rPr>
                <w:lang w:val="en-US"/>
              </w:rPr>
              <w:t>use</w:t>
            </w:r>
            <w:proofErr w:type="gramEnd"/>
            <w:r w:rsidRPr="004D27AF">
              <w:rPr>
                <w:lang w:val="en-US"/>
              </w:rPr>
              <w:t xml:space="preserve"> </w:t>
            </w:r>
          </w:p>
          <w:p w14:paraId="39597AE6" w14:textId="75865CB5" w:rsidR="002D336D" w:rsidRPr="00AA57E3" w:rsidRDefault="004D27AF" w:rsidP="00F0206D">
            <w:pPr>
              <w:pStyle w:val="TableBullet"/>
            </w:pPr>
            <w:r w:rsidRPr="004D27AF">
              <w:rPr>
                <w:lang w:val="en-US"/>
              </w:rPr>
              <w:t xml:space="preserve">Act promptly on reported breaches of legislation, </w:t>
            </w:r>
            <w:proofErr w:type="gramStart"/>
            <w:r w:rsidRPr="004D27AF">
              <w:rPr>
                <w:lang w:val="en-US"/>
              </w:rPr>
              <w:t>policies</w:t>
            </w:r>
            <w:proofErr w:type="gramEnd"/>
            <w:r w:rsidRPr="004D27AF">
              <w:rPr>
                <w:lang w:val="en-US"/>
              </w:rPr>
              <w:t xml:space="preserve"> and guidelines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9597AE7" w14:textId="7E91CB0E" w:rsidR="002D336D" w:rsidRDefault="004D27AF" w:rsidP="00F0206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D336D" w:rsidRPr="00C978B9" w14:paraId="39597AF6" w14:textId="77777777" w:rsidTr="00FC39BC">
        <w:trPr>
          <w:cantSplit/>
        </w:trPr>
        <w:tc>
          <w:tcPr>
            <w:tcW w:w="1406" w:type="dxa"/>
            <w:tcBorders>
              <w:bottom w:val="single" w:sz="4" w:space="0" w:color="BCBEC0"/>
            </w:tcBorders>
          </w:tcPr>
          <w:p w14:paraId="39597AEA" w14:textId="77777777" w:rsidR="002D336D" w:rsidRPr="00C978B9" w:rsidRDefault="002D336D" w:rsidP="00F0206D">
            <w:r w:rsidRPr="00C978B9">
              <w:rPr>
                <w:noProof/>
                <w:lang w:eastAsia="en-AU"/>
              </w:rPr>
              <w:lastRenderedPageBreak/>
              <w:drawing>
                <wp:inline distT="0" distB="0" distL="0" distR="0" wp14:anchorId="39597B97" wp14:editId="39597B98">
                  <wp:extent cx="854016" cy="854016"/>
                  <wp:effectExtent l="0" t="0" r="3810" b="3810"/>
                  <wp:docPr id="13" name="relationshi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9597AEB" w14:textId="77777777" w:rsidR="002D336D" w:rsidRPr="00A8226F" w:rsidRDefault="002D336D" w:rsidP="00F0206D">
            <w:pPr>
              <w:pStyle w:val="TableText"/>
              <w:rPr>
                <w:b/>
              </w:rPr>
            </w:pPr>
            <w:r>
              <w:rPr>
                <w:b/>
              </w:rPr>
              <w:t>Communicate Effectively</w:t>
            </w:r>
          </w:p>
          <w:p w14:paraId="39597AEC" w14:textId="77777777" w:rsidR="002D336D" w:rsidRPr="00AA57E3" w:rsidRDefault="002D336D" w:rsidP="00F0206D">
            <w:pPr>
              <w:pStyle w:val="TableText"/>
            </w:pPr>
            <w:r>
              <w:t>Communicate clearly, actively listen to others, and respond with understanding and respect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9597AED" w14:textId="77777777" w:rsidR="002D336D" w:rsidRPr="00AA57E3" w:rsidRDefault="002D336D" w:rsidP="00F0206D">
            <w:pPr>
              <w:pStyle w:val="TableBullet"/>
            </w:pPr>
            <w:r>
              <w:t xml:space="preserve">Present with credibility, engage diverse audiences and test levels of </w:t>
            </w:r>
            <w:proofErr w:type="gramStart"/>
            <w:r>
              <w:t>understanding</w:t>
            </w:r>
            <w:proofErr w:type="gramEnd"/>
          </w:p>
          <w:p w14:paraId="39597AEE" w14:textId="77777777" w:rsidR="002D336D" w:rsidRPr="00AA57E3" w:rsidRDefault="002D336D" w:rsidP="00F0206D">
            <w:pPr>
              <w:pStyle w:val="TableBullet"/>
            </w:pPr>
            <w:r>
              <w:t xml:space="preserve">Translate technical and complex information clearly and concisely for diverse </w:t>
            </w:r>
            <w:proofErr w:type="gramStart"/>
            <w:r>
              <w:t>audiences</w:t>
            </w:r>
            <w:proofErr w:type="gramEnd"/>
          </w:p>
          <w:p w14:paraId="39597AEF" w14:textId="77777777" w:rsidR="002D336D" w:rsidRPr="00AA57E3" w:rsidRDefault="002D336D" w:rsidP="00F0206D">
            <w:pPr>
              <w:pStyle w:val="TableBullet"/>
            </w:pPr>
            <w:r>
              <w:t xml:space="preserve">Create opportunities for others to contribute to discussion and </w:t>
            </w:r>
            <w:proofErr w:type="gramStart"/>
            <w:r>
              <w:t>debate</w:t>
            </w:r>
            <w:proofErr w:type="gramEnd"/>
          </w:p>
          <w:p w14:paraId="39597AF0" w14:textId="77777777" w:rsidR="002D336D" w:rsidRPr="00AA57E3" w:rsidRDefault="002D336D" w:rsidP="00F0206D">
            <w:pPr>
              <w:pStyle w:val="TableBullet"/>
            </w:pPr>
            <w:r>
              <w:t xml:space="preserve">Contribute to and promote information sharing across the </w:t>
            </w:r>
            <w:proofErr w:type="gramStart"/>
            <w:r>
              <w:t>organisation</w:t>
            </w:r>
            <w:proofErr w:type="gramEnd"/>
          </w:p>
          <w:p w14:paraId="39597AF1" w14:textId="77777777" w:rsidR="002D336D" w:rsidRPr="00AA57E3" w:rsidRDefault="002D336D" w:rsidP="00F0206D">
            <w:pPr>
              <w:pStyle w:val="TableBullet"/>
            </w:pPr>
            <w:r>
              <w:t xml:space="preserve">Manage complex communications that involve understanding and responding to multiple and divergent </w:t>
            </w:r>
            <w:proofErr w:type="gramStart"/>
            <w:r>
              <w:t>viewpoints</w:t>
            </w:r>
            <w:proofErr w:type="gramEnd"/>
          </w:p>
          <w:p w14:paraId="39597AF2" w14:textId="77777777" w:rsidR="002D336D" w:rsidRPr="00AA57E3" w:rsidRDefault="002D336D" w:rsidP="00F0206D">
            <w:pPr>
              <w:pStyle w:val="TableBullet"/>
            </w:pPr>
            <w:r>
              <w:t xml:space="preserve">Explore creative ways to engage diverse audiences and communicate </w:t>
            </w:r>
            <w:proofErr w:type="gramStart"/>
            <w:r>
              <w:t>information</w:t>
            </w:r>
            <w:proofErr w:type="gramEnd"/>
          </w:p>
          <w:p w14:paraId="39597AF3" w14:textId="77777777" w:rsidR="002D336D" w:rsidRPr="00AA57E3" w:rsidRDefault="002D336D" w:rsidP="00F0206D">
            <w:pPr>
              <w:pStyle w:val="TableBullet"/>
            </w:pPr>
            <w:r>
              <w:t xml:space="preserve">Adjust style and approach to optimise </w:t>
            </w:r>
            <w:proofErr w:type="gramStart"/>
            <w:r>
              <w:t>outcomes</w:t>
            </w:r>
            <w:proofErr w:type="gramEnd"/>
          </w:p>
          <w:p w14:paraId="39597AF4" w14:textId="77777777" w:rsidR="002D336D" w:rsidRPr="00AA57E3" w:rsidRDefault="002D336D" w:rsidP="00F0206D">
            <w:pPr>
              <w:pStyle w:val="TableBullet"/>
            </w:pPr>
            <w:r>
              <w:t>Write fluently and persuasively in plain English and in a range of styles and formats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9597AF5" w14:textId="77777777" w:rsidR="002D336D" w:rsidRDefault="00F15669" w:rsidP="00F0206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D336D" w:rsidRPr="00C978B9" w14:paraId="39597B02" w14:textId="77777777" w:rsidTr="00FC39BC">
        <w:trPr>
          <w:cantSplit/>
        </w:trPr>
        <w:tc>
          <w:tcPr>
            <w:tcW w:w="1406" w:type="dxa"/>
            <w:tcBorders>
              <w:bottom w:val="single" w:sz="4" w:space="0" w:color="BCBEC0"/>
            </w:tcBorders>
          </w:tcPr>
          <w:p w14:paraId="39597AF7" w14:textId="03F1FB0D" w:rsidR="002D336D" w:rsidRDefault="00F0206D" w:rsidP="00F0206D">
            <w:pPr>
              <w:rPr>
                <w:noProof/>
                <w:lang w:eastAsia="en-AU"/>
              </w:rPr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538C3E3" wp14:editId="1DBFD513">
                  <wp:extent cx="854016" cy="854016"/>
                  <wp:effectExtent l="0" t="0" r="3810" b="3810"/>
                  <wp:docPr id="7" name="relationshi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9597AF8" w14:textId="77777777" w:rsidR="000411F6" w:rsidRPr="00A8226F" w:rsidRDefault="000411F6" w:rsidP="00F0206D">
            <w:pPr>
              <w:pStyle w:val="TableText"/>
              <w:rPr>
                <w:b/>
              </w:rPr>
            </w:pPr>
            <w:r>
              <w:rPr>
                <w:b/>
              </w:rPr>
              <w:t>Commit to Customer Service</w:t>
            </w:r>
          </w:p>
          <w:p w14:paraId="39597AF9" w14:textId="77777777" w:rsidR="002D336D" w:rsidRPr="00A8226F" w:rsidRDefault="000411F6" w:rsidP="00F0206D">
            <w:pPr>
              <w:pStyle w:val="TableText"/>
              <w:rPr>
                <w:b/>
              </w:rPr>
            </w:pPr>
            <w:r>
              <w:t>Provide customer-focused services in line with public sector and organisational objectives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9597AFA" w14:textId="77777777" w:rsidR="00D05137" w:rsidRDefault="00D05137" w:rsidP="00F0206D">
            <w:pPr>
              <w:numPr>
                <w:ilvl w:val="0"/>
                <w:numId w:val="1"/>
              </w:numPr>
            </w:pPr>
            <w:r>
              <w:t xml:space="preserve">Promote a customer-focused culture in the organisation and consider new ways of working to improve customer </w:t>
            </w:r>
            <w:proofErr w:type="gramStart"/>
            <w:r>
              <w:t>experience</w:t>
            </w:r>
            <w:proofErr w:type="gramEnd"/>
            <w:r>
              <w:t>  </w:t>
            </w:r>
          </w:p>
          <w:p w14:paraId="39597AFB" w14:textId="77777777" w:rsidR="00D05137" w:rsidRDefault="00D05137" w:rsidP="00F0206D">
            <w:pPr>
              <w:numPr>
                <w:ilvl w:val="0"/>
                <w:numId w:val="1"/>
              </w:numPr>
            </w:pPr>
            <w:r>
              <w:t xml:space="preserve">Ensure systems are in place to capture customer service insights to improve </w:t>
            </w:r>
            <w:proofErr w:type="gramStart"/>
            <w:r>
              <w:t>services</w:t>
            </w:r>
            <w:proofErr w:type="gramEnd"/>
          </w:p>
          <w:p w14:paraId="39597AFC" w14:textId="77777777" w:rsidR="00D05137" w:rsidRDefault="00D05137" w:rsidP="00F0206D">
            <w:pPr>
              <w:numPr>
                <w:ilvl w:val="0"/>
                <w:numId w:val="1"/>
              </w:numPr>
            </w:pPr>
            <w:r>
              <w:t xml:space="preserve">Initiate and develop partnerships with customers to define and evaluate service performance </w:t>
            </w:r>
            <w:proofErr w:type="gramStart"/>
            <w:r>
              <w:t>outcomes</w:t>
            </w:r>
            <w:proofErr w:type="gramEnd"/>
          </w:p>
          <w:p w14:paraId="39597AFD" w14:textId="77777777" w:rsidR="00D05137" w:rsidRDefault="00D05137" w:rsidP="00F0206D">
            <w:pPr>
              <w:numPr>
                <w:ilvl w:val="0"/>
                <w:numId w:val="1"/>
              </w:numPr>
            </w:pPr>
            <w:r>
              <w:t xml:space="preserve">Promote and manage alliances within the organisation and across the public, private and community </w:t>
            </w:r>
            <w:proofErr w:type="gramStart"/>
            <w:r>
              <w:t>sectors</w:t>
            </w:r>
            <w:proofErr w:type="gramEnd"/>
          </w:p>
          <w:p w14:paraId="39597AFE" w14:textId="77777777" w:rsidR="00D05137" w:rsidRDefault="00D05137" w:rsidP="00F0206D">
            <w:pPr>
              <w:numPr>
                <w:ilvl w:val="0"/>
                <w:numId w:val="1"/>
              </w:numPr>
            </w:pPr>
            <w:r>
              <w:t xml:space="preserve">Liaise with senior stakeholders on key issues and provide expert and influential </w:t>
            </w:r>
            <w:proofErr w:type="gramStart"/>
            <w:r>
              <w:t>advice</w:t>
            </w:r>
            <w:proofErr w:type="gramEnd"/>
          </w:p>
          <w:p w14:paraId="39597AFF" w14:textId="77777777" w:rsidR="00D05137" w:rsidRDefault="00D05137" w:rsidP="00F0206D">
            <w:pPr>
              <w:numPr>
                <w:ilvl w:val="0"/>
                <w:numId w:val="1"/>
              </w:numPr>
            </w:pPr>
            <w:r>
              <w:t xml:space="preserve">Identify and incorporate the interests and needs of customers in business process design and encourage new ideas and innovative </w:t>
            </w:r>
            <w:proofErr w:type="gramStart"/>
            <w:r>
              <w:t>approaches</w:t>
            </w:r>
            <w:proofErr w:type="gramEnd"/>
          </w:p>
          <w:p w14:paraId="39597B00" w14:textId="77777777" w:rsidR="002D336D" w:rsidRDefault="00D05137" w:rsidP="00F0206D">
            <w:pPr>
              <w:pStyle w:val="TableBullet"/>
            </w:pPr>
            <w:r>
              <w:t xml:space="preserve">Ensure that the organisation’s systems, processes, </w:t>
            </w:r>
            <w:proofErr w:type="gramStart"/>
            <w:r>
              <w:t>policies</w:t>
            </w:r>
            <w:proofErr w:type="gramEnd"/>
            <w:r>
              <w:t xml:space="preserve"> and programs respond to customer needs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9597B01" w14:textId="77777777" w:rsidR="002D336D" w:rsidRDefault="00D05137" w:rsidP="00F0206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D336D" w:rsidRPr="00C978B9" w14:paraId="39597B0E" w14:textId="77777777" w:rsidTr="00FC39BC">
        <w:trPr>
          <w:cantSplit/>
        </w:trPr>
        <w:tc>
          <w:tcPr>
            <w:tcW w:w="1406" w:type="dxa"/>
            <w:tcBorders>
              <w:bottom w:val="single" w:sz="4" w:space="0" w:color="BCBEC0"/>
            </w:tcBorders>
          </w:tcPr>
          <w:p w14:paraId="39597B04" w14:textId="77777777" w:rsidR="002D336D" w:rsidRPr="00C978B9" w:rsidRDefault="002D336D" w:rsidP="00F0206D">
            <w:r w:rsidRPr="00C978B9">
              <w:rPr>
                <w:noProof/>
                <w:lang w:eastAsia="en-AU"/>
              </w:rPr>
              <w:drawing>
                <wp:inline distT="0" distB="0" distL="0" distR="0" wp14:anchorId="39597B99" wp14:editId="39597B9A">
                  <wp:extent cx="854015" cy="854015"/>
                  <wp:effectExtent l="0" t="0" r="3810" b="3810"/>
                  <wp:docPr id="14" name="resul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9597B05" w14:textId="77777777" w:rsidR="002D336D" w:rsidRPr="00A8226F" w:rsidRDefault="002D336D" w:rsidP="00F0206D">
            <w:pPr>
              <w:pStyle w:val="TableText"/>
              <w:rPr>
                <w:b/>
              </w:rPr>
            </w:pPr>
            <w:r>
              <w:rPr>
                <w:b/>
              </w:rPr>
              <w:t>Deliver Results</w:t>
            </w:r>
          </w:p>
          <w:p w14:paraId="39597B06" w14:textId="77777777" w:rsidR="002D336D" w:rsidRPr="00AA57E3" w:rsidRDefault="002D336D" w:rsidP="00F0206D">
            <w:pPr>
              <w:pStyle w:val="TableText"/>
            </w:pPr>
            <w:r>
              <w:t>Achieve results through the efficient use of resources and a commitment to quality outcomes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9597B07" w14:textId="77777777" w:rsidR="002D336D" w:rsidRPr="00AA57E3" w:rsidRDefault="002D336D" w:rsidP="00F0206D">
            <w:pPr>
              <w:pStyle w:val="TableBullet"/>
            </w:pPr>
            <w:r>
              <w:t xml:space="preserve">Use own and others’ expertise to achieve outcomes, and take responsibility for delivering intended </w:t>
            </w:r>
            <w:proofErr w:type="gramStart"/>
            <w:r>
              <w:t>outcomes</w:t>
            </w:r>
            <w:proofErr w:type="gramEnd"/>
          </w:p>
          <w:p w14:paraId="39597B08" w14:textId="77777777" w:rsidR="002D336D" w:rsidRPr="00AA57E3" w:rsidRDefault="002D336D" w:rsidP="00F0206D">
            <w:pPr>
              <w:pStyle w:val="TableBullet"/>
            </w:pPr>
            <w:r>
              <w:t xml:space="preserve">Make sure staff understand expected goals and acknowledge staff success in achieving </w:t>
            </w:r>
            <w:proofErr w:type="gramStart"/>
            <w:r>
              <w:t>these</w:t>
            </w:r>
            <w:proofErr w:type="gramEnd"/>
          </w:p>
          <w:p w14:paraId="39597B09" w14:textId="77777777" w:rsidR="002D336D" w:rsidRPr="00AA57E3" w:rsidRDefault="002D336D" w:rsidP="00F0206D">
            <w:pPr>
              <w:pStyle w:val="TableBullet"/>
            </w:pPr>
            <w:r>
              <w:t xml:space="preserve">Identify resource needs and ensure goals are achieved within set budgets and </w:t>
            </w:r>
            <w:proofErr w:type="gramStart"/>
            <w:r>
              <w:t>deadlines</w:t>
            </w:r>
            <w:proofErr w:type="gramEnd"/>
          </w:p>
          <w:p w14:paraId="39597B0A" w14:textId="77777777" w:rsidR="002D336D" w:rsidRPr="00AA57E3" w:rsidRDefault="002D336D" w:rsidP="00F0206D">
            <w:pPr>
              <w:pStyle w:val="TableBullet"/>
            </w:pPr>
            <w:r>
              <w:t xml:space="preserve">Use business data to evaluate outcomes and inform continuous </w:t>
            </w:r>
            <w:proofErr w:type="gramStart"/>
            <w:r>
              <w:t>improvement</w:t>
            </w:r>
            <w:proofErr w:type="gramEnd"/>
          </w:p>
          <w:p w14:paraId="39597B0B" w14:textId="77777777" w:rsidR="002D336D" w:rsidRPr="00AA57E3" w:rsidRDefault="002D336D" w:rsidP="00F0206D">
            <w:pPr>
              <w:pStyle w:val="TableBullet"/>
            </w:pPr>
            <w:r>
              <w:t xml:space="preserve">Identify priorities that need to change and ensure the allocation of resources meets new business </w:t>
            </w:r>
            <w:proofErr w:type="gramStart"/>
            <w:r>
              <w:t>needs</w:t>
            </w:r>
            <w:proofErr w:type="gramEnd"/>
          </w:p>
          <w:p w14:paraId="39597B0C" w14:textId="77777777" w:rsidR="002D336D" w:rsidRPr="00AA57E3" w:rsidRDefault="002D336D" w:rsidP="00F0206D">
            <w:pPr>
              <w:pStyle w:val="TableBullet"/>
            </w:pPr>
            <w:r>
              <w:t>Ensure that the financial implications of changed priorities are explicit and budgeted for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9597B0D" w14:textId="77777777" w:rsidR="002D336D" w:rsidRDefault="00F15669" w:rsidP="00F0206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14:paraId="39597B1B" w14:textId="77777777" w:rsidTr="00FC39BC">
        <w:trPr>
          <w:cantSplit/>
        </w:trPr>
        <w:tc>
          <w:tcPr>
            <w:tcW w:w="1406" w:type="dxa"/>
            <w:tcBorders>
              <w:bottom w:val="single" w:sz="4" w:space="0" w:color="BCBEC0"/>
            </w:tcBorders>
          </w:tcPr>
          <w:p w14:paraId="39597B0F" w14:textId="49400B49" w:rsidR="002D336D" w:rsidRDefault="00F0206D" w:rsidP="00F0206D">
            <w:pPr>
              <w:rPr>
                <w:noProof/>
                <w:lang w:eastAsia="en-AU"/>
              </w:rPr>
            </w:pPr>
            <w:r w:rsidRPr="00C978B9">
              <w:rPr>
                <w:noProof/>
                <w:lang w:eastAsia="en-AU"/>
              </w:rPr>
              <w:lastRenderedPageBreak/>
              <w:drawing>
                <wp:inline distT="0" distB="0" distL="0" distR="0" wp14:anchorId="38FDCDB5" wp14:editId="7BC95897">
                  <wp:extent cx="854015" cy="854015"/>
                  <wp:effectExtent l="0" t="0" r="3810" b="3810"/>
                  <wp:docPr id="10" name="resul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9597B10" w14:textId="77777777" w:rsidR="000411F6" w:rsidRPr="00A8226F" w:rsidRDefault="000411F6" w:rsidP="00F0206D">
            <w:pPr>
              <w:pStyle w:val="TableText"/>
              <w:rPr>
                <w:b/>
              </w:rPr>
            </w:pPr>
            <w:r>
              <w:rPr>
                <w:b/>
              </w:rPr>
              <w:t>Think and Solve Problems</w:t>
            </w:r>
          </w:p>
          <w:p w14:paraId="39597B11" w14:textId="77777777" w:rsidR="002D336D" w:rsidRPr="00A8226F" w:rsidRDefault="000411F6" w:rsidP="00F0206D">
            <w:pPr>
              <w:pStyle w:val="TableText"/>
              <w:rPr>
                <w:b/>
              </w:rPr>
            </w:pPr>
            <w:r>
              <w:t xml:space="preserve">Think, </w:t>
            </w:r>
            <w:proofErr w:type="gramStart"/>
            <w:r>
              <w:t>analyse</w:t>
            </w:r>
            <w:proofErr w:type="gramEnd"/>
            <w:r>
              <w:t xml:space="preserve"> and consider the broader context to develop practical solutions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9597B13" w14:textId="77777777" w:rsidR="002D336D" w:rsidRDefault="002D336D" w:rsidP="00F0206D">
            <w:pPr>
              <w:pStyle w:val="TableBullet"/>
            </w:pPr>
            <w:r>
              <w:t xml:space="preserve">Undertake objective, critical analysis to draw accurate conclusions that recognise and manage contextual </w:t>
            </w:r>
            <w:proofErr w:type="gramStart"/>
            <w:r>
              <w:t>issues</w:t>
            </w:r>
            <w:proofErr w:type="gramEnd"/>
          </w:p>
          <w:p w14:paraId="39597B14" w14:textId="77777777" w:rsidR="002D336D" w:rsidRDefault="002D336D" w:rsidP="00F0206D">
            <w:pPr>
              <w:pStyle w:val="TableBullet"/>
            </w:pPr>
            <w:r>
              <w:t xml:space="preserve">Work through issues, weigh up alternatives and identify the most effective solutions in collaboration with </w:t>
            </w:r>
            <w:proofErr w:type="gramStart"/>
            <w:r>
              <w:t>others</w:t>
            </w:r>
            <w:proofErr w:type="gramEnd"/>
          </w:p>
          <w:p w14:paraId="39597B15" w14:textId="77777777" w:rsidR="002D336D" w:rsidRDefault="002D336D" w:rsidP="00F0206D">
            <w:pPr>
              <w:pStyle w:val="TableBullet"/>
            </w:pPr>
            <w:r>
              <w:t xml:space="preserve">Take account of the wider business context when considering options to resolve </w:t>
            </w:r>
            <w:proofErr w:type="gramStart"/>
            <w:r>
              <w:t>issues</w:t>
            </w:r>
            <w:proofErr w:type="gramEnd"/>
          </w:p>
          <w:p w14:paraId="39597B16" w14:textId="77777777" w:rsidR="002D336D" w:rsidRDefault="002D336D" w:rsidP="00F0206D">
            <w:pPr>
              <w:pStyle w:val="TableBullet"/>
            </w:pPr>
            <w:r>
              <w:t xml:space="preserve">Explore a range of possibilities and creative alternatives to contribute to system, process and business </w:t>
            </w:r>
            <w:proofErr w:type="gramStart"/>
            <w:r>
              <w:t>improvements</w:t>
            </w:r>
            <w:proofErr w:type="gramEnd"/>
          </w:p>
          <w:p w14:paraId="39597B17" w14:textId="77777777" w:rsidR="002D336D" w:rsidRDefault="002D336D" w:rsidP="00F0206D">
            <w:pPr>
              <w:pStyle w:val="TableBullet"/>
            </w:pPr>
            <w:r>
              <w:t xml:space="preserve">Implement systems and processes that are underpinned by high-quality research and </w:t>
            </w:r>
            <w:proofErr w:type="gramStart"/>
            <w:r>
              <w:t>analysis</w:t>
            </w:r>
            <w:proofErr w:type="gramEnd"/>
          </w:p>
          <w:p w14:paraId="39597B18" w14:textId="77777777" w:rsidR="002D336D" w:rsidRDefault="002D336D" w:rsidP="00F0206D">
            <w:pPr>
              <w:pStyle w:val="TableBullet"/>
            </w:pPr>
            <w:r>
              <w:t xml:space="preserve">Look for opportunities to design innovative solutions to meet user needs and service </w:t>
            </w:r>
            <w:proofErr w:type="gramStart"/>
            <w:r>
              <w:t>demands</w:t>
            </w:r>
            <w:proofErr w:type="gramEnd"/>
          </w:p>
          <w:p w14:paraId="39597B19" w14:textId="77777777" w:rsidR="002D336D" w:rsidRDefault="002D336D" w:rsidP="00F0206D">
            <w:pPr>
              <w:pStyle w:val="TableBullet"/>
            </w:pPr>
            <w:r>
              <w:t xml:space="preserve">Evaluate the performance and effectiveness of services, </w:t>
            </w:r>
            <w:proofErr w:type="gramStart"/>
            <w:r>
              <w:t>policies</w:t>
            </w:r>
            <w:proofErr w:type="gramEnd"/>
            <w:r>
              <w:t xml:space="preserve"> and programs against clear criteria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9597B1A" w14:textId="77777777" w:rsidR="002D336D" w:rsidRDefault="007C0486" w:rsidP="00F0206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D336D" w:rsidRPr="00C978B9" w14:paraId="39597B33" w14:textId="77777777" w:rsidTr="00FC39BC">
        <w:trPr>
          <w:cantSplit/>
        </w:trPr>
        <w:tc>
          <w:tcPr>
            <w:tcW w:w="1406" w:type="dxa"/>
            <w:tcBorders>
              <w:bottom w:val="single" w:sz="4" w:space="0" w:color="BCBEC0"/>
            </w:tcBorders>
          </w:tcPr>
          <w:p w14:paraId="39597B26" w14:textId="6B0EB2E8" w:rsidR="002D336D" w:rsidRDefault="00F0206D" w:rsidP="00F0206D">
            <w:pPr>
              <w:rPr>
                <w:noProof/>
                <w:lang w:eastAsia="en-AU"/>
              </w:rPr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2DF24CFE" wp14:editId="43807687">
                  <wp:extent cx="845388" cy="845388"/>
                  <wp:effectExtent l="0" t="0" r="0" b="0"/>
                  <wp:docPr id="1" name="business-enabl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9597B27" w14:textId="77777777" w:rsidR="000411F6" w:rsidRPr="00A8226F" w:rsidRDefault="000411F6" w:rsidP="00F0206D">
            <w:pPr>
              <w:pStyle w:val="TableText"/>
              <w:rPr>
                <w:b/>
              </w:rPr>
            </w:pPr>
            <w:r>
              <w:rPr>
                <w:b/>
              </w:rPr>
              <w:t>Project Management</w:t>
            </w:r>
          </w:p>
          <w:p w14:paraId="39597B28" w14:textId="77777777" w:rsidR="002D336D" w:rsidRPr="00A8226F" w:rsidRDefault="000411F6" w:rsidP="00F0206D">
            <w:pPr>
              <w:pStyle w:val="TableText"/>
              <w:rPr>
                <w:b/>
              </w:rPr>
            </w:pPr>
            <w:r>
              <w:t xml:space="preserve">Understand and apply effective planning, </w:t>
            </w:r>
            <w:proofErr w:type="gramStart"/>
            <w:r>
              <w:t>coordination</w:t>
            </w:r>
            <w:proofErr w:type="gramEnd"/>
            <w:r>
              <w:t xml:space="preserve"> and control methods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9597B2A" w14:textId="77777777" w:rsidR="002D336D" w:rsidRDefault="002D336D" w:rsidP="00F0206D">
            <w:pPr>
              <w:pStyle w:val="TableBullet"/>
            </w:pPr>
            <w:r>
              <w:t xml:space="preserve">Understand all components of the project management process, including the need to consider change management to realise business </w:t>
            </w:r>
            <w:proofErr w:type="gramStart"/>
            <w:r>
              <w:t>benefits</w:t>
            </w:r>
            <w:proofErr w:type="gramEnd"/>
          </w:p>
          <w:p w14:paraId="39597B2B" w14:textId="77777777" w:rsidR="002D336D" w:rsidRDefault="002D336D" w:rsidP="00F0206D">
            <w:pPr>
              <w:pStyle w:val="TableBullet"/>
            </w:pPr>
            <w:r>
              <w:t xml:space="preserve">Prepare clear project proposals and accurate estimates of required costs and </w:t>
            </w:r>
            <w:proofErr w:type="gramStart"/>
            <w:r>
              <w:t>resources</w:t>
            </w:r>
            <w:proofErr w:type="gramEnd"/>
          </w:p>
          <w:p w14:paraId="39597B2C" w14:textId="77777777" w:rsidR="002D336D" w:rsidRDefault="002D336D" w:rsidP="00F0206D">
            <w:pPr>
              <w:pStyle w:val="TableBullet"/>
            </w:pPr>
            <w:r>
              <w:t xml:space="preserve">Establish performance outcomes and measures for key project goals, and define monitoring, reporting and communication </w:t>
            </w:r>
            <w:proofErr w:type="gramStart"/>
            <w:r>
              <w:t>requirements</w:t>
            </w:r>
            <w:proofErr w:type="gramEnd"/>
          </w:p>
          <w:p w14:paraId="39597B2D" w14:textId="77777777" w:rsidR="002D336D" w:rsidRDefault="002D336D" w:rsidP="00F0206D">
            <w:pPr>
              <w:pStyle w:val="TableBullet"/>
            </w:pPr>
            <w:r>
              <w:t xml:space="preserve">Identify and evaluate risks associated with the project and develop mitigation </w:t>
            </w:r>
            <w:proofErr w:type="gramStart"/>
            <w:r>
              <w:t>strategies</w:t>
            </w:r>
            <w:proofErr w:type="gramEnd"/>
          </w:p>
          <w:p w14:paraId="39597B2E" w14:textId="77777777" w:rsidR="002D336D" w:rsidRDefault="002D336D" w:rsidP="00F0206D">
            <w:pPr>
              <w:pStyle w:val="TableBullet"/>
            </w:pPr>
            <w:r>
              <w:t xml:space="preserve">Identify and consult stakeholders to inform the project </w:t>
            </w:r>
            <w:proofErr w:type="gramStart"/>
            <w:r>
              <w:t>strategy</w:t>
            </w:r>
            <w:proofErr w:type="gramEnd"/>
          </w:p>
          <w:p w14:paraId="39597B2F" w14:textId="77777777" w:rsidR="002D336D" w:rsidRDefault="002D336D" w:rsidP="00F0206D">
            <w:pPr>
              <w:pStyle w:val="TableBullet"/>
            </w:pPr>
            <w:r>
              <w:t xml:space="preserve">Communicate the project’s objectives and its expected </w:t>
            </w:r>
            <w:proofErr w:type="gramStart"/>
            <w:r>
              <w:t>benefits</w:t>
            </w:r>
            <w:proofErr w:type="gramEnd"/>
          </w:p>
          <w:p w14:paraId="39597B30" w14:textId="77777777" w:rsidR="002D336D" w:rsidRDefault="002D336D" w:rsidP="00F0206D">
            <w:pPr>
              <w:pStyle w:val="TableBullet"/>
            </w:pPr>
            <w:r>
              <w:t xml:space="preserve">Monitor the completion of project milestones against goals and take necessary </w:t>
            </w:r>
            <w:proofErr w:type="gramStart"/>
            <w:r>
              <w:t>action</w:t>
            </w:r>
            <w:proofErr w:type="gramEnd"/>
          </w:p>
          <w:p w14:paraId="39597B31" w14:textId="77777777" w:rsidR="002D336D" w:rsidRDefault="002D336D" w:rsidP="00F0206D">
            <w:pPr>
              <w:pStyle w:val="TableBullet"/>
            </w:pPr>
            <w:r>
              <w:t>Evaluate progress and identify improvements to inform future projects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9597B32" w14:textId="77777777" w:rsidR="002D336D" w:rsidRDefault="007C0486" w:rsidP="00F0206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14:paraId="39597B40" w14:textId="77777777" w:rsidTr="00FC39BC">
        <w:trPr>
          <w:cantSplit/>
        </w:trPr>
        <w:tc>
          <w:tcPr>
            <w:tcW w:w="1406" w:type="dxa"/>
            <w:tcBorders>
              <w:bottom w:val="single" w:sz="4" w:space="0" w:color="BCBEC0"/>
            </w:tcBorders>
          </w:tcPr>
          <w:p w14:paraId="39597B35" w14:textId="77777777" w:rsidR="002D336D" w:rsidRPr="00C978B9" w:rsidRDefault="002D336D" w:rsidP="00F0206D">
            <w:r w:rsidRPr="00C978B9">
              <w:rPr>
                <w:noProof/>
                <w:lang w:eastAsia="en-AU"/>
              </w:rPr>
              <w:lastRenderedPageBreak/>
              <w:drawing>
                <wp:inline distT="0" distB="0" distL="0" distR="0" wp14:anchorId="39597B9D" wp14:editId="39597B9E">
                  <wp:extent cx="847725" cy="847725"/>
                  <wp:effectExtent l="0" t="0" r="9525" b="9525"/>
                  <wp:docPr id="8" name="people-manag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537" cy="86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9597B36" w14:textId="77777777" w:rsidR="002D336D" w:rsidRPr="00A8226F" w:rsidRDefault="002D336D" w:rsidP="00F0206D">
            <w:pPr>
              <w:pStyle w:val="TableText"/>
              <w:rPr>
                <w:b/>
              </w:rPr>
            </w:pPr>
            <w:r>
              <w:rPr>
                <w:b/>
              </w:rPr>
              <w:t>Manage and Develop People</w:t>
            </w:r>
          </w:p>
          <w:p w14:paraId="39597B37" w14:textId="77777777" w:rsidR="002D336D" w:rsidRPr="00AA57E3" w:rsidRDefault="002D336D" w:rsidP="00F0206D">
            <w:pPr>
              <w:pStyle w:val="TableText"/>
            </w:pPr>
            <w:r>
              <w:t>Engage and motivate staff, and develop capability and potential in others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AFCD367" w14:textId="77777777" w:rsidR="004D27AF" w:rsidRPr="004D27AF" w:rsidRDefault="004D27AF" w:rsidP="00F0206D">
            <w:pPr>
              <w:pStyle w:val="TableBullet"/>
            </w:pPr>
            <w:r w:rsidRPr="004D27AF">
              <w:rPr>
                <w:lang w:val="en-US"/>
              </w:rPr>
              <w:t xml:space="preserve">Refine roles and responsibilities over time to achieve better business </w:t>
            </w:r>
            <w:proofErr w:type="gramStart"/>
            <w:r w:rsidRPr="004D27AF">
              <w:rPr>
                <w:lang w:val="en-US"/>
              </w:rPr>
              <w:t>outcomes</w:t>
            </w:r>
            <w:proofErr w:type="gramEnd"/>
            <w:r w:rsidRPr="004D27AF">
              <w:rPr>
                <w:lang w:val="en-US"/>
              </w:rPr>
              <w:t xml:space="preserve"> </w:t>
            </w:r>
          </w:p>
          <w:p w14:paraId="52CFD794" w14:textId="77777777" w:rsidR="004D27AF" w:rsidRPr="004D27AF" w:rsidRDefault="004D27AF" w:rsidP="00F0206D">
            <w:pPr>
              <w:pStyle w:val="TableBullet"/>
            </w:pPr>
            <w:proofErr w:type="spellStart"/>
            <w:r w:rsidRPr="004D27AF">
              <w:rPr>
                <w:lang w:val="en-US"/>
              </w:rPr>
              <w:t>Recognise</w:t>
            </w:r>
            <w:proofErr w:type="spellEnd"/>
            <w:r w:rsidRPr="004D27AF">
              <w:rPr>
                <w:lang w:val="en-US"/>
              </w:rPr>
              <w:t xml:space="preserve"> talent, develop team capability and undertake succession </w:t>
            </w:r>
            <w:proofErr w:type="gramStart"/>
            <w:r w:rsidRPr="004D27AF">
              <w:rPr>
                <w:lang w:val="en-US"/>
              </w:rPr>
              <w:t>planning</w:t>
            </w:r>
            <w:proofErr w:type="gramEnd"/>
            <w:r w:rsidRPr="004D27AF">
              <w:rPr>
                <w:lang w:val="en-US"/>
              </w:rPr>
              <w:t xml:space="preserve"> </w:t>
            </w:r>
          </w:p>
          <w:p w14:paraId="0A6AFD73" w14:textId="4589CED0" w:rsidR="004D27AF" w:rsidRPr="004D27AF" w:rsidRDefault="004D27AF" w:rsidP="00F0206D">
            <w:pPr>
              <w:pStyle w:val="TableBullet"/>
            </w:pPr>
            <w:r w:rsidRPr="004D27AF">
              <w:rPr>
                <w:lang w:val="en-US"/>
              </w:rPr>
              <w:t>Coach and mentor staff and encourage professional development and continuous </w:t>
            </w:r>
            <w:proofErr w:type="gramStart"/>
            <w:r w:rsidRPr="004D27AF">
              <w:rPr>
                <w:lang w:val="en-US"/>
              </w:rPr>
              <w:t>learning</w:t>
            </w:r>
            <w:proofErr w:type="gramEnd"/>
            <w:r w:rsidRPr="004D27AF">
              <w:rPr>
                <w:lang w:val="en-US"/>
              </w:rPr>
              <w:t xml:space="preserve"> </w:t>
            </w:r>
          </w:p>
          <w:p w14:paraId="0CD4C353" w14:textId="77777777" w:rsidR="004D27AF" w:rsidRPr="004D27AF" w:rsidRDefault="004D27AF" w:rsidP="00F0206D">
            <w:pPr>
              <w:pStyle w:val="TableBullet"/>
            </w:pPr>
            <w:proofErr w:type="spellStart"/>
            <w:r w:rsidRPr="004D27AF">
              <w:rPr>
                <w:lang w:val="en-US"/>
              </w:rPr>
              <w:t>Prioritise</w:t>
            </w:r>
            <w:proofErr w:type="spellEnd"/>
            <w:r w:rsidRPr="004D27AF">
              <w:rPr>
                <w:lang w:val="en-US"/>
              </w:rPr>
              <w:t xml:space="preserve"> addressing and resolving team and individual performance issues and ensure that this approach is cascaded throughout the </w:t>
            </w:r>
            <w:proofErr w:type="spellStart"/>
            <w:proofErr w:type="gramStart"/>
            <w:r w:rsidRPr="004D27AF">
              <w:rPr>
                <w:lang w:val="en-US"/>
              </w:rPr>
              <w:t>organisation</w:t>
            </w:r>
            <w:proofErr w:type="spellEnd"/>
            <w:proofErr w:type="gramEnd"/>
            <w:r w:rsidRPr="004D27AF">
              <w:rPr>
                <w:lang w:val="en-US"/>
              </w:rPr>
              <w:t xml:space="preserve"> </w:t>
            </w:r>
          </w:p>
          <w:p w14:paraId="39597B3E" w14:textId="0A8E36B0" w:rsidR="002D336D" w:rsidRPr="00AA57E3" w:rsidRDefault="004D27AF" w:rsidP="00F0206D">
            <w:pPr>
              <w:pStyle w:val="TableBullet"/>
            </w:pPr>
            <w:r w:rsidRPr="004D27AF">
              <w:rPr>
                <w:lang w:val="en-US"/>
              </w:rPr>
              <w:t xml:space="preserve">Implement performance development frameworks to align workforce capability with the </w:t>
            </w:r>
            <w:proofErr w:type="spellStart"/>
            <w:r w:rsidRPr="004D27AF">
              <w:rPr>
                <w:lang w:val="en-US"/>
              </w:rPr>
              <w:t>organisation’s</w:t>
            </w:r>
            <w:proofErr w:type="spellEnd"/>
            <w:r w:rsidRPr="004D27AF">
              <w:rPr>
                <w:lang w:val="en-US"/>
              </w:rPr>
              <w:t xml:space="preserve"> current and future priorities and objectives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9597B3F" w14:textId="27A94710" w:rsidR="002D336D" w:rsidRDefault="004D27AF" w:rsidP="00F0206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D336D" w:rsidRPr="00C978B9" w14:paraId="39597B4A" w14:textId="77777777" w:rsidTr="00FC39BC">
        <w:trPr>
          <w:cantSplit/>
        </w:trPr>
        <w:tc>
          <w:tcPr>
            <w:tcW w:w="1406" w:type="dxa"/>
            <w:tcBorders>
              <w:bottom w:val="single" w:sz="4" w:space="0" w:color="BCBEC0"/>
            </w:tcBorders>
          </w:tcPr>
          <w:p w14:paraId="39597B41" w14:textId="49012CED" w:rsidR="002D336D" w:rsidRDefault="00F0206D" w:rsidP="00F0206D">
            <w:pPr>
              <w:rPr>
                <w:noProof/>
                <w:lang w:eastAsia="en-AU"/>
              </w:rPr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4D256540" wp14:editId="2EAA2A55">
                  <wp:extent cx="847725" cy="847725"/>
                  <wp:effectExtent l="0" t="0" r="9525" b="9525"/>
                  <wp:docPr id="15" name="people-manag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537" cy="86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31AEE62" w14:textId="77777777" w:rsidR="004E2113" w:rsidRDefault="004E2113" w:rsidP="00F0206D">
            <w:pPr>
              <w:pStyle w:val="TableText"/>
              <w:rPr>
                <w:b/>
              </w:rPr>
            </w:pPr>
            <w:r w:rsidRPr="004E2113">
              <w:rPr>
                <w:b/>
              </w:rPr>
              <w:t>Optimise Business Outcomes</w:t>
            </w:r>
          </w:p>
          <w:p w14:paraId="39597B43" w14:textId="77892D7C" w:rsidR="002D336D" w:rsidRPr="00A8226F" w:rsidRDefault="004E2113" w:rsidP="00F0206D">
            <w:pPr>
              <w:pStyle w:val="TableText"/>
              <w:rPr>
                <w:b/>
              </w:rPr>
            </w:pPr>
            <w:r w:rsidRPr="004E2113">
              <w:rPr>
                <w:lang w:val="en-US"/>
              </w:rPr>
              <w:t>Manage people and resources effectively to achieve public value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29A65A9" w14:textId="77777777" w:rsidR="004D27AF" w:rsidRPr="004D27AF" w:rsidRDefault="004D27AF" w:rsidP="00F0206D">
            <w:pPr>
              <w:pStyle w:val="TableBullet"/>
            </w:pPr>
            <w:r w:rsidRPr="004D27AF">
              <w:rPr>
                <w:lang w:val="en-US"/>
              </w:rPr>
              <w:t xml:space="preserve">Initiate and develop longer-term goals and plans to guide the work of the team in line with </w:t>
            </w:r>
            <w:proofErr w:type="spellStart"/>
            <w:r w:rsidRPr="004D27AF">
              <w:rPr>
                <w:lang w:val="en-US"/>
              </w:rPr>
              <w:t>organisational</w:t>
            </w:r>
            <w:proofErr w:type="spellEnd"/>
            <w:r w:rsidRPr="004D27AF">
              <w:rPr>
                <w:lang w:val="en-US"/>
              </w:rPr>
              <w:t xml:space="preserve"> </w:t>
            </w:r>
            <w:proofErr w:type="gramStart"/>
            <w:r w:rsidRPr="004D27AF">
              <w:rPr>
                <w:lang w:val="en-US"/>
              </w:rPr>
              <w:t>objectives</w:t>
            </w:r>
            <w:proofErr w:type="gramEnd"/>
            <w:r w:rsidRPr="004D27AF">
              <w:rPr>
                <w:lang w:val="en-US"/>
              </w:rPr>
              <w:t xml:space="preserve"> </w:t>
            </w:r>
          </w:p>
          <w:p w14:paraId="349A9EE9" w14:textId="77777777" w:rsidR="004D27AF" w:rsidRPr="004D27AF" w:rsidRDefault="004D27AF" w:rsidP="00F0206D">
            <w:pPr>
              <w:pStyle w:val="TableBullet"/>
            </w:pPr>
            <w:r w:rsidRPr="004D27AF">
              <w:rPr>
                <w:lang w:val="en-US"/>
              </w:rPr>
              <w:t xml:space="preserve">Allocate resources to ensure the achievement of business outcomes and contribute to wider workforce </w:t>
            </w:r>
            <w:proofErr w:type="gramStart"/>
            <w:r w:rsidRPr="004D27AF">
              <w:rPr>
                <w:lang w:val="en-US"/>
              </w:rPr>
              <w:t>planning</w:t>
            </w:r>
            <w:proofErr w:type="gramEnd"/>
            <w:r w:rsidRPr="004D27AF">
              <w:rPr>
                <w:lang w:val="en-US"/>
              </w:rPr>
              <w:t xml:space="preserve"> </w:t>
            </w:r>
          </w:p>
          <w:p w14:paraId="67A393F8" w14:textId="77777777" w:rsidR="004D27AF" w:rsidRPr="004D27AF" w:rsidRDefault="004D27AF" w:rsidP="00F0206D">
            <w:pPr>
              <w:pStyle w:val="TableBullet"/>
            </w:pPr>
            <w:r w:rsidRPr="004D27AF">
              <w:rPr>
                <w:lang w:val="en-US"/>
              </w:rPr>
              <w:t>When planning resources, implement processes that encourage the attraction and retention of people of diverse cultures, backgrounds and </w:t>
            </w:r>
            <w:proofErr w:type="gramStart"/>
            <w:r w:rsidRPr="004D27AF">
              <w:rPr>
                <w:lang w:val="en-US"/>
              </w:rPr>
              <w:t>experiences</w:t>
            </w:r>
            <w:proofErr w:type="gramEnd"/>
            <w:r w:rsidRPr="004D27AF">
              <w:rPr>
                <w:lang w:val="en-US"/>
              </w:rPr>
              <w:t xml:space="preserve"> </w:t>
            </w:r>
          </w:p>
          <w:p w14:paraId="3AAEAE62" w14:textId="77777777" w:rsidR="004D27AF" w:rsidRPr="004D27AF" w:rsidRDefault="004D27AF" w:rsidP="00F0206D">
            <w:pPr>
              <w:pStyle w:val="TableBullet"/>
            </w:pPr>
            <w:r w:rsidRPr="004D27AF">
              <w:rPr>
                <w:lang w:val="en-US"/>
              </w:rPr>
              <w:t xml:space="preserve">Ensure that team members base their decisions on a sound understanding of business and risk management principles, applied in a public sector </w:t>
            </w:r>
            <w:proofErr w:type="gramStart"/>
            <w:r w:rsidRPr="004D27AF">
              <w:rPr>
                <w:lang w:val="en-US"/>
              </w:rPr>
              <w:t>context</w:t>
            </w:r>
            <w:proofErr w:type="gramEnd"/>
            <w:r w:rsidRPr="004D27AF">
              <w:rPr>
                <w:lang w:val="en-US"/>
              </w:rPr>
              <w:t xml:space="preserve"> </w:t>
            </w:r>
          </w:p>
          <w:p w14:paraId="63E09CF0" w14:textId="77777777" w:rsidR="004D27AF" w:rsidRPr="004D27AF" w:rsidRDefault="004D27AF" w:rsidP="00F0206D">
            <w:pPr>
              <w:pStyle w:val="TableBullet"/>
            </w:pPr>
            <w:r w:rsidRPr="004D27AF">
              <w:rPr>
                <w:lang w:val="en-US"/>
              </w:rPr>
              <w:t xml:space="preserve">Monitor performance against standards and take timely corrective </w:t>
            </w:r>
            <w:proofErr w:type="gramStart"/>
            <w:r w:rsidRPr="004D27AF">
              <w:rPr>
                <w:lang w:val="en-US"/>
              </w:rPr>
              <w:t>actions</w:t>
            </w:r>
            <w:proofErr w:type="gramEnd"/>
            <w:r w:rsidRPr="004D27AF">
              <w:rPr>
                <w:lang w:val="en-US"/>
              </w:rPr>
              <w:t xml:space="preserve"> </w:t>
            </w:r>
          </w:p>
          <w:p w14:paraId="39597B48" w14:textId="5A64B0D4" w:rsidR="002D336D" w:rsidRDefault="004D27AF" w:rsidP="00F0206D">
            <w:pPr>
              <w:pStyle w:val="TableBullet"/>
            </w:pPr>
            <w:r w:rsidRPr="004D27AF">
              <w:rPr>
                <w:lang w:val="en-US"/>
              </w:rPr>
              <w:t>Keep others informed about progress and performance outcomes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9597B49" w14:textId="36C16AB4" w:rsidR="002D336D" w:rsidRDefault="004E2113" w:rsidP="00F0206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</w:tbl>
    <w:p w14:paraId="39597B4B" w14:textId="77777777" w:rsidR="003927AE" w:rsidRDefault="003927AE" w:rsidP="003927AE"/>
    <w:p w14:paraId="2EEC79CD" w14:textId="77777777" w:rsidR="004D27AF" w:rsidRDefault="004D27AF">
      <w:pPr>
        <w:rPr>
          <w:b/>
          <w:bCs/>
        </w:rPr>
      </w:pPr>
      <w:r>
        <w:rPr>
          <w:b/>
          <w:bCs/>
        </w:rPr>
        <w:br w:type="page"/>
      </w:r>
    </w:p>
    <w:p w14:paraId="410EADA7" w14:textId="20A68296" w:rsidR="004D27AF" w:rsidRPr="004D27AF" w:rsidRDefault="004D27AF" w:rsidP="003927AE">
      <w:pPr>
        <w:rPr>
          <w:b/>
          <w:bCs/>
        </w:rPr>
      </w:pPr>
      <w:r w:rsidRPr="004D27AF">
        <w:rPr>
          <w:b/>
          <w:bCs/>
        </w:rPr>
        <w:lastRenderedPageBreak/>
        <w:t>Occupation specific focus capabilities</w:t>
      </w: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06"/>
        <w:gridCol w:w="2881"/>
        <w:gridCol w:w="90"/>
        <w:gridCol w:w="4770"/>
        <w:gridCol w:w="1606"/>
      </w:tblGrid>
      <w:tr w:rsidR="004D27AF" w:rsidRPr="00C978B9" w14:paraId="708E1730" w14:textId="77777777" w:rsidTr="00EE4E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30211EE3" w14:textId="77777777" w:rsidR="004D27AF" w:rsidRPr="00C978B9" w:rsidRDefault="004D27AF" w:rsidP="00EE4EC9">
            <w:pPr>
              <w:pStyle w:val="TableText"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01AAA523" w14:textId="77777777" w:rsidR="004D27AF" w:rsidRPr="00C978B9" w:rsidRDefault="004D27AF" w:rsidP="00EE4EC9">
            <w:pPr>
              <w:pStyle w:val="TableText"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0A8DEBD0" w14:textId="77777777" w:rsidR="004D27AF" w:rsidRDefault="004D27AF" w:rsidP="00EE4EC9">
            <w:pPr>
              <w:pStyle w:val="TableText"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019C319B" w14:textId="77777777" w:rsidR="004D27AF" w:rsidRDefault="004D27AF" w:rsidP="00EE4EC9">
            <w:pPr>
              <w:pStyle w:val="TableText"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6027C3C4" w14:textId="77777777" w:rsidR="004D27AF" w:rsidRDefault="004D27AF" w:rsidP="00EE4EC9">
            <w:pPr>
              <w:pStyle w:val="TableText"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4D27AF" w:rsidRPr="00C978B9" w14:paraId="39A12D68" w14:textId="77777777" w:rsidTr="00EE4EC9">
        <w:trPr>
          <w:cantSplit/>
        </w:trPr>
        <w:tc>
          <w:tcPr>
            <w:tcW w:w="1406" w:type="dxa"/>
            <w:tcBorders>
              <w:bottom w:val="single" w:sz="4" w:space="0" w:color="BCBEC0"/>
            </w:tcBorders>
          </w:tcPr>
          <w:p w14:paraId="161C7ACF" w14:textId="24EE4EB7" w:rsidR="004D27AF" w:rsidRPr="00C978B9" w:rsidRDefault="004D27AF" w:rsidP="00EE4EC9"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654E79A0" wp14:editId="4DA2E1DF">
                  <wp:extent cx="857250" cy="857250"/>
                  <wp:effectExtent l="0" t="0" r="0" b="0"/>
                  <wp:docPr id="1808630118" name="Picture 1808630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br/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DA0201A" w14:textId="05142A24" w:rsidR="004D27AF" w:rsidRPr="00A8226F" w:rsidRDefault="004D27AF" w:rsidP="00EE4EC9">
            <w:pPr>
              <w:pStyle w:val="TableText"/>
              <w:rPr>
                <w:b/>
              </w:rPr>
            </w:pPr>
            <w:r>
              <w:rPr>
                <w:b/>
              </w:rPr>
              <w:t>Talent Management</w:t>
            </w:r>
          </w:p>
          <w:p w14:paraId="62FC7B88" w14:textId="1224C073" w:rsidR="004D27AF" w:rsidRPr="00AA57E3" w:rsidRDefault="004D27AF" w:rsidP="00EE4EC9">
            <w:pPr>
              <w:pStyle w:val="TableText"/>
            </w:pPr>
            <w:r w:rsidRPr="004D27AF">
              <w:rPr>
                <w:lang w:val="en-US"/>
              </w:rPr>
              <w:t xml:space="preserve">Develop approaches to proactively manage the supply of diverse leaders, </w:t>
            </w:r>
            <w:proofErr w:type="gramStart"/>
            <w:r w:rsidRPr="004D27AF">
              <w:rPr>
                <w:lang w:val="en-US"/>
              </w:rPr>
              <w:t>talent</w:t>
            </w:r>
            <w:proofErr w:type="gramEnd"/>
            <w:r w:rsidRPr="004D27AF">
              <w:rPr>
                <w:lang w:val="en-US"/>
              </w:rPr>
              <w:t xml:space="preserve"> and capabilities across the </w:t>
            </w:r>
            <w:proofErr w:type="spellStart"/>
            <w:r w:rsidRPr="004D27A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6D43614" w14:textId="77777777" w:rsidR="004D27AF" w:rsidRPr="004D27AF" w:rsidRDefault="004D27AF" w:rsidP="00EE4EC9">
            <w:pPr>
              <w:pStyle w:val="TableBullet"/>
            </w:pPr>
            <w:r w:rsidRPr="004D27AF">
              <w:rPr>
                <w:lang w:val="en-US"/>
              </w:rPr>
              <w:t xml:space="preserve">Provide expert advice to managers and leaders on fit-for-purpose talent management strategies to close capability gaps, support informed selection choices, and align with the </w:t>
            </w:r>
            <w:proofErr w:type="spellStart"/>
            <w:r w:rsidRPr="004D27AF">
              <w:rPr>
                <w:lang w:val="en-US"/>
              </w:rPr>
              <w:t>organisation’s</w:t>
            </w:r>
            <w:proofErr w:type="spellEnd"/>
            <w:r w:rsidRPr="004D27AF">
              <w:rPr>
                <w:lang w:val="en-US"/>
              </w:rPr>
              <w:t xml:space="preserve"> employee value proposition. </w:t>
            </w:r>
          </w:p>
          <w:p w14:paraId="6DC709FE" w14:textId="77777777" w:rsidR="004D27AF" w:rsidRPr="004D27AF" w:rsidRDefault="004D27AF" w:rsidP="00EE4EC9">
            <w:pPr>
              <w:pStyle w:val="TableBullet"/>
            </w:pPr>
            <w:r w:rsidRPr="004D27AF">
              <w:rPr>
                <w:lang w:val="en-US"/>
              </w:rPr>
              <w:t xml:space="preserve">Encourage the capability growth of teams and of current and potential leaders, through the design and delivery of tailored development, </w:t>
            </w:r>
            <w:proofErr w:type="gramStart"/>
            <w:r w:rsidRPr="004D27AF">
              <w:rPr>
                <w:lang w:val="en-US"/>
              </w:rPr>
              <w:t>mobility</w:t>
            </w:r>
            <w:proofErr w:type="gramEnd"/>
            <w:r w:rsidRPr="004D27AF">
              <w:rPr>
                <w:lang w:val="en-US"/>
              </w:rPr>
              <w:t xml:space="preserve"> and career management programs. </w:t>
            </w:r>
          </w:p>
          <w:p w14:paraId="6AB7BDE9" w14:textId="77777777" w:rsidR="004D27AF" w:rsidRPr="004D27AF" w:rsidRDefault="004D27AF" w:rsidP="00EE4EC9">
            <w:pPr>
              <w:pStyle w:val="TableBullet"/>
            </w:pPr>
            <w:r w:rsidRPr="004D27AF">
              <w:rPr>
                <w:lang w:val="en-US"/>
              </w:rPr>
              <w:t xml:space="preserve">Collaborate with peers across the sector to build talent pipelines for common roles and key professional streams, enhancing the sector’s appeal as an employer. </w:t>
            </w:r>
          </w:p>
          <w:p w14:paraId="096EBC6B" w14:textId="77777777" w:rsidR="004D27AF" w:rsidRPr="004D27AF" w:rsidRDefault="004D27AF" w:rsidP="00EE4EC9">
            <w:pPr>
              <w:pStyle w:val="TableBullet"/>
            </w:pPr>
            <w:r w:rsidRPr="004D27AF">
              <w:rPr>
                <w:lang w:val="en-US"/>
              </w:rPr>
              <w:t xml:space="preserve">Encourage use of mobility provisions to support employees to acquire a broad base of experience through their careers and </w:t>
            </w:r>
            <w:proofErr w:type="spellStart"/>
            <w:r w:rsidRPr="004D27AF">
              <w:rPr>
                <w:lang w:val="en-US"/>
              </w:rPr>
              <w:t>optimise</w:t>
            </w:r>
            <w:proofErr w:type="spellEnd"/>
            <w:r w:rsidRPr="004D27AF">
              <w:rPr>
                <w:lang w:val="en-US"/>
              </w:rPr>
              <w:t xml:space="preserve"> flexible resource deployment. </w:t>
            </w:r>
          </w:p>
          <w:p w14:paraId="233EC661" w14:textId="77777777" w:rsidR="004D27AF" w:rsidRPr="004D27AF" w:rsidRDefault="004D27AF" w:rsidP="00EE4EC9">
            <w:pPr>
              <w:pStyle w:val="TableBullet"/>
            </w:pPr>
            <w:r w:rsidRPr="004D27AF">
              <w:rPr>
                <w:lang w:val="en-US"/>
              </w:rPr>
              <w:t xml:space="preserve">Collaborate with leaders to develop strategies to enhance managers’ skills and confidence in having clear, </w:t>
            </w:r>
            <w:proofErr w:type="gramStart"/>
            <w:r w:rsidRPr="004D27AF">
              <w:rPr>
                <w:lang w:val="en-US"/>
              </w:rPr>
              <w:t>candid</w:t>
            </w:r>
            <w:proofErr w:type="gramEnd"/>
            <w:r w:rsidRPr="004D27AF">
              <w:rPr>
                <w:lang w:val="en-US"/>
              </w:rPr>
              <w:t xml:space="preserve"> and regular performance conversations and provide individuals with effective coaching. </w:t>
            </w:r>
          </w:p>
          <w:p w14:paraId="40B99A21" w14:textId="77777777" w:rsidR="004D27AF" w:rsidRPr="004D27AF" w:rsidRDefault="004D27AF" w:rsidP="00EE4EC9">
            <w:pPr>
              <w:pStyle w:val="TableBullet"/>
            </w:pPr>
            <w:r w:rsidRPr="004D27AF">
              <w:rPr>
                <w:lang w:val="en-US"/>
              </w:rPr>
              <w:t xml:space="preserve">Manage the delivery of ongoing performance and recognition programs and evaluate these on a regular basis to ensure they deliver on intended outcomes. </w:t>
            </w:r>
          </w:p>
          <w:p w14:paraId="558724C9" w14:textId="77777777" w:rsidR="004D27AF" w:rsidRPr="004D27AF" w:rsidRDefault="004D27AF" w:rsidP="00EE4EC9">
            <w:pPr>
              <w:pStyle w:val="TableBullet"/>
            </w:pPr>
            <w:r w:rsidRPr="004D27AF">
              <w:rPr>
                <w:lang w:val="en-US"/>
              </w:rPr>
              <w:t xml:space="preserve">Manage the design of methods to assess the effectiveness of talent management programs in building capability and influence the development of future programs, ensuring integration across other workforce management practices. </w:t>
            </w:r>
          </w:p>
          <w:p w14:paraId="42304F51" w14:textId="2B5ACD6A" w:rsidR="004D27AF" w:rsidRPr="00AA57E3" w:rsidRDefault="004D27AF" w:rsidP="00EE4EC9">
            <w:pPr>
              <w:pStyle w:val="TableBullet"/>
            </w:pPr>
            <w:r w:rsidRPr="004D27AF">
              <w:rPr>
                <w:lang w:val="en-US"/>
              </w:rPr>
              <w:t xml:space="preserve">Provide expert advice to leaders and managers on the evaluation of assessments, performance management and talent management strategies, and collaborate on modifications as needed to build </w:t>
            </w:r>
            <w:proofErr w:type="spellStart"/>
            <w:r w:rsidRPr="004D27AF">
              <w:rPr>
                <w:lang w:val="en-US"/>
              </w:rPr>
              <w:t>organisational</w:t>
            </w:r>
            <w:proofErr w:type="spellEnd"/>
            <w:r w:rsidRPr="004D27AF">
              <w:rPr>
                <w:lang w:val="en-US"/>
              </w:rPr>
              <w:t xml:space="preserve"> capability and talent.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25FA09B" w14:textId="4E520EEC" w:rsidR="004D27AF" w:rsidRDefault="004D27AF" w:rsidP="00EE4EC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3</w:t>
            </w:r>
          </w:p>
        </w:tc>
      </w:tr>
    </w:tbl>
    <w:p w14:paraId="2F245010" w14:textId="77777777" w:rsidR="004D27AF" w:rsidRDefault="004D27AF" w:rsidP="003927AE"/>
    <w:p w14:paraId="39597B4C" w14:textId="77777777" w:rsidR="003927AE" w:rsidRDefault="003927AE" w:rsidP="003927AE">
      <w:pPr>
        <w:pStyle w:val="Heading1"/>
      </w:pPr>
      <w:r>
        <w:t>Complementary capabilities</w:t>
      </w:r>
    </w:p>
    <w:p w14:paraId="39597B4D" w14:textId="77777777" w:rsidR="003927AE" w:rsidRP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i/>
          <w:szCs w:val="22"/>
          <w:lang w:val="en-US"/>
        </w:rPr>
        <w:t>Complementary capabilities</w:t>
      </w:r>
      <w:r w:rsidRPr="003927AE">
        <w:rPr>
          <w:rFonts w:ascii="Arial" w:eastAsiaTheme="minorEastAsia" w:hAnsi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14:paraId="39597B4E" w14:textId="77777777"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szCs w:val="22"/>
          <w:lang w:val="en-US"/>
        </w:rPr>
        <w:lastRenderedPageBreak/>
        <w:t>Note: capabilities listed as ‘not essential’ for this role are not relevant for recruitment purposes however may be relevant for future career development.</w:t>
      </w:r>
    </w:p>
    <w:p w14:paraId="39597B4F" w14:textId="77777777" w:rsidR="00336011" w:rsidRDefault="00336011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06"/>
        <w:gridCol w:w="2881"/>
        <w:gridCol w:w="90"/>
        <w:gridCol w:w="4770"/>
        <w:gridCol w:w="1606"/>
      </w:tblGrid>
      <w:tr w:rsidR="002B5704" w:rsidRPr="00C978B9" w14:paraId="39597B57" w14:textId="77777777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39597B52" w14:textId="77777777" w:rsidR="002B5704" w:rsidRPr="00C978B9" w:rsidRDefault="002B5704" w:rsidP="00F0206D">
            <w:pPr>
              <w:pStyle w:val="TableText"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39597B53" w14:textId="77777777" w:rsidR="002B5704" w:rsidRPr="00C978B9" w:rsidRDefault="002B5704" w:rsidP="00F0206D">
            <w:pPr>
              <w:pStyle w:val="TableText"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39597B54" w14:textId="77777777" w:rsidR="002B5704" w:rsidRDefault="002B5704" w:rsidP="00F0206D">
            <w:pPr>
              <w:pStyle w:val="TableText"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39597B55" w14:textId="77777777" w:rsidR="002B5704" w:rsidRDefault="002B5704" w:rsidP="00F0206D">
            <w:pPr>
              <w:pStyle w:val="TableText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39597B56" w14:textId="77777777" w:rsidR="002B5704" w:rsidRDefault="002B5704" w:rsidP="00F0206D">
            <w:pPr>
              <w:pStyle w:val="TableText"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B5704" w:rsidRPr="00C978B9" w14:paraId="39597B5D" w14:textId="77777777" w:rsidTr="00A8064A">
        <w:tc>
          <w:tcPr>
            <w:tcW w:w="1406" w:type="dxa"/>
            <w:tcBorders>
              <w:bottom w:val="single" w:sz="4" w:space="0" w:color="BCBEC0"/>
            </w:tcBorders>
          </w:tcPr>
          <w:p w14:paraId="39597B59" w14:textId="77777777" w:rsidR="002B5704" w:rsidRPr="00C978B9" w:rsidRDefault="002B5704" w:rsidP="00F0206D">
            <w:r w:rsidRPr="00C978B9">
              <w:rPr>
                <w:noProof/>
                <w:lang w:eastAsia="en-AU"/>
              </w:rPr>
              <w:drawing>
                <wp:inline distT="0" distB="0" distL="0" distR="0" wp14:anchorId="39597B9F" wp14:editId="33075BB8">
                  <wp:extent cx="468000" cy="468000"/>
                  <wp:effectExtent l="0" t="0" r="8255" b="8255"/>
                  <wp:docPr id="2" name="personal-attribu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9597B5A" w14:textId="77777777" w:rsidR="002B5704" w:rsidRPr="00AA57E3" w:rsidRDefault="002B5704" w:rsidP="00F0206D">
            <w:r>
              <w:t>Display Resilience and Courage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9597B5B" w14:textId="77777777" w:rsidR="002B5704" w:rsidRPr="00AA57E3" w:rsidRDefault="002B5704" w:rsidP="00F0206D">
            <w:r>
              <w:t>Be open and honest, prepared to express your views, and willing to accept and commit to change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9597B5C" w14:textId="77777777" w:rsidR="002B5704" w:rsidRDefault="002B5704" w:rsidP="00F0206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14:paraId="39597B62" w14:textId="77777777" w:rsidTr="00A8064A">
        <w:tc>
          <w:tcPr>
            <w:tcW w:w="1406" w:type="dxa"/>
            <w:tcBorders>
              <w:bottom w:val="single" w:sz="4" w:space="0" w:color="BCBEC0"/>
            </w:tcBorders>
          </w:tcPr>
          <w:p w14:paraId="39597B5E" w14:textId="3BA01DD4" w:rsidR="002B5704" w:rsidRDefault="00F0206D" w:rsidP="00F0206D">
            <w:pPr>
              <w:rPr>
                <w:noProof/>
                <w:lang w:eastAsia="en-AU"/>
              </w:rPr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08A52550" wp14:editId="429512A1">
                  <wp:extent cx="468000" cy="468000"/>
                  <wp:effectExtent l="0" t="0" r="8255" b="8255"/>
                  <wp:docPr id="16" name="personal-attribu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9597B5F" w14:textId="77777777" w:rsidR="002B5704" w:rsidRPr="00A8226F" w:rsidRDefault="002B5704" w:rsidP="00F0206D">
            <w:r>
              <w:t>Manage Self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9597B60" w14:textId="77777777" w:rsidR="002B5704" w:rsidRDefault="002B5704" w:rsidP="00F0206D">
            <w:r>
              <w:t>Show drive and motivation, an ability to self-reflect and a commitment to learning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9597B61" w14:textId="77777777" w:rsidR="002B5704" w:rsidRDefault="002B5704" w:rsidP="00F0206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14:paraId="39597B67" w14:textId="77777777" w:rsidTr="00A8064A">
        <w:tc>
          <w:tcPr>
            <w:tcW w:w="1406" w:type="dxa"/>
            <w:tcBorders>
              <w:bottom w:val="single" w:sz="4" w:space="0" w:color="BCBEC0"/>
            </w:tcBorders>
          </w:tcPr>
          <w:p w14:paraId="39597B63" w14:textId="31B65B19" w:rsidR="002B5704" w:rsidRDefault="00F0206D" w:rsidP="00F0206D">
            <w:pPr>
              <w:rPr>
                <w:noProof/>
                <w:lang w:eastAsia="en-AU"/>
              </w:rPr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BD18BAC" wp14:editId="70E82B29">
                  <wp:extent cx="468000" cy="468000"/>
                  <wp:effectExtent l="0" t="0" r="8255" b="8255"/>
                  <wp:docPr id="17" name="personal-attribu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9597B64" w14:textId="77777777" w:rsidR="002B5704" w:rsidRPr="00A8226F" w:rsidRDefault="002B5704" w:rsidP="00F0206D">
            <w:r>
              <w:t>Value Diversity and Inclusion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9597B65" w14:textId="77777777" w:rsidR="002B5704" w:rsidRDefault="002B5704" w:rsidP="00F0206D">
            <w:r>
              <w:t xml:space="preserve">Demonstrate inclusive behaviour and show respect for diverse backgrounds, </w:t>
            </w:r>
            <w:proofErr w:type="gramStart"/>
            <w:r>
              <w:t>experiences</w:t>
            </w:r>
            <w:proofErr w:type="gramEnd"/>
            <w:r>
              <w:t xml:space="preserve"> and perspectives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9597B66" w14:textId="77777777" w:rsidR="002B5704" w:rsidRDefault="002B5704" w:rsidP="00F0206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14:paraId="39597B6D" w14:textId="77777777" w:rsidTr="00A8064A">
        <w:tc>
          <w:tcPr>
            <w:tcW w:w="1406" w:type="dxa"/>
            <w:tcBorders>
              <w:bottom w:val="single" w:sz="4" w:space="0" w:color="BCBEC0"/>
            </w:tcBorders>
          </w:tcPr>
          <w:p w14:paraId="39597B69" w14:textId="77777777" w:rsidR="002B5704" w:rsidRPr="00C978B9" w:rsidRDefault="002B5704" w:rsidP="00F0206D">
            <w:r w:rsidRPr="00C978B9">
              <w:rPr>
                <w:noProof/>
                <w:lang w:eastAsia="en-AU"/>
              </w:rPr>
              <w:drawing>
                <wp:inline distT="0" distB="0" distL="0" distR="0" wp14:anchorId="39597BA1" wp14:editId="2F0AD53A">
                  <wp:extent cx="468000" cy="468000"/>
                  <wp:effectExtent l="0" t="0" r="8255" b="8255"/>
                  <wp:docPr id="3" name="relationshi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9597B6A" w14:textId="77777777" w:rsidR="002B5704" w:rsidRPr="00AA57E3" w:rsidRDefault="002B5704" w:rsidP="00F0206D">
            <w:r>
              <w:t>Work Collaboratively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9597B6B" w14:textId="77777777" w:rsidR="002B5704" w:rsidRPr="00AA57E3" w:rsidRDefault="002B5704" w:rsidP="00F0206D">
            <w:r>
              <w:t>Collaborate with others and value their contribution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9597B6C" w14:textId="77777777" w:rsidR="002B5704" w:rsidRDefault="002B5704" w:rsidP="00F0206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14:paraId="39597B72" w14:textId="77777777" w:rsidTr="00A8064A">
        <w:tc>
          <w:tcPr>
            <w:tcW w:w="1406" w:type="dxa"/>
            <w:tcBorders>
              <w:bottom w:val="single" w:sz="4" w:space="0" w:color="BCBEC0"/>
            </w:tcBorders>
          </w:tcPr>
          <w:p w14:paraId="39597B6E" w14:textId="035FF002" w:rsidR="002B5704" w:rsidRDefault="00F0206D" w:rsidP="00F0206D">
            <w:pPr>
              <w:rPr>
                <w:noProof/>
                <w:lang w:eastAsia="en-AU"/>
              </w:rPr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1287372C" wp14:editId="0000856A">
                  <wp:extent cx="468000" cy="468000"/>
                  <wp:effectExtent l="0" t="0" r="8255" b="8255"/>
                  <wp:docPr id="18" name="relationshi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9597B6F" w14:textId="77777777" w:rsidR="002B5704" w:rsidRPr="00A8226F" w:rsidRDefault="002B5704" w:rsidP="00F0206D">
            <w:r>
              <w:t xml:space="preserve">Influence and </w:t>
            </w:r>
            <w:proofErr w:type="gramStart"/>
            <w:r>
              <w:t>Negotiate</w:t>
            </w:r>
            <w:proofErr w:type="gramEnd"/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9597B70" w14:textId="77777777" w:rsidR="002B5704" w:rsidRDefault="002B5704" w:rsidP="00F0206D">
            <w:r>
              <w:t>Gain consensus and commitment from others, and resolve issues and conflicts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9597B71" w14:textId="77777777" w:rsidR="002B5704" w:rsidRDefault="002B5704" w:rsidP="00F0206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</w:t>
            </w:r>
            <w:r w:rsidR="00D05137">
              <w:t>dvanced</w:t>
            </w:r>
          </w:p>
        </w:tc>
      </w:tr>
      <w:tr w:rsidR="002B5704" w:rsidRPr="00C978B9" w14:paraId="39597B78" w14:textId="77777777" w:rsidTr="00A8064A">
        <w:tc>
          <w:tcPr>
            <w:tcW w:w="1406" w:type="dxa"/>
            <w:tcBorders>
              <w:bottom w:val="single" w:sz="4" w:space="0" w:color="BCBEC0"/>
            </w:tcBorders>
          </w:tcPr>
          <w:p w14:paraId="39597B74" w14:textId="77777777" w:rsidR="002B5704" w:rsidRPr="00C978B9" w:rsidRDefault="002B5704" w:rsidP="00F0206D">
            <w:r w:rsidRPr="00C978B9">
              <w:rPr>
                <w:noProof/>
                <w:lang w:eastAsia="en-AU"/>
              </w:rPr>
              <w:drawing>
                <wp:inline distT="0" distB="0" distL="0" distR="0" wp14:anchorId="39597BA3" wp14:editId="372E0C2C">
                  <wp:extent cx="468000" cy="468000"/>
                  <wp:effectExtent l="0" t="0" r="8255" b="8255"/>
                  <wp:docPr id="4" name="resul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9597B75" w14:textId="77777777" w:rsidR="002B5704" w:rsidRPr="00AA57E3" w:rsidRDefault="002B5704" w:rsidP="00F0206D">
            <w:r>
              <w:t xml:space="preserve">Plan and </w:t>
            </w:r>
            <w:proofErr w:type="gramStart"/>
            <w:r>
              <w:t>Prioritise</w:t>
            </w:r>
            <w:proofErr w:type="gramEnd"/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9597B76" w14:textId="77777777" w:rsidR="002B5704" w:rsidRPr="00AA57E3" w:rsidRDefault="002B5704" w:rsidP="00F0206D">
            <w:r>
              <w:t>Plan to achieve priority outcomes and respond flexibly to changing circumstances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9597B77" w14:textId="77777777" w:rsidR="002B5704" w:rsidRDefault="002B5704" w:rsidP="00F0206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14:paraId="39597B7D" w14:textId="77777777" w:rsidTr="00A8064A">
        <w:tc>
          <w:tcPr>
            <w:tcW w:w="1406" w:type="dxa"/>
            <w:tcBorders>
              <w:bottom w:val="single" w:sz="4" w:space="0" w:color="BCBEC0"/>
            </w:tcBorders>
          </w:tcPr>
          <w:p w14:paraId="39597B79" w14:textId="68E1EED0" w:rsidR="002B5704" w:rsidRDefault="00F0206D" w:rsidP="00F0206D">
            <w:pPr>
              <w:rPr>
                <w:noProof/>
                <w:lang w:eastAsia="en-AU"/>
              </w:rPr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E939195" wp14:editId="3E44C9CF">
                  <wp:extent cx="468000" cy="468000"/>
                  <wp:effectExtent l="0" t="0" r="8255" b="8255"/>
                  <wp:docPr id="19" name="resul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9597B7A" w14:textId="77777777" w:rsidR="002B5704" w:rsidRPr="00A8226F" w:rsidRDefault="002B5704" w:rsidP="00F0206D">
            <w:r>
              <w:t>Demonstrate Accountability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9597B7B" w14:textId="77777777" w:rsidR="002B5704" w:rsidRDefault="002B5704" w:rsidP="00F0206D">
            <w:r>
              <w:t xml:space="preserve">Be proactive and responsible for own actions, and adhere to legislation, </w:t>
            </w:r>
            <w:proofErr w:type="gramStart"/>
            <w:r>
              <w:t>policy</w:t>
            </w:r>
            <w:proofErr w:type="gramEnd"/>
            <w:r>
              <w:t xml:space="preserve"> and guidelines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9597B7C" w14:textId="77777777" w:rsidR="002B5704" w:rsidRDefault="002B5704" w:rsidP="00F0206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14:paraId="39597B83" w14:textId="77777777" w:rsidTr="00A8064A">
        <w:tc>
          <w:tcPr>
            <w:tcW w:w="1406" w:type="dxa"/>
            <w:tcBorders>
              <w:bottom w:val="single" w:sz="4" w:space="0" w:color="BCBEC0"/>
            </w:tcBorders>
          </w:tcPr>
          <w:p w14:paraId="39597B7F" w14:textId="77777777" w:rsidR="002B5704" w:rsidRPr="00C978B9" w:rsidRDefault="002B5704" w:rsidP="00F0206D">
            <w:r w:rsidRPr="00C978B9">
              <w:rPr>
                <w:noProof/>
                <w:lang w:eastAsia="en-AU"/>
              </w:rPr>
              <w:drawing>
                <wp:inline distT="0" distB="0" distL="0" distR="0" wp14:anchorId="39597BA5" wp14:editId="46AD1622">
                  <wp:extent cx="468000" cy="468000"/>
                  <wp:effectExtent l="0" t="0" r="8255" b="8255"/>
                  <wp:docPr id="5" name="business-enabl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9597B80" w14:textId="77777777" w:rsidR="002B5704" w:rsidRPr="00AA57E3" w:rsidRDefault="002B5704" w:rsidP="00F0206D">
            <w:r>
              <w:t>Finance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9597B81" w14:textId="77777777" w:rsidR="002B5704" w:rsidRPr="00AA57E3" w:rsidRDefault="002B5704" w:rsidP="00F0206D">
            <w:r>
              <w:t>Understand and apply financial processes to achieve value for money and minimise financial risk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9597B82" w14:textId="77777777" w:rsidR="002B5704" w:rsidRDefault="002B5704" w:rsidP="00F0206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4677EE" w:rsidRPr="00C978B9" w14:paraId="3691E9D3" w14:textId="77777777" w:rsidTr="00A8064A">
        <w:tc>
          <w:tcPr>
            <w:tcW w:w="1406" w:type="dxa"/>
            <w:tcBorders>
              <w:bottom w:val="single" w:sz="4" w:space="0" w:color="BCBEC0"/>
            </w:tcBorders>
          </w:tcPr>
          <w:p w14:paraId="0816E071" w14:textId="6F0735F7" w:rsidR="004677EE" w:rsidRPr="00C978B9" w:rsidRDefault="004677EE" w:rsidP="00F0206D">
            <w:pPr>
              <w:rPr>
                <w:noProof/>
                <w:lang w:eastAsia="en-AU"/>
              </w:rPr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02AE379A" wp14:editId="7097AD97">
                  <wp:extent cx="468000" cy="468000"/>
                  <wp:effectExtent l="0" t="0" r="8255" b="8255"/>
                  <wp:docPr id="1833902500" name="business-enabl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0AD0033" w14:textId="46893D81" w:rsidR="004677EE" w:rsidRDefault="004677EE" w:rsidP="00F0206D">
            <w:r>
              <w:t xml:space="preserve">Technology 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7EDAABA" w14:textId="6B28A7FB" w:rsidR="004677EE" w:rsidRDefault="004677EE" w:rsidP="00F0206D">
            <w:r w:rsidRPr="004677EE">
              <w:rPr>
                <w:lang w:val="en-US"/>
              </w:rPr>
              <w:t xml:space="preserve">Understand and use available technologies to </w:t>
            </w:r>
            <w:proofErr w:type="spellStart"/>
            <w:r w:rsidRPr="004677EE">
              <w:rPr>
                <w:lang w:val="en-US"/>
              </w:rPr>
              <w:t>maximise</w:t>
            </w:r>
            <w:proofErr w:type="spellEnd"/>
            <w:r w:rsidRPr="004677EE">
              <w:rPr>
                <w:lang w:val="en-US"/>
              </w:rPr>
              <w:t xml:space="preserve"> efficiencies and effectiveness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3BB6156" w14:textId="5BDE15F2" w:rsidR="004677EE" w:rsidRDefault="004677EE" w:rsidP="00F0206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14:paraId="39597B88" w14:textId="77777777" w:rsidTr="00A8064A">
        <w:tc>
          <w:tcPr>
            <w:tcW w:w="1406" w:type="dxa"/>
            <w:tcBorders>
              <w:bottom w:val="single" w:sz="4" w:space="0" w:color="BCBEC0"/>
            </w:tcBorders>
          </w:tcPr>
          <w:p w14:paraId="39597B84" w14:textId="45B2340D" w:rsidR="002B5704" w:rsidRDefault="00F0206D" w:rsidP="00F0206D">
            <w:pPr>
              <w:rPr>
                <w:noProof/>
                <w:lang w:eastAsia="en-AU"/>
              </w:rPr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6083B940" wp14:editId="3866C6FC">
                  <wp:extent cx="468000" cy="468000"/>
                  <wp:effectExtent l="0" t="0" r="8255" b="8255"/>
                  <wp:docPr id="20" name="business-enabl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9597B85" w14:textId="77777777" w:rsidR="002B5704" w:rsidRPr="00A8226F" w:rsidRDefault="002B5704" w:rsidP="00F0206D">
            <w:r>
              <w:t>Procurement and Contract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9597B86" w14:textId="77777777" w:rsidR="002B5704" w:rsidRDefault="002B5704" w:rsidP="00F0206D">
            <w:r>
              <w:t>Understand and apply procurement processes to ensure effective purchasing and contract performance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9597B87" w14:textId="77777777" w:rsidR="002B5704" w:rsidRDefault="002B5704" w:rsidP="00F0206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39597B8E" w14:textId="77777777" w:rsidTr="00A8064A">
        <w:tc>
          <w:tcPr>
            <w:tcW w:w="1406" w:type="dxa"/>
            <w:tcBorders>
              <w:bottom w:val="single" w:sz="4" w:space="0" w:color="BCBEC0"/>
            </w:tcBorders>
          </w:tcPr>
          <w:p w14:paraId="39597B8A" w14:textId="77777777" w:rsidR="002B5704" w:rsidRPr="00C978B9" w:rsidRDefault="002B5704" w:rsidP="00F0206D">
            <w:r w:rsidRPr="00C978B9">
              <w:rPr>
                <w:noProof/>
                <w:lang w:eastAsia="en-AU"/>
              </w:rPr>
              <w:drawing>
                <wp:inline distT="0" distB="0" distL="0" distR="0" wp14:anchorId="39597BA7" wp14:editId="04A9C53E">
                  <wp:extent cx="468000" cy="468000"/>
                  <wp:effectExtent l="0" t="0" r="8255" b="8255"/>
                  <wp:docPr id="6" name="people-manag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9597B8B" w14:textId="77777777" w:rsidR="002B5704" w:rsidRPr="00AA57E3" w:rsidRDefault="002B5704" w:rsidP="00F0206D">
            <w:r>
              <w:t>Inspire Direction and Purpose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9597B8C" w14:textId="77777777" w:rsidR="002B5704" w:rsidRPr="00AA57E3" w:rsidRDefault="002B5704" w:rsidP="00F0206D">
            <w:r>
              <w:t xml:space="preserve">Communicate goals, </w:t>
            </w:r>
            <w:proofErr w:type="gramStart"/>
            <w:r>
              <w:t>priorities</w:t>
            </w:r>
            <w:proofErr w:type="gramEnd"/>
            <w:r>
              <w:t xml:space="preserve"> and vision, and recognise achievements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9597B8D" w14:textId="77777777" w:rsidR="002B5704" w:rsidRDefault="002B5704" w:rsidP="00F0206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4E2113" w:rsidRPr="00C978B9" w14:paraId="0894FAC1" w14:textId="77777777" w:rsidTr="00A8064A">
        <w:tc>
          <w:tcPr>
            <w:tcW w:w="1406" w:type="dxa"/>
            <w:tcBorders>
              <w:bottom w:val="single" w:sz="4" w:space="0" w:color="BCBEC0"/>
            </w:tcBorders>
          </w:tcPr>
          <w:p w14:paraId="6282AE51" w14:textId="7C0908D8" w:rsidR="004E2113" w:rsidRPr="00C978B9" w:rsidRDefault="004E2113" w:rsidP="00F0206D">
            <w:pPr>
              <w:rPr>
                <w:noProof/>
                <w:lang w:eastAsia="en-AU"/>
              </w:rPr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01A5513D" wp14:editId="64ED74E1">
                  <wp:extent cx="468000" cy="468000"/>
                  <wp:effectExtent l="0" t="0" r="8255" b="8255"/>
                  <wp:docPr id="1474583176" name="people-manag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A663EA7" w14:textId="572859C7" w:rsidR="004E2113" w:rsidRDefault="004E2113" w:rsidP="00F0206D">
            <w:r>
              <w:t>Manage Reform and Change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F7E75B8" w14:textId="6EC7732C" w:rsidR="004E2113" w:rsidRDefault="004E2113" w:rsidP="00F0206D">
            <w:r>
              <w:t>Support, promote and champion change, and assist others to engage with change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176E0A5" w14:textId="4BF7C175" w:rsidR="004E2113" w:rsidRDefault="004E2113" w:rsidP="00F0206D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</w:tbl>
    <w:p w14:paraId="39597B94" w14:textId="77777777" w:rsidR="004D15E4" w:rsidRPr="003927AE" w:rsidRDefault="004D15E4" w:rsidP="003927AE"/>
    <w:sectPr w:rsidR="004D15E4" w:rsidRPr="003927AE" w:rsidSect="009D747B">
      <w:footerReference w:type="default" r:id="rId23"/>
      <w:headerReference w:type="first" r:id="rId24"/>
      <w:footerReference w:type="first" r:id="rId25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5F06" w14:textId="77777777" w:rsidR="00FA52F6" w:rsidRDefault="00FA52F6" w:rsidP="00BB532F">
      <w:pPr>
        <w:spacing w:after="0" w:line="240" w:lineRule="auto"/>
      </w:pPr>
      <w:r>
        <w:separator/>
      </w:r>
    </w:p>
  </w:endnote>
  <w:endnote w:type="continuationSeparator" w:id="0">
    <w:p w14:paraId="5E9FBF1A" w14:textId="77777777" w:rsidR="00FA52F6" w:rsidRDefault="00FA52F6" w:rsidP="00BB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0"/>
      <w:gridCol w:w="556"/>
      <w:gridCol w:w="5234"/>
    </w:tblGrid>
    <w:tr w:rsidR="00C03AFD" w14:paraId="39597BB0" w14:textId="77777777" w:rsidTr="00C03AFD">
      <w:tc>
        <w:tcPr>
          <w:tcW w:w="2250" w:type="pct"/>
          <w:vAlign w:val="center"/>
        </w:tcPr>
        <w:p w14:paraId="39597BAD" w14:textId="602824E5" w:rsidR="00C03AFD" w:rsidRDefault="00C03AFD" w:rsidP="00806EDB">
          <w:pPr>
            <w:pStyle w:val="Footer"/>
          </w:pPr>
          <w:r w:rsidRPr="00C03AFD">
            <w:rPr>
              <w:color w:val="928B81"/>
              <w:sz w:val="18"/>
            </w:rPr>
            <w:t xml:space="preserve">Role </w:t>
          </w:r>
          <w:proofErr w:type="gramStart"/>
          <w:r w:rsidRPr="00C03AFD">
            <w:rPr>
              <w:color w:val="928B81"/>
              <w:sz w:val="18"/>
            </w:rPr>
            <w:t>Description</w:t>
          </w:r>
          <w:r w:rsidR="00443BCB">
            <w:rPr>
              <w:color w:val="928B81"/>
              <w:sz w:val="18"/>
            </w:rPr>
            <w:t xml:space="preserve">  </w:t>
          </w:r>
          <w:r w:rsidR="00F0206D">
            <w:rPr>
              <w:color w:val="928B81"/>
              <w:sz w:val="18"/>
            </w:rPr>
            <w:t>Senior</w:t>
          </w:r>
          <w:proofErr w:type="gramEnd"/>
          <w:r w:rsidR="00F0206D">
            <w:rPr>
              <w:color w:val="928B81"/>
              <w:sz w:val="18"/>
            </w:rPr>
            <w:t xml:space="preserve"> </w:t>
          </w:r>
          <w:r w:rsidR="00443BCB" w:rsidRPr="0036421D">
            <w:rPr>
              <w:color w:val="928B81"/>
              <w:sz w:val="18"/>
            </w:rPr>
            <w:t xml:space="preserve">Manager </w:t>
          </w:r>
          <w:r w:rsidR="00806EDB">
            <w:rPr>
              <w:color w:val="928B81"/>
              <w:sz w:val="18"/>
            </w:rPr>
            <w:t>Talent Acquisition</w:t>
          </w:r>
        </w:p>
      </w:tc>
      <w:tc>
        <w:tcPr>
          <w:tcW w:w="250" w:type="pct"/>
          <w:vAlign w:val="center"/>
        </w:tcPr>
        <w:p w14:paraId="39597BAE" w14:textId="77777777" w:rsidR="00C03AFD" w:rsidRPr="00C03AFD" w:rsidRDefault="00C03AFD" w:rsidP="00C03AFD">
          <w:pPr>
            <w:pStyle w:val="Footer"/>
            <w:jc w:val="center"/>
            <w:rPr>
              <w:color w:val="928B81"/>
            </w:rPr>
          </w:pPr>
          <w:r w:rsidRPr="00C03AFD">
            <w:rPr>
              <w:noProof/>
              <w:color w:val="928B81"/>
              <w:sz w:val="18"/>
              <w:lang w:eastAsia="en-AU"/>
            </w:rPr>
            <w:fldChar w:fldCharType="begin"/>
          </w:r>
          <w:r w:rsidRPr="00C03AFD">
            <w:rPr>
              <w:noProof/>
              <w:color w:val="928B81"/>
              <w:sz w:val="18"/>
              <w:lang w:eastAsia="en-AU"/>
            </w:rPr>
            <w:instrText xml:space="preserve"> PAGE  \* Arabic </w:instrText>
          </w:r>
          <w:r w:rsidRPr="00C03AFD">
            <w:rPr>
              <w:noProof/>
              <w:color w:val="928B81"/>
              <w:sz w:val="18"/>
              <w:lang w:eastAsia="en-AU"/>
            </w:rPr>
            <w:fldChar w:fldCharType="separate"/>
          </w:r>
          <w:r w:rsidR="00C329E7">
            <w:rPr>
              <w:noProof/>
              <w:color w:val="928B81"/>
              <w:sz w:val="18"/>
              <w:lang w:eastAsia="en-AU"/>
            </w:rPr>
            <w:t>9</w:t>
          </w:r>
          <w:r w:rsidRPr="00C03AFD">
            <w:rPr>
              <w:noProof/>
              <w:color w:val="928B81"/>
              <w:sz w:val="18"/>
              <w:lang w:eastAsia="en-AU"/>
            </w:rPr>
            <w:fldChar w:fldCharType="end"/>
          </w:r>
        </w:p>
      </w:tc>
      <w:tc>
        <w:tcPr>
          <w:tcW w:w="2350" w:type="pct"/>
        </w:tcPr>
        <w:p w14:paraId="39597BAF" w14:textId="5821908B" w:rsidR="00C03AFD" w:rsidRDefault="00F0206D" w:rsidP="00C03AFD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1AB30827" wp14:editId="48A0CF5E">
                <wp:extent cx="504825" cy="533400"/>
                <wp:effectExtent l="0" t="0" r="9525" b="0"/>
                <wp:docPr id="9" name="Picture 9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597BB1" w14:textId="77777777" w:rsidR="00C03AFD" w:rsidRDefault="00C03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0" w:type="dxa"/>
      <w:tblInd w:w="-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5"/>
      <w:gridCol w:w="875"/>
    </w:tblGrid>
    <w:tr w:rsidR="00BB532F" w14:paraId="39597BB9" w14:textId="77777777" w:rsidTr="0047547E">
      <w:trPr>
        <w:trHeight w:val="811"/>
      </w:trPr>
      <w:tc>
        <w:tcPr>
          <w:tcW w:w="10005" w:type="dxa"/>
          <w:vAlign w:val="bottom"/>
        </w:tcPr>
        <w:p w14:paraId="39597BB7" w14:textId="77777777" w:rsidR="00BB532F" w:rsidRPr="00051237" w:rsidRDefault="009C12FA" w:rsidP="00BD7BA7">
          <w:pPr>
            <w:pStyle w:val="Footer"/>
            <w:tabs>
              <w:tab w:val="center" w:pos="5315"/>
            </w:tabs>
          </w:pPr>
          <w:r>
            <w:rPr>
              <w:color w:val="000000" w:themeColor="text1"/>
            </w:rPr>
            <w:ptab w:relativeTo="indent" w:alignment="center" w:leader="none"/>
          </w:r>
          <w:r w:rsidR="00BB532F">
            <w:rPr>
              <w:noProof/>
              <w:lang w:eastAsia="en-AU"/>
            </w:rPr>
            <w:fldChar w:fldCharType="begin"/>
          </w:r>
          <w:r w:rsidR="00BB532F">
            <w:rPr>
              <w:noProof/>
              <w:lang w:eastAsia="en-AU"/>
            </w:rPr>
            <w:instrText xml:space="preserve"> PAGE  \* Arabic </w:instrText>
          </w:r>
          <w:r w:rsidR="00BB532F">
            <w:rPr>
              <w:noProof/>
              <w:lang w:eastAsia="en-AU"/>
            </w:rPr>
            <w:fldChar w:fldCharType="separate"/>
          </w:r>
          <w:r w:rsidR="00C329E7">
            <w:rPr>
              <w:noProof/>
              <w:lang w:eastAsia="en-AU"/>
            </w:rPr>
            <w:t>1</w:t>
          </w:r>
          <w:r w:rsidR="00BB532F">
            <w:rPr>
              <w:noProof/>
              <w:lang w:eastAsia="en-AU"/>
            </w:rPr>
            <w:fldChar w:fldCharType="end"/>
          </w:r>
        </w:p>
      </w:tc>
      <w:tc>
        <w:tcPr>
          <w:tcW w:w="875" w:type="dxa"/>
        </w:tcPr>
        <w:p w14:paraId="39597BB8" w14:textId="77777777" w:rsidR="00BB532F" w:rsidRDefault="00BB532F" w:rsidP="00BD7BA7">
          <w:pPr>
            <w:pStyle w:val="Footer"/>
            <w:jc w:val="right"/>
          </w:pPr>
        </w:p>
      </w:tc>
    </w:tr>
  </w:tbl>
  <w:p w14:paraId="39597BBA" w14:textId="77777777" w:rsidR="00BB532F" w:rsidRDefault="00BB5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F2526" w14:textId="77777777" w:rsidR="00FA52F6" w:rsidRDefault="00FA52F6" w:rsidP="00BB532F">
      <w:pPr>
        <w:spacing w:after="0" w:line="240" w:lineRule="auto"/>
      </w:pPr>
      <w:r>
        <w:separator/>
      </w:r>
    </w:p>
  </w:footnote>
  <w:footnote w:type="continuationSeparator" w:id="0">
    <w:p w14:paraId="50EBBB6B" w14:textId="77777777" w:rsidR="00FA52F6" w:rsidRDefault="00FA52F6" w:rsidP="00BB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2"/>
      <w:gridCol w:w="3688"/>
    </w:tblGrid>
    <w:tr w:rsidR="007E2FB7" w14:paraId="39597BB5" w14:textId="77777777" w:rsidTr="00894A73">
      <w:trPr>
        <w:trHeight w:val="813"/>
      </w:trPr>
      <w:tc>
        <w:tcPr>
          <w:tcW w:w="7082" w:type="dxa"/>
        </w:tcPr>
        <w:p w14:paraId="39597BB2" w14:textId="77777777" w:rsidR="007E2FB7" w:rsidRDefault="007E2FB7" w:rsidP="001C2248">
          <w:pPr>
            <w:pStyle w:val="TitleSub"/>
            <w:spacing w:after="0"/>
            <w:rPr>
              <w:rFonts w:ascii="Arial" w:hAnsi="Arial" w:cs="Arial"/>
            </w:rPr>
          </w:pPr>
          <w:r w:rsidRPr="001E49B2">
            <w:rPr>
              <w:rFonts w:ascii="Arial" w:hAnsi="Arial" w:cs="Arial"/>
            </w:rPr>
            <w:t>Role Description</w:t>
          </w:r>
        </w:p>
        <w:p w14:paraId="29474AF9" w14:textId="77777777" w:rsidR="00935EE2" w:rsidRDefault="0090309F" w:rsidP="00806EDB">
          <w:pPr>
            <w:pStyle w:val="TitleSub"/>
            <w:spacing w:after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Senior </w:t>
          </w:r>
          <w:r w:rsidR="00935EE2" w:rsidRPr="00935EE2">
            <w:rPr>
              <w:rFonts w:ascii="Arial" w:hAnsi="Arial" w:cs="Arial"/>
              <w:b/>
            </w:rPr>
            <w:t xml:space="preserve">Manager </w:t>
          </w:r>
          <w:r w:rsidR="00806EDB">
            <w:rPr>
              <w:rFonts w:ascii="Arial" w:hAnsi="Arial" w:cs="Arial"/>
              <w:b/>
            </w:rPr>
            <w:t>Talent Acquisition</w:t>
          </w:r>
        </w:p>
        <w:p w14:paraId="39597BB3" w14:textId="1EEC8D98" w:rsidR="00FC39BC" w:rsidRPr="00935EE2" w:rsidRDefault="00FC39BC" w:rsidP="00806EDB">
          <w:pPr>
            <w:pStyle w:val="TitleSub"/>
            <w:spacing w:after="0"/>
            <w:rPr>
              <w:rFonts w:ascii="Arial" w:hAnsi="Arial" w:cs="Arial"/>
              <w:b/>
            </w:rPr>
          </w:pPr>
        </w:p>
      </w:tc>
      <w:tc>
        <w:tcPr>
          <w:tcW w:w="3688" w:type="dxa"/>
        </w:tcPr>
        <w:p w14:paraId="39597BB4" w14:textId="74C1B960" w:rsidR="000477E1" w:rsidRPr="000477E1" w:rsidRDefault="00FC39BC" w:rsidP="00A96D04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6F17BFB" wp14:editId="3E5A88B5">
                <wp:simplePos x="0" y="0"/>
                <wp:positionH relativeFrom="column">
                  <wp:posOffset>1426210</wp:posOffset>
                </wp:positionH>
                <wp:positionV relativeFrom="paragraph">
                  <wp:posOffset>2091</wp:posOffset>
                </wp:positionV>
                <wp:extent cx="847458" cy="900000"/>
                <wp:effectExtent l="0" t="0" r="0" b="0"/>
                <wp:wrapThrough wrapText="bothSides">
                  <wp:wrapPolygon edited="0">
                    <wp:start x="0" y="0"/>
                    <wp:lineTo x="0" y="21036"/>
                    <wp:lineTo x="20888" y="21036"/>
                    <wp:lineTo x="20888" y="0"/>
                    <wp:lineTo x="0" y="0"/>
                  </wp:wrapPolygon>
                </wp:wrapThrough>
                <wp:docPr id="106992674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9926742" name="Picture 106992674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458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39597BB6" w14:textId="77777777" w:rsidR="007E2FB7" w:rsidRDefault="007E2FB7" w:rsidP="00A21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EF1316"/>
    <w:multiLevelType w:val="hybridMultilevel"/>
    <w:tmpl w:val="31C8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C1EFB"/>
    <w:multiLevelType w:val="hybridMultilevel"/>
    <w:tmpl w:val="625E1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40BAE"/>
    <w:multiLevelType w:val="hybridMultilevel"/>
    <w:tmpl w:val="990A8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B797F"/>
    <w:multiLevelType w:val="hybridMultilevel"/>
    <w:tmpl w:val="B8DC4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C62DE"/>
    <w:multiLevelType w:val="hybridMultilevel"/>
    <w:tmpl w:val="49CA61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0634A"/>
    <w:multiLevelType w:val="hybridMultilevel"/>
    <w:tmpl w:val="B776A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D23D8"/>
    <w:multiLevelType w:val="hybridMultilevel"/>
    <w:tmpl w:val="8302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602075">
    <w:abstractNumId w:val="0"/>
  </w:num>
  <w:num w:numId="2" w16cid:durableId="833909606">
    <w:abstractNumId w:val="1"/>
  </w:num>
  <w:num w:numId="3" w16cid:durableId="753823093">
    <w:abstractNumId w:val="5"/>
  </w:num>
  <w:num w:numId="4" w16cid:durableId="912859699">
    <w:abstractNumId w:val="8"/>
  </w:num>
  <w:num w:numId="5" w16cid:durableId="882596350">
    <w:abstractNumId w:val="0"/>
  </w:num>
  <w:num w:numId="6" w16cid:durableId="1182428247">
    <w:abstractNumId w:val="0"/>
  </w:num>
  <w:num w:numId="7" w16cid:durableId="384917200">
    <w:abstractNumId w:val="0"/>
  </w:num>
  <w:num w:numId="8" w16cid:durableId="1645282314">
    <w:abstractNumId w:val="0"/>
  </w:num>
  <w:num w:numId="9" w16cid:durableId="1032001057">
    <w:abstractNumId w:val="0"/>
  </w:num>
  <w:num w:numId="10" w16cid:durableId="27144325">
    <w:abstractNumId w:val="2"/>
  </w:num>
  <w:num w:numId="11" w16cid:durableId="2034307042">
    <w:abstractNumId w:val="4"/>
  </w:num>
  <w:num w:numId="12" w16cid:durableId="637220953">
    <w:abstractNumId w:val="6"/>
  </w:num>
  <w:num w:numId="13" w16cid:durableId="1083839996">
    <w:abstractNumId w:val="0"/>
  </w:num>
  <w:num w:numId="14" w16cid:durableId="131169256">
    <w:abstractNumId w:val="7"/>
  </w:num>
  <w:num w:numId="15" w16cid:durableId="1666938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2F"/>
    <w:rsid w:val="00005219"/>
    <w:rsid w:val="0001016C"/>
    <w:rsid w:val="00012FA9"/>
    <w:rsid w:val="00015566"/>
    <w:rsid w:val="0001706E"/>
    <w:rsid w:val="00020023"/>
    <w:rsid w:val="000220D1"/>
    <w:rsid w:val="00022223"/>
    <w:rsid w:val="00024E73"/>
    <w:rsid w:val="00026543"/>
    <w:rsid w:val="000271DF"/>
    <w:rsid w:val="00027E23"/>
    <w:rsid w:val="00030565"/>
    <w:rsid w:val="0003263C"/>
    <w:rsid w:val="00032B07"/>
    <w:rsid w:val="00035639"/>
    <w:rsid w:val="0003564E"/>
    <w:rsid w:val="00037FD5"/>
    <w:rsid w:val="000406D8"/>
    <w:rsid w:val="000411F6"/>
    <w:rsid w:val="000477E1"/>
    <w:rsid w:val="000555A0"/>
    <w:rsid w:val="00060B58"/>
    <w:rsid w:val="000645C8"/>
    <w:rsid w:val="000662AF"/>
    <w:rsid w:val="00067161"/>
    <w:rsid w:val="00071332"/>
    <w:rsid w:val="00073DD5"/>
    <w:rsid w:val="0009388A"/>
    <w:rsid w:val="000A2621"/>
    <w:rsid w:val="000A2731"/>
    <w:rsid w:val="000A51A9"/>
    <w:rsid w:val="000C00E5"/>
    <w:rsid w:val="000C3CC8"/>
    <w:rsid w:val="000D12B3"/>
    <w:rsid w:val="000D799A"/>
    <w:rsid w:val="000F231F"/>
    <w:rsid w:val="000F56EF"/>
    <w:rsid w:val="00104EC7"/>
    <w:rsid w:val="001052E7"/>
    <w:rsid w:val="001336E8"/>
    <w:rsid w:val="0013413E"/>
    <w:rsid w:val="00134F5E"/>
    <w:rsid w:val="00153F10"/>
    <w:rsid w:val="00162560"/>
    <w:rsid w:val="00165754"/>
    <w:rsid w:val="00165809"/>
    <w:rsid w:val="001671DC"/>
    <w:rsid w:val="00172DFE"/>
    <w:rsid w:val="0018091E"/>
    <w:rsid w:val="001815E8"/>
    <w:rsid w:val="00184DEB"/>
    <w:rsid w:val="00185ABC"/>
    <w:rsid w:val="00194A32"/>
    <w:rsid w:val="00194E98"/>
    <w:rsid w:val="001A00F1"/>
    <w:rsid w:val="001A1AA1"/>
    <w:rsid w:val="001A1EC8"/>
    <w:rsid w:val="001A4F0B"/>
    <w:rsid w:val="001B1F0F"/>
    <w:rsid w:val="001B5DFD"/>
    <w:rsid w:val="001B64F9"/>
    <w:rsid w:val="001B75A6"/>
    <w:rsid w:val="001C0E5F"/>
    <w:rsid w:val="001C2248"/>
    <w:rsid w:val="001C23F4"/>
    <w:rsid w:val="001C5166"/>
    <w:rsid w:val="001C5A46"/>
    <w:rsid w:val="001D097C"/>
    <w:rsid w:val="001D1DBF"/>
    <w:rsid w:val="001D2E4C"/>
    <w:rsid w:val="001E2792"/>
    <w:rsid w:val="001E27DB"/>
    <w:rsid w:val="001E49B2"/>
    <w:rsid w:val="001F2503"/>
    <w:rsid w:val="001F4B2B"/>
    <w:rsid w:val="00201E8B"/>
    <w:rsid w:val="00205A8A"/>
    <w:rsid w:val="00211B6E"/>
    <w:rsid w:val="00211F68"/>
    <w:rsid w:val="0021438E"/>
    <w:rsid w:val="00235569"/>
    <w:rsid w:val="00237421"/>
    <w:rsid w:val="00237EAE"/>
    <w:rsid w:val="00240A8E"/>
    <w:rsid w:val="00263ACB"/>
    <w:rsid w:val="00266912"/>
    <w:rsid w:val="00273524"/>
    <w:rsid w:val="00280887"/>
    <w:rsid w:val="0028314F"/>
    <w:rsid w:val="00287C54"/>
    <w:rsid w:val="002A648F"/>
    <w:rsid w:val="002A78BA"/>
    <w:rsid w:val="002B0B83"/>
    <w:rsid w:val="002B1F76"/>
    <w:rsid w:val="002B5704"/>
    <w:rsid w:val="002B6BA9"/>
    <w:rsid w:val="002C2823"/>
    <w:rsid w:val="002C496A"/>
    <w:rsid w:val="002C616A"/>
    <w:rsid w:val="002D336D"/>
    <w:rsid w:val="002D36BB"/>
    <w:rsid w:val="002D3D2E"/>
    <w:rsid w:val="002F4EA2"/>
    <w:rsid w:val="00300C40"/>
    <w:rsid w:val="00301747"/>
    <w:rsid w:val="00316A5D"/>
    <w:rsid w:val="0032117E"/>
    <w:rsid w:val="00325E9D"/>
    <w:rsid w:val="00327F5C"/>
    <w:rsid w:val="00336011"/>
    <w:rsid w:val="00340ADC"/>
    <w:rsid w:val="00343491"/>
    <w:rsid w:val="00345199"/>
    <w:rsid w:val="003467F5"/>
    <w:rsid w:val="00346D51"/>
    <w:rsid w:val="00351826"/>
    <w:rsid w:val="00351C3F"/>
    <w:rsid w:val="00351D50"/>
    <w:rsid w:val="00361F4E"/>
    <w:rsid w:val="0036421D"/>
    <w:rsid w:val="00372A99"/>
    <w:rsid w:val="00373737"/>
    <w:rsid w:val="00375289"/>
    <w:rsid w:val="00377118"/>
    <w:rsid w:val="003927AE"/>
    <w:rsid w:val="0039395B"/>
    <w:rsid w:val="003966DA"/>
    <w:rsid w:val="003A1185"/>
    <w:rsid w:val="003A2AFA"/>
    <w:rsid w:val="003A3538"/>
    <w:rsid w:val="003A5839"/>
    <w:rsid w:val="003B0F42"/>
    <w:rsid w:val="003B403A"/>
    <w:rsid w:val="003C00FD"/>
    <w:rsid w:val="003C031F"/>
    <w:rsid w:val="003C0974"/>
    <w:rsid w:val="003C2846"/>
    <w:rsid w:val="003C3E76"/>
    <w:rsid w:val="003C5EB3"/>
    <w:rsid w:val="003D3729"/>
    <w:rsid w:val="003D5227"/>
    <w:rsid w:val="003E2663"/>
    <w:rsid w:val="003E6D81"/>
    <w:rsid w:val="003F3724"/>
    <w:rsid w:val="003F496E"/>
    <w:rsid w:val="00404969"/>
    <w:rsid w:val="00405EB0"/>
    <w:rsid w:val="004064D7"/>
    <w:rsid w:val="004078B3"/>
    <w:rsid w:val="00411F3E"/>
    <w:rsid w:val="0041525E"/>
    <w:rsid w:val="00416D58"/>
    <w:rsid w:val="004203B4"/>
    <w:rsid w:val="00436621"/>
    <w:rsid w:val="00442732"/>
    <w:rsid w:val="00443BCB"/>
    <w:rsid w:val="0045299A"/>
    <w:rsid w:val="00463235"/>
    <w:rsid w:val="00466287"/>
    <w:rsid w:val="004677EE"/>
    <w:rsid w:val="00472130"/>
    <w:rsid w:val="0047547E"/>
    <w:rsid w:val="00477570"/>
    <w:rsid w:val="00477EB1"/>
    <w:rsid w:val="00491082"/>
    <w:rsid w:val="00492AA6"/>
    <w:rsid w:val="004951A1"/>
    <w:rsid w:val="00497EC1"/>
    <w:rsid w:val="004A6664"/>
    <w:rsid w:val="004A714C"/>
    <w:rsid w:val="004C001F"/>
    <w:rsid w:val="004C45E2"/>
    <w:rsid w:val="004D0C22"/>
    <w:rsid w:val="004D15E4"/>
    <w:rsid w:val="004D20F2"/>
    <w:rsid w:val="004D27AF"/>
    <w:rsid w:val="004D27C8"/>
    <w:rsid w:val="004D68A6"/>
    <w:rsid w:val="004E2113"/>
    <w:rsid w:val="004E44A5"/>
    <w:rsid w:val="004E474E"/>
    <w:rsid w:val="004E7F32"/>
    <w:rsid w:val="004F2345"/>
    <w:rsid w:val="00502DBF"/>
    <w:rsid w:val="00506B3A"/>
    <w:rsid w:val="00521D19"/>
    <w:rsid w:val="00523CFF"/>
    <w:rsid w:val="00527B56"/>
    <w:rsid w:val="00527FCF"/>
    <w:rsid w:val="005307BA"/>
    <w:rsid w:val="005375A4"/>
    <w:rsid w:val="00545AC6"/>
    <w:rsid w:val="00545D26"/>
    <w:rsid w:val="00551038"/>
    <w:rsid w:val="0059035B"/>
    <w:rsid w:val="00591AD8"/>
    <w:rsid w:val="005A397B"/>
    <w:rsid w:val="005A5F47"/>
    <w:rsid w:val="005B10E1"/>
    <w:rsid w:val="005B1352"/>
    <w:rsid w:val="005B5053"/>
    <w:rsid w:val="005C7AF5"/>
    <w:rsid w:val="005D2CEC"/>
    <w:rsid w:val="005D4AF1"/>
    <w:rsid w:val="005D71EA"/>
    <w:rsid w:val="005E6C59"/>
    <w:rsid w:val="005E75FC"/>
    <w:rsid w:val="005F4B69"/>
    <w:rsid w:val="005F573E"/>
    <w:rsid w:val="005F5FD1"/>
    <w:rsid w:val="005F7EE8"/>
    <w:rsid w:val="00600C7E"/>
    <w:rsid w:val="006022B4"/>
    <w:rsid w:val="00603D53"/>
    <w:rsid w:val="00612673"/>
    <w:rsid w:val="00612AFA"/>
    <w:rsid w:val="00614552"/>
    <w:rsid w:val="00621D45"/>
    <w:rsid w:val="00623950"/>
    <w:rsid w:val="00626492"/>
    <w:rsid w:val="0063544E"/>
    <w:rsid w:val="00640189"/>
    <w:rsid w:val="00645136"/>
    <w:rsid w:val="0065080B"/>
    <w:rsid w:val="006538BF"/>
    <w:rsid w:val="00664D29"/>
    <w:rsid w:val="00673E75"/>
    <w:rsid w:val="00674D4C"/>
    <w:rsid w:val="006754C7"/>
    <w:rsid w:val="00683870"/>
    <w:rsid w:val="00695EAB"/>
    <w:rsid w:val="006A20EF"/>
    <w:rsid w:val="006A2280"/>
    <w:rsid w:val="006A2A7F"/>
    <w:rsid w:val="006A5826"/>
    <w:rsid w:val="006B5BAB"/>
    <w:rsid w:val="006B723B"/>
    <w:rsid w:val="006C2473"/>
    <w:rsid w:val="006C4218"/>
    <w:rsid w:val="006D1FBC"/>
    <w:rsid w:val="006E2507"/>
    <w:rsid w:val="006E28E7"/>
    <w:rsid w:val="006F6652"/>
    <w:rsid w:val="006F7124"/>
    <w:rsid w:val="006F7FA4"/>
    <w:rsid w:val="00701F8B"/>
    <w:rsid w:val="007041EA"/>
    <w:rsid w:val="00710661"/>
    <w:rsid w:val="007249EC"/>
    <w:rsid w:val="00725626"/>
    <w:rsid w:val="00725669"/>
    <w:rsid w:val="0073014F"/>
    <w:rsid w:val="007345B9"/>
    <w:rsid w:val="00735B28"/>
    <w:rsid w:val="00735E89"/>
    <w:rsid w:val="00741149"/>
    <w:rsid w:val="00741F0E"/>
    <w:rsid w:val="00742966"/>
    <w:rsid w:val="00753EEE"/>
    <w:rsid w:val="00767553"/>
    <w:rsid w:val="00771538"/>
    <w:rsid w:val="007736B4"/>
    <w:rsid w:val="00773975"/>
    <w:rsid w:val="00776DCB"/>
    <w:rsid w:val="00780299"/>
    <w:rsid w:val="007862DE"/>
    <w:rsid w:val="00786A0F"/>
    <w:rsid w:val="0079076A"/>
    <w:rsid w:val="00792A3E"/>
    <w:rsid w:val="00794338"/>
    <w:rsid w:val="00794CC1"/>
    <w:rsid w:val="00794E0E"/>
    <w:rsid w:val="00795244"/>
    <w:rsid w:val="007A582B"/>
    <w:rsid w:val="007B32AB"/>
    <w:rsid w:val="007B4CCB"/>
    <w:rsid w:val="007B7C1F"/>
    <w:rsid w:val="007C0486"/>
    <w:rsid w:val="007C21C8"/>
    <w:rsid w:val="007D0E2E"/>
    <w:rsid w:val="007E2DDF"/>
    <w:rsid w:val="007E2FB7"/>
    <w:rsid w:val="007E77DC"/>
    <w:rsid w:val="007F7077"/>
    <w:rsid w:val="00801E41"/>
    <w:rsid w:val="008044BB"/>
    <w:rsid w:val="00805561"/>
    <w:rsid w:val="00806EDB"/>
    <w:rsid w:val="00806FE1"/>
    <w:rsid w:val="00807ED1"/>
    <w:rsid w:val="00817B11"/>
    <w:rsid w:val="008203EE"/>
    <w:rsid w:val="00820713"/>
    <w:rsid w:val="008218C1"/>
    <w:rsid w:val="008267A0"/>
    <w:rsid w:val="008308A7"/>
    <w:rsid w:val="0083547C"/>
    <w:rsid w:val="0083623A"/>
    <w:rsid w:val="00843197"/>
    <w:rsid w:val="008476E6"/>
    <w:rsid w:val="0085706D"/>
    <w:rsid w:val="00860904"/>
    <w:rsid w:val="00861804"/>
    <w:rsid w:val="008841BF"/>
    <w:rsid w:val="00894A73"/>
    <w:rsid w:val="00895190"/>
    <w:rsid w:val="008A0EBB"/>
    <w:rsid w:val="008A1197"/>
    <w:rsid w:val="008A13AC"/>
    <w:rsid w:val="008B2BE2"/>
    <w:rsid w:val="008B74C1"/>
    <w:rsid w:val="008C0B4D"/>
    <w:rsid w:val="008C37C8"/>
    <w:rsid w:val="008C7FDE"/>
    <w:rsid w:val="008D7766"/>
    <w:rsid w:val="008E08E3"/>
    <w:rsid w:val="008E1E79"/>
    <w:rsid w:val="008F23E9"/>
    <w:rsid w:val="008F2447"/>
    <w:rsid w:val="00902EC0"/>
    <w:rsid w:val="0090309F"/>
    <w:rsid w:val="00905DC1"/>
    <w:rsid w:val="009077E2"/>
    <w:rsid w:val="00910F45"/>
    <w:rsid w:val="00911725"/>
    <w:rsid w:val="00917E5E"/>
    <w:rsid w:val="00926AD1"/>
    <w:rsid w:val="009351E9"/>
    <w:rsid w:val="00935EE2"/>
    <w:rsid w:val="00940A46"/>
    <w:rsid w:val="00940C04"/>
    <w:rsid w:val="009478AB"/>
    <w:rsid w:val="009523EC"/>
    <w:rsid w:val="00956E94"/>
    <w:rsid w:val="00957666"/>
    <w:rsid w:val="00963288"/>
    <w:rsid w:val="00964A6C"/>
    <w:rsid w:val="00970179"/>
    <w:rsid w:val="00977E40"/>
    <w:rsid w:val="00981D06"/>
    <w:rsid w:val="00982D33"/>
    <w:rsid w:val="009830B2"/>
    <w:rsid w:val="00985984"/>
    <w:rsid w:val="00994DCE"/>
    <w:rsid w:val="0099587E"/>
    <w:rsid w:val="009979FA"/>
    <w:rsid w:val="009A2125"/>
    <w:rsid w:val="009A45A7"/>
    <w:rsid w:val="009B3103"/>
    <w:rsid w:val="009C0095"/>
    <w:rsid w:val="009C12FA"/>
    <w:rsid w:val="009C1E98"/>
    <w:rsid w:val="009D150C"/>
    <w:rsid w:val="009D1F64"/>
    <w:rsid w:val="009D72FE"/>
    <w:rsid w:val="009D747B"/>
    <w:rsid w:val="009F61B1"/>
    <w:rsid w:val="00A00C30"/>
    <w:rsid w:val="00A017CC"/>
    <w:rsid w:val="00A02AEF"/>
    <w:rsid w:val="00A14101"/>
    <w:rsid w:val="00A14A03"/>
    <w:rsid w:val="00A2122C"/>
    <w:rsid w:val="00A24264"/>
    <w:rsid w:val="00A248DF"/>
    <w:rsid w:val="00A32CD7"/>
    <w:rsid w:val="00A40DED"/>
    <w:rsid w:val="00A41E4E"/>
    <w:rsid w:val="00A4412E"/>
    <w:rsid w:val="00A47353"/>
    <w:rsid w:val="00A6675F"/>
    <w:rsid w:val="00A707E0"/>
    <w:rsid w:val="00A73C38"/>
    <w:rsid w:val="00A77B0C"/>
    <w:rsid w:val="00A830B1"/>
    <w:rsid w:val="00A83932"/>
    <w:rsid w:val="00A8452D"/>
    <w:rsid w:val="00A85305"/>
    <w:rsid w:val="00A8686E"/>
    <w:rsid w:val="00A8732A"/>
    <w:rsid w:val="00A91173"/>
    <w:rsid w:val="00A924D2"/>
    <w:rsid w:val="00A96D04"/>
    <w:rsid w:val="00A970A2"/>
    <w:rsid w:val="00AA34F3"/>
    <w:rsid w:val="00AB120A"/>
    <w:rsid w:val="00AB50E4"/>
    <w:rsid w:val="00AC04D7"/>
    <w:rsid w:val="00AC1AF9"/>
    <w:rsid w:val="00AC742D"/>
    <w:rsid w:val="00AC7DC9"/>
    <w:rsid w:val="00AE14D7"/>
    <w:rsid w:val="00AE18D5"/>
    <w:rsid w:val="00AF01AC"/>
    <w:rsid w:val="00AF3FE7"/>
    <w:rsid w:val="00AF7D0C"/>
    <w:rsid w:val="00B01724"/>
    <w:rsid w:val="00B03C21"/>
    <w:rsid w:val="00B0574B"/>
    <w:rsid w:val="00B10AB7"/>
    <w:rsid w:val="00B2037F"/>
    <w:rsid w:val="00B262BC"/>
    <w:rsid w:val="00B32691"/>
    <w:rsid w:val="00B407F6"/>
    <w:rsid w:val="00B54E74"/>
    <w:rsid w:val="00B56B73"/>
    <w:rsid w:val="00B635E3"/>
    <w:rsid w:val="00B664DB"/>
    <w:rsid w:val="00B72B4F"/>
    <w:rsid w:val="00B835C0"/>
    <w:rsid w:val="00B876AF"/>
    <w:rsid w:val="00B9055C"/>
    <w:rsid w:val="00B944DD"/>
    <w:rsid w:val="00B9533C"/>
    <w:rsid w:val="00BA3AB4"/>
    <w:rsid w:val="00BA759E"/>
    <w:rsid w:val="00BB12E9"/>
    <w:rsid w:val="00BB532F"/>
    <w:rsid w:val="00BC162D"/>
    <w:rsid w:val="00BC2FE4"/>
    <w:rsid w:val="00BC30CD"/>
    <w:rsid w:val="00BD4DDA"/>
    <w:rsid w:val="00BE1181"/>
    <w:rsid w:val="00BE4EAE"/>
    <w:rsid w:val="00BE6E24"/>
    <w:rsid w:val="00BE740B"/>
    <w:rsid w:val="00BF5DDE"/>
    <w:rsid w:val="00C01AFF"/>
    <w:rsid w:val="00C01CED"/>
    <w:rsid w:val="00C03AFD"/>
    <w:rsid w:val="00C04666"/>
    <w:rsid w:val="00C04E15"/>
    <w:rsid w:val="00C23E79"/>
    <w:rsid w:val="00C271F9"/>
    <w:rsid w:val="00C329E7"/>
    <w:rsid w:val="00C470CB"/>
    <w:rsid w:val="00C517B6"/>
    <w:rsid w:val="00C63F0F"/>
    <w:rsid w:val="00C655A8"/>
    <w:rsid w:val="00C70636"/>
    <w:rsid w:val="00C70842"/>
    <w:rsid w:val="00C740FF"/>
    <w:rsid w:val="00C8325E"/>
    <w:rsid w:val="00C8578E"/>
    <w:rsid w:val="00C861F7"/>
    <w:rsid w:val="00CA3DE5"/>
    <w:rsid w:val="00CA76B5"/>
    <w:rsid w:val="00CC76F2"/>
    <w:rsid w:val="00CD323E"/>
    <w:rsid w:val="00CD71D0"/>
    <w:rsid w:val="00CE105E"/>
    <w:rsid w:val="00CE1E5E"/>
    <w:rsid w:val="00CE3853"/>
    <w:rsid w:val="00CF00A5"/>
    <w:rsid w:val="00CF2A85"/>
    <w:rsid w:val="00D05137"/>
    <w:rsid w:val="00D168A6"/>
    <w:rsid w:val="00D269C9"/>
    <w:rsid w:val="00D312DA"/>
    <w:rsid w:val="00D351CC"/>
    <w:rsid w:val="00D354C7"/>
    <w:rsid w:val="00D36935"/>
    <w:rsid w:val="00D42838"/>
    <w:rsid w:val="00D51479"/>
    <w:rsid w:val="00D55E55"/>
    <w:rsid w:val="00D6084A"/>
    <w:rsid w:val="00D64165"/>
    <w:rsid w:val="00D663ED"/>
    <w:rsid w:val="00D66BB4"/>
    <w:rsid w:val="00D67A17"/>
    <w:rsid w:val="00D74882"/>
    <w:rsid w:val="00D759EE"/>
    <w:rsid w:val="00D94F5C"/>
    <w:rsid w:val="00D956AA"/>
    <w:rsid w:val="00DA45C4"/>
    <w:rsid w:val="00DA543F"/>
    <w:rsid w:val="00DA574B"/>
    <w:rsid w:val="00DA68D9"/>
    <w:rsid w:val="00DC0173"/>
    <w:rsid w:val="00DC11EA"/>
    <w:rsid w:val="00DC4056"/>
    <w:rsid w:val="00DC6FA6"/>
    <w:rsid w:val="00DE2130"/>
    <w:rsid w:val="00DE2472"/>
    <w:rsid w:val="00DE498C"/>
    <w:rsid w:val="00DE58C6"/>
    <w:rsid w:val="00DE6C80"/>
    <w:rsid w:val="00DF1540"/>
    <w:rsid w:val="00DF218B"/>
    <w:rsid w:val="00DF2209"/>
    <w:rsid w:val="00DF4CEC"/>
    <w:rsid w:val="00DF5EB4"/>
    <w:rsid w:val="00E16B03"/>
    <w:rsid w:val="00E2126D"/>
    <w:rsid w:val="00E25470"/>
    <w:rsid w:val="00E27471"/>
    <w:rsid w:val="00E2759A"/>
    <w:rsid w:val="00E310E1"/>
    <w:rsid w:val="00E34A14"/>
    <w:rsid w:val="00E44564"/>
    <w:rsid w:val="00E55704"/>
    <w:rsid w:val="00E565B9"/>
    <w:rsid w:val="00E718FE"/>
    <w:rsid w:val="00E72D70"/>
    <w:rsid w:val="00E747B4"/>
    <w:rsid w:val="00E80A46"/>
    <w:rsid w:val="00E816D2"/>
    <w:rsid w:val="00E83B02"/>
    <w:rsid w:val="00E83B06"/>
    <w:rsid w:val="00E85FA0"/>
    <w:rsid w:val="00E87997"/>
    <w:rsid w:val="00E95F38"/>
    <w:rsid w:val="00EA551F"/>
    <w:rsid w:val="00EA7A67"/>
    <w:rsid w:val="00EB4648"/>
    <w:rsid w:val="00EB6919"/>
    <w:rsid w:val="00EB753E"/>
    <w:rsid w:val="00EC0B04"/>
    <w:rsid w:val="00EC4A51"/>
    <w:rsid w:val="00EC4B46"/>
    <w:rsid w:val="00EC5C1D"/>
    <w:rsid w:val="00EC7BF5"/>
    <w:rsid w:val="00ED176B"/>
    <w:rsid w:val="00ED5CC6"/>
    <w:rsid w:val="00ED7943"/>
    <w:rsid w:val="00EF159C"/>
    <w:rsid w:val="00F0206D"/>
    <w:rsid w:val="00F07C69"/>
    <w:rsid w:val="00F15669"/>
    <w:rsid w:val="00F31B35"/>
    <w:rsid w:val="00F339CD"/>
    <w:rsid w:val="00F33A43"/>
    <w:rsid w:val="00F41650"/>
    <w:rsid w:val="00F4291B"/>
    <w:rsid w:val="00F47143"/>
    <w:rsid w:val="00F8194E"/>
    <w:rsid w:val="00F83D95"/>
    <w:rsid w:val="00F9569D"/>
    <w:rsid w:val="00FA52F6"/>
    <w:rsid w:val="00FA650B"/>
    <w:rsid w:val="00FA705E"/>
    <w:rsid w:val="00FC155D"/>
    <w:rsid w:val="00FC2488"/>
    <w:rsid w:val="00FC306C"/>
    <w:rsid w:val="00FC39BC"/>
    <w:rsid w:val="00FC55F6"/>
    <w:rsid w:val="00FC6457"/>
    <w:rsid w:val="00FC6ECA"/>
    <w:rsid w:val="00FD0E4D"/>
    <w:rsid w:val="00FD3076"/>
    <w:rsid w:val="00FD46BA"/>
    <w:rsid w:val="00FE1CBC"/>
    <w:rsid w:val="00FE2E58"/>
    <w:rsid w:val="00FE5458"/>
    <w:rsid w:val="00FF35CF"/>
    <w:rsid w:val="00FF458C"/>
    <w:rsid w:val="00FF467A"/>
    <w:rsid w:val="00FF6336"/>
    <w:rsid w:val="00FF6513"/>
    <w:rsid w:val="7C1C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97A64"/>
  <w15:docId w15:val="{8B4D2443-FF27-4C4A-8C3C-65B50A2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04"/>
  </w:style>
  <w:style w:type="paragraph" w:styleId="Heading1">
    <w:name w:val="heading 1"/>
    <w:basedOn w:val="Normal"/>
    <w:next w:val="Normal"/>
    <w:link w:val="Heading1Char"/>
    <w:uiPriority w:val="1"/>
    <w:qFormat/>
    <w:rsid w:val="00994DCE"/>
    <w:pPr>
      <w:keepNext/>
      <w:spacing w:after="120" w:line="400" w:lineRule="atLeast"/>
      <w:outlineLvl w:val="0"/>
    </w:pPr>
    <w:rPr>
      <w:rFonts w:eastAsiaTheme="minorHAnsi" w:cs="Arial"/>
      <w:b/>
      <w:bCs/>
      <w:kern w:val="32"/>
      <w:sz w:val="26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4DCE"/>
    <w:pPr>
      <w:keepNext/>
      <w:spacing w:after="120" w:line="260" w:lineRule="atLeast"/>
      <w:outlineLvl w:val="1"/>
    </w:pPr>
    <w:rPr>
      <w:rFonts w:eastAsiaTheme="minorHAnsi" w:cs="Arial"/>
      <w:b/>
      <w:bCs/>
      <w:iCs/>
      <w:color w:val="6D6E71"/>
      <w:sz w:val="24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CGreen">
    <w:name w:val="PSC_Green"/>
    <w:basedOn w:val="TableNormal"/>
    <w:uiPriority w:val="99"/>
    <w:rsid w:val="00BB532F"/>
    <w:pPr>
      <w:spacing w:after="0" w:line="280" w:lineRule="atLeast"/>
    </w:pPr>
    <w:rPr>
      <w:rFonts w:eastAsiaTheme="minorHAnsi" w:cs="Times New Roman"/>
      <w:color w:val="FFFFFF" w:themeColor="background1"/>
      <w:sz w:val="20"/>
      <w:szCs w:val="20"/>
      <w:lang w:val="en-AU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color w:val="FFFFFF"/>
      <w:sz w:val="20"/>
      <w:szCs w:val="20"/>
      <w:lang w:val="en-AU"/>
    </w:rPr>
  </w:style>
  <w:style w:type="table" w:customStyle="1" w:styleId="PSCPurple">
    <w:name w:val="PSC_Purple"/>
    <w:basedOn w:val="TableNormal"/>
    <w:uiPriority w:val="99"/>
    <w:rsid w:val="00BB532F"/>
    <w:pPr>
      <w:spacing w:after="0" w:line="240" w:lineRule="auto"/>
    </w:pPr>
    <w:rPr>
      <w:rFonts w:eastAsiaTheme="minorHAnsi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BB532F"/>
    <w:rPr>
      <w:color w:val="auto"/>
    </w:rPr>
  </w:style>
  <w:style w:type="paragraph" w:customStyle="1" w:styleId="TableTextWhite0">
    <w:name w:val="Table_Text_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b/>
      <w:color w:val="FFFFFF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2F"/>
  </w:style>
  <w:style w:type="paragraph" w:styleId="Footer">
    <w:name w:val="footer"/>
    <w:basedOn w:val="Normal"/>
    <w:link w:val="Foot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2F"/>
  </w:style>
  <w:style w:type="paragraph" w:styleId="BalloonText">
    <w:name w:val="Balloon Text"/>
    <w:basedOn w:val="Normal"/>
    <w:link w:val="BalloonTextChar"/>
    <w:uiPriority w:val="99"/>
    <w:semiHidden/>
    <w:unhideWhenUsed/>
    <w:rsid w:val="00BB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4"/>
    <w:rsid w:val="00BB532F"/>
    <w:pPr>
      <w:autoSpaceDE w:val="0"/>
      <w:autoSpaceDN w:val="0"/>
      <w:adjustRightInd w:val="0"/>
      <w:spacing w:after="0" w:line="448" w:lineRule="atLeast"/>
      <w:textAlignment w:val="center"/>
    </w:pPr>
    <w:rPr>
      <w:rFonts w:ascii="Georgia" w:eastAsiaTheme="minorHAnsi" w:hAnsi="Georgia"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BB532F"/>
    <w:rPr>
      <w:rFonts w:ascii="Georgia" w:eastAsiaTheme="minorHAnsi" w:hAnsi="Georgia" w:cs="Georgia"/>
      <w:b/>
      <w:bCs/>
      <w:color w:val="000000"/>
      <w:sz w:val="42"/>
      <w:szCs w:val="42"/>
    </w:rPr>
  </w:style>
  <w:style w:type="table" w:styleId="TableGrid">
    <w:name w:val="Table Grid"/>
    <w:basedOn w:val="TableNormal"/>
    <w:uiPriority w:val="59"/>
    <w:rsid w:val="007E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">
    <w:name w:val="Title Sub"/>
    <w:basedOn w:val="Normal"/>
    <w:qFormat/>
    <w:rsid w:val="007E2FB7"/>
    <w:pPr>
      <w:autoSpaceDE w:val="0"/>
      <w:autoSpaceDN w:val="0"/>
      <w:adjustRightInd w:val="0"/>
      <w:spacing w:after="120" w:line="420" w:lineRule="atLeast"/>
      <w:textAlignment w:val="center"/>
    </w:pPr>
    <w:rPr>
      <w:rFonts w:ascii="Georgia" w:eastAsiaTheme="minorHAnsi" w:hAnsi="Georgia" w:cs="Georgia"/>
      <w:color w:val="000000"/>
      <w:spacing w:val="-10"/>
      <w:sz w:val="42"/>
      <w:szCs w:val="42"/>
    </w:rPr>
  </w:style>
  <w:style w:type="character" w:customStyle="1" w:styleId="Style1">
    <w:name w:val="Style1"/>
    <w:basedOn w:val="DefaultParagraphFont"/>
    <w:uiPriority w:val="1"/>
    <w:rsid w:val="007E2FB7"/>
    <w:rPr>
      <w:rFonts w:ascii="Georgia" w:hAnsi="Georgia"/>
      <w:sz w:val="42"/>
    </w:rPr>
  </w:style>
  <w:style w:type="character" w:styleId="PlaceholderText">
    <w:name w:val="Placeholder Text"/>
    <w:basedOn w:val="DefaultParagraphFont"/>
    <w:uiPriority w:val="99"/>
    <w:semiHidden/>
    <w:rsid w:val="00237421"/>
    <w:rPr>
      <w:color w:val="808080"/>
    </w:rPr>
  </w:style>
  <w:style w:type="paragraph" w:styleId="ListBullet">
    <w:name w:val="List Bullet"/>
    <w:basedOn w:val="Normal"/>
    <w:uiPriority w:val="2"/>
    <w:qFormat/>
    <w:rsid w:val="002D36BB"/>
    <w:pPr>
      <w:numPr>
        <w:numId w:val="1"/>
      </w:numPr>
      <w:tabs>
        <w:tab w:val="clear" w:pos="360"/>
        <w:tab w:val="num" w:pos="284"/>
      </w:tabs>
      <w:spacing w:after="0" w:line="280" w:lineRule="atLeast"/>
      <w:ind w:left="284" w:hanging="284"/>
    </w:pPr>
    <w:rPr>
      <w:rFonts w:ascii="Georgia" w:eastAsiaTheme="minorHAnsi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2D36BB"/>
    <w:pPr>
      <w:tabs>
        <w:tab w:val="clear" w:pos="284"/>
        <w:tab w:val="num" w:pos="360"/>
      </w:tabs>
      <w:ind w:left="360" w:hanging="360"/>
    </w:pPr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8314F"/>
    <w:rPr>
      <w:rFonts w:ascii="Georgia" w:hAnsi="Georgia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1341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94DCE"/>
    <w:rPr>
      <w:rFonts w:ascii="Arial" w:eastAsiaTheme="minorHAnsi" w:hAnsi="Arial" w:cs="Arial"/>
      <w:b/>
      <w:bCs/>
      <w:kern w:val="32"/>
      <w:sz w:val="26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994DCE"/>
    <w:rPr>
      <w:rFonts w:ascii="Arial" w:eastAsiaTheme="minorHAnsi" w:hAnsi="Arial" w:cs="Arial"/>
      <w:b/>
      <w:bCs/>
      <w:iCs/>
      <w:color w:val="6D6E71"/>
      <w:sz w:val="24"/>
      <w:szCs w:val="28"/>
      <w:lang w:val="en-AU"/>
    </w:rPr>
  </w:style>
  <w:style w:type="character" w:styleId="Hyperlink">
    <w:name w:val="Hyperlink"/>
    <w:basedOn w:val="DefaultParagraphFont"/>
    <w:uiPriority w:val="15"/>
    <w:semiHidden/>
    <w:rsid w:val="00994DCE"/>
    <w:rPr>
      <w:rFonts w:ascii="Arial" w:hAnsi="Arial"/>
      <w:color w:val="0000FF" w:themeColor="hyperlink"/>
      <w:sz w:val="20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A3DE5"/>
  </w:style>
  <w:style w:type="paragraph" w:styleId="PlainText">
    <w:name w:val="Plain Text"/>
    <w:basedOn w:val="Normal"/>
    <w:link w:val="PlainTextChar"/>
    <w:uiPriority w:val="99"/>
    <w:unhideWhenUsed/>
    <w:rsid w:val="004D15E4"/>
    <w:pPr>
      <w:spacing w:after="0" w:line="240" w:lineRule="auto"/>
    </w:pPr>
    <w:rPr>
      <w:rFonts w:ascii="Calibri" w:eastAsiaTheme="minorHAnsi" w:hAnsi="Calibr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D15E4"/>
    <w:rPr>
      <w:rFonts w:ascii="Calibri" w:eastAsiaTheme="minorHAnsi" w:hAnsi="Calibri"/>
      <w:szCs w:val="21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351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D5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1D50"/>
    <w:rPr>
      <w:sz w:val="16"/>
      <w:szCs w:val="16"/>
    </w:rPr>
  </w:style>
  <w:style w:type="character" w:customStyle="1" w:styleId="normaltextrun1">
    <w:name w:val="normaltextrun1"/>
    <w:basedOn w:val="DefaultParagraphFont"/>
    <w:rsid w:val="00545D26"/>
  </w:style>
  <w:style w:type="character" w:customStyle="1" w:styleId="eop">
    <w:name w:val="eop"/>
    <w:basedOn w:val="DefaultParagraphFont"/>
    <w:rsid w:val="00545D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F0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39BC"/>
    <w:pPr>
      <w:spacing w:after="0" w:line="240" w:lineRule="auto"/>
    </w:pPr>
  </w:style>
  <w:style w:type="character" w:customStyle="1" w:styleId="wacimagecontainer">
    <w:name w:val="wacimagecontainer"/>
    <w:basedOn w:val="DefaultParagraphFont"/>
    <w:rsid w:val="004D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sc.nsw.gov.au/workforce-management/capability-framework/the-capability-framework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ebsites\PublicServiceCommission\web\PSCRD\DocumentGeneration\Template\PSC_Bas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0A6F73001C64C829388F843C69377" ma:contentTypeVersion="6" ma:contentTypeDescription="Create a new document." ma:contentTypeScope="" ma:versionID="2928b16371a1281d4aca25bb33f6e0d9">
  <xsd:schema xmlns:xsd="http://www.w3.org/2001/XMLSchema" xmlns:xs="http://www.w3.org/2001/XMLSchema" xmlns:p="http://schemas.microsoft.com/office/2006/metadata/properties" xmlns:ns3="b6da42bc-af69-4135-8b87-8c400485f477" targetNamespace="http://schemas.microsoft.com/office/2006/metadata/properties" ma:root="true" ma:fieldsID="bb9164741c802a5e9796f47331397a7a" ns3:_="">
    <xsd:import namespace="b6da42bc-af69-4135-8b87-8c400485f47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42bc-af69-4135-8b87-8c400485f47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da42bc-af69-4135-8b87-8c400485f477" xsi:nil="true"/>
  </documentManagement>
</p:properties>
</file>

<file path=customXml/itemProps1.xml><?xml version="1.0" encoding="utf-8"?>
<ds:datastoreItem xmlns:ds="http://schemas.openxmlformats.org/officeDocument/2006/customXml" ds:itemID="{77A5842C-267C-407C-8DDC-40A29AEE9C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A06B90-A628-4D86-BD51-243DB35A78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31B63-6770-409F-B552-E88BC5E64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42bc-af69-4135-8b87-8c400485f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87A78C-D3CD-4B7C-8122-607E19B47E06}">
  <ds:schemaRefs>
    <ds:schemaRef ds:uri="http://schemas.microsoft.com/office/2006/metadata/properties"/>
    <ds:schemaRef ds:uri="http://schemas.microsoft.com/office/infopath/2007/PartnerControls"/>
    <ds:schemaRef ds:uri="b6da42bc-af69-4135-8b87-8c400485f4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PSC_Basic_Template.dotx</Template>
  <TotalTime>1</TotalTime>
  <Pages>9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Anbarasu Palanisamy</dc:creator>
  <cp:lastModifiedBy>Lorin Carmody</cp:lastModifiedBy>
  <cp:revision>2</cp:revision>
  <cp:lastPrinted>2020-03-09T23:23:00Z</cp:lastPrinted>
  <dcterms:created xsi:type="dcterms:W3CDTF">2024-10-22T09:36:00Z</dcterms:created>
  <dcterms:modified xsi:type="dcterms:W3CDTF">2024-10-22T09:36:00Z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0x010100B0F0A6F73001C64C829388F843C69377</vt:lpwstr>
  </property>
</Properties>
</file>