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Pr>
      <w:tblGrid>
        <w:gridCol w:w="4026"/>
        <w:gridCol w:w="6561"/>
      </w:tblGrid>
      <w:tr w:rsidR="002D4549" w:rsidRPr="002D4549" w14:paraId="66DFC12F" w14:textId="77777777" w:rsidTr="002B642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1FB0F03"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Cluster</w:t>
            </w:r>
          </w:p>
        </w:tc>
        <w:tc>
          <w:tcPr>
            <w:tcW w:w="6561" w:type="dxa"/>
          </w:tcPr>
          <w:p w14:paraId="777BE3D1" w14:textId="77777777" w:rsidR="002D4549" w:rsidRPr="002D4549" w:rsidRDefault="002D4549" w:rsidP="002D4549">
            <w:pPr>
              <w:spacing w:before="40" w:after="40"/>
              <w:rPr>
                <w:rFonts w:eastAsiaTheme="minorEastAsia"/>
                <w:color w:val="FFFFFF"/>
              </w:rPr>
            </w:pPr>
            <w:r w:rsidRPr="002D4549">
              <w:rPr>
                <w:rFonts w:eastAsiaTheme="minorEastAsia"/>
                <w:color w:val="FFFFFF"/>
              </w:rPr>
              <w:t xml:space="preserve">Planning </w:t>
            </w:r>
            <w:r>
              <w:rPr>
                <w:rFonts w:eastAsiaTheme="minorEastAsia"/>
                <w:color w:val="FFFFFF"/>
              </w:rPr>
              <w:t xml:space="preserve">Industry and </w:t>
            </w:r>
            <w:r w:rsidRPr="002D4549">
              <w:rPr>
                <w:rFonts w:eastAsiaTheme="minorEastAsia"/>
                <w:color w:val="FFFFFF"/>
              </w:rPr>
              <w:t>Environment</w:t>
            </w:r>
          </w:p>
        </w:tc>
      </w:tr>
      <w:tr w:rsidR="002D4549" w:rsidRPr="002D4549" w14:paraId="108E25A5" w14:textId="77777777" w:rsidTr="002B6426">
        <w:tc>
          <w:tcPr>
            <w:tcW w:w="4026" w:type="dxa"/>
            <w:vAlign w:val="center"/>
          </w:tcPr>
          <w:p w14:paraId="31031672"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Agency</w:t>
            </w:r>
          </w:p>
        </w:tc>
        <w:tc>
          <w:tcPr>
            <w:tcW w:w="6561" w:type="dxa"/>
          </w:tcPr>
          <w:p w14:paraId="5E80DC3E" w14:textId="77777777" w:rsidR="002D4549" w:rsidRPr="002D4549" w:rsidRDefault="002D4549" w:rsidP="002D4549">
            <w:pPr>
              <w:spacing w:before="40" w:after="40"/>
              <w:rPr>
                <w:rFonts w:eastAsiaTheme="minorEastAsia"/>
                <w:color w:val="FFFFFF"/>
              </w:rPr>
            </w:pPr>
            <w:r>
              <w:rPr>
                <w:rFonts w:eastAsiaTheme="minorEastAsia"/>
                <w:color w:val="FFFFFF"/>
              </w:rPr>
              <w:t>Department of Planning Industry and Environment</w:t>
            </w:r>
          </w:p>
        </w:tc>
      </w:tr>
      <w:tr w:rsidR="002D4549" w:rsidRPr="002D4549" w14:paraId="270C2F01" w14:textId="77777777" w:rsidTr="002B6426">
        <w:tc>
          <w:tcPr>
            <w:tcW w:w="4026" w:type="dxa"/>
            <w:vAlign w:val="center"/>
          </w:tcPr>
          <w:p w14:paraId="3846ECBB"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Division/Branch/Unit</w:t>
            </w:r>
          </w:p>
        </w:tc>
        <w:tc>
          <w:tcPr>
            <w:tcW w:w="6561" w:type="dxa"/>
          </w:tcPr>
          <w:p w14:paraId="13F487D8" w14:textId="77777777" w:rsidR="002D4549" w:rsidRPr="002D4549" w:rsidRDefault="002D4549" w:rsidP="002D4549">
            <w:pPr>
              <w:spacing w:before="40" w:after="40"/>
              <w:rPr>
                <w:rFonts w:eastAsiaTheme="minorEastAsia"/>
                <w:color w:val="FFFFFF"/>
              </w:rPr>
            </w:pPr>
            <w:r>
              <w:rPr>
                <w:rFonts w:eastAsiaTheme="minorEastAsia"/>
                <w:color w:val="FFFFFF"/>
              </w:rPr>
              <w:t>Planning and Assessment/ Office of Local Government</w:t>
            </w:r>
          </w:p>
        </w:tc>
      </w:tr>
      <w:tr w:rsidR="002D4549" w:rsidRPr="002D4549" w14:paraId="5E545D31" w14:textId="77777777" w:rsidTr="002B6426">
        <w:tc>
          <w:tcPr>
            <w:tcW w:w="4026" w:type="dxa"/>
            <w:vAlign w:val="center"/>
          </w:tcPr>
          <w:p w14:paraId="1974026C"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Location</w:t>
            </w:r>
          </w:p>
        </w:tc>
        <w:tc>
          <w:tcPr>
            <w:tcW w:w="6561" w:type="dxa"/>
          </w:tcPr>
          <w:p w14:paraId="128DA089" w14:textId="77777777" w:rsidR="002D4549" w:rsidRPr="002D4549" w:rsidRDefault="002D4549" w:rsidP="002D4549">
            <w:pPr>
              <w:spacing w:before="40" w:after="40"/>
              <w:rPr>
                <w:rFonts w:eastAsiaTheme="minorEastAsia"/>
                <w:color w:val="FFFFFF"/>
              </w:rPr>
            </w:pPr>
            <w:r w:rsidRPr="002D4549">
              <w:rPr>
                <w:rFonts w:eastAsiaTheme="minorEastAsia"/>
                <w:color w:val="FFFFFF"/>
              </w:rPr>
              <w:t>Nowra</w:t>
            </w:r>
          </w:p>
        </w:tc>
      </w:tr>
      <w:tr w:rsidR="002D4549" w:rsidRPr="002D4549" w14:paraId="13C9611B" w14:textId="77777777" w:rsidTr="002B6426">
        <w:tc>
          <w:tcPr>
            <w:tcW w:w="4026" w:type="dxa"/>
            <w:vAlign w:val="center"/>
          </w:tcPr>
          <w:p w14:paraId="65880E32"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Classification/Grade/Band</w:t>
            </w:r>
          </w:p>
        </w:tc>
        <w:tc>
          <w:tcPr>
            <w:tcW w:w="6561" w:type="dxa"/>
          </w:tcPr>
          <w:p w14:paraId="2F95757F" w14:textId="77777777" w:rsidR="002D4549" w:rsidRPr="002D4549" w:rsidRDefault="002D4549" w:rsidP="002D4549">
            <w:pPr>
              <w:spacing w:before="40" w:after="40"/>
              <w:rPr>
                <w:rFonts w:eastAsiaTheme="minorEastAsia"/>
                <w:color w:val="FFFFFF"/>
              </w:rPr>
            </w:pPr>
            <w:r w:rsidRPr="002D4549">
              <w:rPr>
                <w:rFonts w:eastAsiaTheme="minorEastAsia"/>
                <w:color w:val="FFFFFF"/>
              </w:rPr>
              <w:t>Clerk Grade 7/8</w:t>
            </w:r>
          </w:p>
        </w:tc>
      </w:tr>
      <w:tr w:rsidR="002D4549" w:rsidRPr="002D4549" w14:paraId="0809A56B" w14:textId="77777777" w:rsidTr="002B6426">
        <w:tc>
          <w:tcPr>
            <w:tcW w:w="4026" w:type="dxa"/>
            <w:vAlign w:val="center"/>
          </w:tcPr>
          <w:p w14:paraId="2F9F05BA"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Role Number</w:t>
            </w:r>
          </w:p>
        </w:tc>
        <w:tc>
          <w:tcPr>
            <w:tcW w:w="6561" w:type="dxa"/>
          </w:tcPr>
          <w:p w14:paraId="02AB7DE6" w14:textId="77777777" w:rsidR="002D4549" w:rsidRPr="002D4549" w:rsidRDefault="002D4549" w:rsidP="002D4549">
            <w:pPr>
              <w:spacing w:before="40" w:after="40"/>
              <w:rPr>
                <w:rFonts w:eastAsiaTheme="minorEastAsia"/>
                <w:color w:val="FFFFFF"/>
              </w:rPr>
            </w:pPr>
            <w:r w:rsidRPr="002D4549">
              <w:rPr>
                <w:rFonts w:eastAsiaTheme="minorEastAsia"/>
                <w:color w:val="FFFFFF"/>
              </w:rPr>
              <w:t xml:space="preserve">23232 </w:t>
            </w:r>
          </w:p>
        </w:tc>
      </w:tr>
      <w:tr w:rsidR="002D4549" w:rsidRPr="002D4549" w14:paraId="5D362B3B" w14:textId="77777777" w:rsidTr="002B6426">
        <w:tc>
          <w:tcPr>
            <w:tcW w:w="4026" w:type="dxa"/>
            <w:vAlign w:val="center"/>
          </w:tcPr>
          <w:p w14:paraId="751BAA93"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ANZSCO Code</w:t>
            </w:r>
          </w:p>
        </w:tc>
        <w:tc>
          <w:tcPr>
            <w:tcW w:w="6561" w:type="dxa"/>
          </w:tcPr>
          <w:p w14:paraId="416BBCC8" w14:textId="77777777" w:rsidR="002D4549" w:rsidRPr="002D4549" w:rsidRDefault="002D4549" w:rsidP="002D4549">
            <w:pPr>
              <w:spacing w:before="40" w:after="40"/>
              <w:rPr>
                <w:rFonts w:eastAsiaTheme="minorEastAsia"/>
                <w:color w:val="FFFFFF"/>
              </w:rPr>
            </w:pPr>
            <w:r w:rsidRPr="002D4549">
              <w:rPr>
                <w:rFonts w:eastAsiaTheme="minorEastAsia"/>
                <w:color w:val="FFFFFF"/>
              </w:rPr>
              <w:t>221112</w:t>
            </w:r>
          </w:p>
        </w:tc>
      </w:tr>
      <w:tr w:rsidR="002D4549" w:rsidRPr="002D4549" w14:paraId="37694E8E" w14:textId="77777777" w:rsidTr="002B6426">
        <w:tc>
          <w:tcPr>
            <w:tcW w:w="4026" w:type="dxa"/>
            <w:vAlign w:val="center"/>
          </w:tcPr>
          <w:p w14:paraId="022569D4"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PCAT Code</w:t>
            </w:r>
          </w:p>
        </w:tc>
        <w:tc>
          <w:tcPr>
            <w:tcW w:w="6561" w:type="dxa"/>
          </w:tcPr>
          <w:p w14:paraId="70599300" w14:textId="77777777" w:rsidR="002D4549" w:rsidRPr="002D4549" w:rsidRDefault="002D4549" w:rsidP="002D4549">
            <w:pPr>
              <w:spacing w:before="40" w:after="40"/>
              <w:rPr>
                <w:rFonts w:eastAsiaTheme="minorEastAsia"/>
                <w:color w:val="FFFFFF"/>
              </w:rPr>
            </w:pPr>
            <w:r w:rsidRPr="002D4549">
              <w:rPr>
                <w:rFonts w:eastAsiaTheme="minorEastAsia"/>
                <w:color w:val="FFFFFF"/>
              </w:rPr>
              <w:t>2113392</w:t>
            </w:r>
          </w:p>
        </w:tc>
      </w:tr>
      <w:tr w:rsidR="002D4549" w:rsidRPr="002D4549" w14:paraId="335D333B" w14:textId="77777777" w:rsidTr="002B6426">
        <w:tc>
          <w:tcPr>
            <w:tcW w:w="4026" w:type="dxa"/>
            <w:vAlign w:val="center"/>
          </w:tcPr>
          <w:p w14:paraId="5DF76930"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Date of Approval</w:t>
            </w:r>
          </w:p>
        </w:tc>
        <w:tc>
          <w:tcPr>
            <w:tcW w:w="6561" w:type="dxa"/>
          </w:tcPr>
          <w:p w14:paraId="778B3AD7" w14:textId="77777777" w:rsidR="002D4549" w:rsidRPr="002D4549" w:rsidRDefault="002D4549" w:rsidP="002D4549">
            <w:pPr>
              <w:spacing w:before="40" w:after="40"/>
              <w:rPr>
                <w:rFonts w:eastAsiaTheme="minorEastAsia"/>
                <w:color w:val="FFFFFF"/>
              </w:rPr>
            </w:pPr>
            <w:r w:rsidRPr="002D4549">
              <w:rPr>
                <w:rFonts w:eastAsiaTheme="minorEastAsia"/>
                <w:color w:val="FFFFFF"/>
              </w:rPr>
              <w:t>08 December 2014</w:t>
            </w:r>
            <w:r>
              <w:rPr>
                <w:rFonts w:eastAsiaTheme="minorEastAsia"/>
                <w:color w:val="FFFFFF"/>
              </w:rPr>
              <w:t xml:space="preserve"> (updated February 2021)</w:t>
            </w:r>
          </w:p>
        </w:tc>
      </w:tr>
      <w:tr w:rsidR="002D4549" w:rsidRPr="002D4549" w14:paraId="22A05295" w14:textId="77777777" w:rsidTr="002B6426">
        <w:tc>
          <w:tcPr>
            <w:tcW w:w="4026" w:type="dxa"/>
            <w:tcBorders>
              <w:bottom w:val="single" w:sz="8" w:space="0" w:color="auto"/>
            </w:tcBorders>
            <w:vAlign w:val="center"/>
          </w:tcPr>
          <w:p w14:paraId="19833248" w14:textId="77777777" w:rsidR="002D4549" w:rsidRPr="002D4549" w:rsidRDefault="002D4549" w:rsidP="002D4549">
            <w:pPr>
              <w:spacing w:before="40" w:after="40"/>
              <w:rPr>
                <w:rFonts w:eastAsiaTheme="minorEastAsia"/>
                <w:b/>
                <w:color w:val="FFFFFF"/>
              </w:rPr>
            </w:pPr>
            <w:r w:rsidRPr="002D4549">
              <w:rPr>
                <w:rFonts w:eastAsiaTheme="minorEastAsia"/>
                <w:b/>
                <w:color w:val="FFFFFF"/>
              </w:rPr>
              <w:t>Agency Website</w:t>
            </w:r>
          </w:p>
        </w:tc>
        <w:tc>
          <w:tcPr>
            <w:tcW w:w="6561" w:type="dxa"/>
            <w:tcBorders>
              <w:bottom w:val="single" w:sz="8" w:space="0" w:color="auto"/>
            </w:tcBorders>
          </w:tcPr>
          <w:p w14:paraId="592CB172" w14:textId="77777777" w:rsidR="002D4549" w:rsidRPr="002D4549" w:rsidRDefault="002D4549" w:rsidP="002D4549">
            <w:pPr>
              <w:spacing w:before="40" w:after="40"/>
              <w:rPr>
                <w:rFonts w:eastAsiaTheme="minorEastAsia"/>
                <w:color w:val="FFFFFF"/>
              </w:rPr>
            </w:pPr>
            <w:r w:rsidRPr="002D4549">
              <w:rPr>
                <w:rFonts w:eastAsiaTheme="minorEastAsia"/>
                <w:color w:val="FFFFFF"/>
              </w:rPr>
              <w:t>www.olg.nsw.gov.au</w:t>
            </w:r>
          </w:p>
        </w:tc>
        <w:bookmarkStart w:id="0" w:name="Cluster"/>
        <w:bookmarkEnd w:id="0"/>
      </w:tr>
    </w:tbl>
    <w:p w14:paraId="7B8CF4BE" w14:textId="77777777" w:rsidR="002D4549" w:rsidRPr="002D4549" w:rsidRDefault="002D4549" w:rsidP="002D4549">
      <w:pPr>
        <w:tabs>
          <w:tab w:val="left" w:pos="2925"/>
        </w:tabs>
        <w:rPr>
          <w:rFonts w:cs="Times New Roman"/>
        </w:rPr>
      </w:pPr>
    </w:p>
    <w:p w14:paraId="69961C53" w14:textId="77777777" w:rsidR="00C47CDE" w:rsidRDefault="00C47CDE" w:rsidP="00C47CDE">
      <w:pPr>
        <w:tabs>
          <w:tab w:val="left" w:pos="2925"/>
        </w:tabs>
        <w:spacing w:before="360"/>
        <w:rPr>
          <w:rStyle w:val="Heading1Char"/>
        </w:rPr>
      </w:pPr>
      <w:r w:rsidRPr="00614552">
        <w:rPr>
          <w:rStyle w:val="Heading1Char"/>
        </w:rPr>
        <w:t>Agency overview</w:t>
      </w:r>
    </w:p>
    <w:p w14:paraId="3EC98D5F" w14:textId="77777777" w:rsidR="00C47CDE" w:rsidRPr="00316CFA" w:rsidRDefault="00C47CDE" w:rsidP="00C47CDE">
      <w:pPr>
        <w:tabs>
          <w:tab w:val="left" w:pos="2925"/>
        </w:tabs>
      </w:pPr>
      <w:r w:rsidRPr="00316CFA">
        <w:t xml:space="preserve">Our vision is to create thriving environments, </w:t>
      </w:r>
      <w:proofErr w:type="gramStart"/>
      <w:r w:rsidRPr="00316CFA">
        <w:t>communities</w:t>
      </w:r>
      <w:proofErr w:type="gramEnd"/>
      <w:r w:rsidRPr="00316CFA">
        <w:t xml:space="preserve"> and economies for the people of New South Wales. We focus on some of the biggest issues facing our state. We deliver sustainable water resource and environment management, secure our energy supply, oversee our planning system, </w:t>
      </w:r>
      <w:proofErr w:type="spellStart"/>
      <w:r w:rsidRPr="00316CFA">
        <w:t>maximise</w:t>
      </w:r>
      <w:proofErr w:type="spellEnd"/>
      <w:r w:rsidRPr="00316CFA">
        <w:t xml:space="preserve"> community benefit from government land and property, and create the conditions for a prosperous state. We strive to be a high-performing, world-class public service </w:t>
      </w:r>
      <w:proofErr w:type="spellStart"/>
      <w:r w:rsidRPr="00316CFA">
        <w:t>organisation</w:t>
      </w:r>
      <w:proofErr w:type="spellEnd"/>
      <w:r w:rsidRPr="00316CFA">
        <w:t xml:space="preserve"> that celebrates and reflects the full diversity of the community we serve and seeks to embed Aboriginal cultural awareness and knowledge throughout the department.</w:t>
      </w:r>
    </w:p>
    <w:p w14:paraId="55413A98" w14:textId="77777777" w:rsidR="002D4549" w:rsidRDefault="00C47CDE" w:rsidP="00C47CDE">
      <w:pPr>
        <w:autoSpaceDE w:val="0"/>
        <w:autoSpaceDN w:val="0"/>
        <w:adjustRightInd w:val="0"/>
        <w:spacing w:before="100" w:after="100"/>
        <w:rPr>
          <w:rFonts w:eastAsiaTheme="minorHAnsi" w:cs="Arial"/>
          <w:bCs/>
          <w:lang w:val="en-AU"/>
        </w:rPr>
      </w:pPr>
      <w:r w:rsidRPr="00EA7DFC">
        <w:rPr>
          <w:rFonts w:eastAsiaTheme="minorHAnsi" w:cs="Arial"/>
          <w:bCs/>
          <w:lang w:val="en-AU"/>
        </w:rPr>
        <w:t xml:space="preserve">Located in Nowra, OLG works collaboratively with the Local Government sector and is the key advisor to the NSW Government on Local Government matters, working to strengthen the performance, </w:t>
      </w:r>
      <w:proofErr w:type="gramStart"/>
      <w:r w:rsidRPr="00EA7DFC">
        <w:rPr>
          <w:rFonts w:eastAsiaTheme="minorHAnsi" w:cs="Arial"/>
          <w:bCs/>
          <w:lang w:val="en-AU"/>
        </w:rPr>
        <w:t>integrity</w:t>
      </w:r>
      <w:proofErr w:type="gramEnd"/>
      <w:r w:rsidRPr="00EA7DFC">
        <w:rPr>
          <w:rFonts w:eastAsiaTheme="minorHAnsi" w:cs="Arial"/>
          <w:bCs/>
          <w:lang w:val="en-AU"/>
        </w:rPr>
        <w:t xml:space="preserve"> and sustainability of local councils in NSW. OLG’s organisational purpose is "To strengthen the Local Government Sector" by achieving the outcome of "Successful councils engaging and supporting their communities.</w:t>
      </w:r>
    </w:p>
    <w:p w14:paraId="4271C531" w14:textId="77777777" w:rsidR="002D4549" w:rsidRPr="00614552" w:rsidRDefault="002D4549" w:rsidP="002D4549">
      <w:pPr>
        <w:tabs>
          <w:tab w:val="left" w:pos="2925"/>
        </w:tabs>
        <w:rPr>
          <w:rStyle w:val="Heading1Char"/>
        </w:rPr>
      </w:pPr>
      <w:r w:rsidRPr="00614552">
        <w:rPr>
          <w:rStyle w:val="Heading1Char"/>
        </w:rPr>
        <w:t>Primary purpose of the role</w:t>
      </w:r>
    </w:p>
    <w:p w14:paraId="21A6B8D4" w14:textId="77777777" w:rsidR="002D4549" w:rsidRDefault="002D4549" w:rsidP="002D4549">
      <w:pPr>
        <w:tabs>
          <w:tab w:val="left" w:pos="2925"/>
        </w:tabs>
        <w:rPr>
          <w:rFonts w:ascii="Georgia" w:hAnsi="Georgia"/>
        </w:rPr>
      </w:pPr>
      <w:r w:rsidRPr="00614552">
        <w:rPr>
          <w:rFonts w:cs="Arial"/>
        </w:rPr>
        <w:t>T</w:t>
      </w:r>
      <w:r>
        <w:rPr>
          <w:rFonts w:cs="Arial"/>
        </w:rPr>
        <w:t xml:space="preserve">he Senior Performance Analyst </w:t>
      </w:r>
      <w:r w:rsidRPr="00614552">
        <w:rPr>
          <w:rFonts w:cs="Arial"/>
        </w:rPr>
        <w:t xml:space="preserve">undertakes reviews and analysis of councils’ short and long term performance, contributes to </w:t>
      </w:r>
      <w:proofErr w:type="gramStart"/>
      <w:r w:rsidRPr="00614552">
        <w:rPr>
          <w:rFonts w:cs="Arial"/>
        </w:rPr>
        <w:t>the  implementation</w:t>
      </w:r>
      <w:proofErr w:type="gramEnd"/>
      <w:r w:rsidRPr="00614552">
        <w:rPr>
          <w:rFonts w:cs="Arial"/>
        </w:rPr>
        <w:t xml:space="preserve"> of performance measurement frameworks and ensures that councils comply with relevant statutory requirements, probity and due diligence.</w:t>
      </w:r>
    </w:p>
    <w:p w14:paraId="140D5032" w14:textId="77777777" w:rsidR="002D4549" w:rsidRDefault="002D4549" w:rsidP="002D4549">
      <w:pPr>
        <w:pStyle w:val="Heading1"/>
      </w:pPr>
      <w:r w:rsidRPr="00A14A03">
        <w:t>Key accountabilities</w:t>
      </w:r>
    </w:p>
    <w:p w14:paraId="5DCA43F6" w14:textId="77777777" w:rsidR="002D4549" w:rsidRPr="00F339CD" w:rsidRDefault="002D4549" w:rsidP="002D4549">
      <w:pPr>
        <w:pStyle w:val="ListParagraph"/>
        <w:numPr>
          <w:ilvl w:val="0"/>
          <w:numId w:val="3"/>
        </w:numPr>
        <w:tabs>
          <w:tab w:val="left" w:pos="2925"/>
        </w:tabs>
        <w:rPr>
          <w:rFonts w:ascii="Georgia" w:hAnsi="Georgia"/>
        </w:rPr>
      </w:pPr>
      <w:r w:rsidRPr="00614552">
        <w:rPr>
          <w:rFonts w:cs="Arial"/>
        </w:rPr>
        <w:t>Participate in reviews of councils’ performance and assess compliance with relevant provisions of the Local Government Act 1993, identify issues and follow up with councils and recommend specific actions where appropriate.</w:t>
      </w:r>
    </w:p>
    <w:p w14:paraId="339E1E3E" w14:textId="77777777" w:rsidR="002D4549" w:rsidRPr="00F339CD" w:rsidRDefault="002D4549" w:rsidP="002D4549">
      <w:pPr>
        <w:pStyle w:val="ListParagraph"/>
        <w:numPr>
          <w:ilvl w:val="0"/>
          <w:numId w:val="3"/>
        </w:numPr>
        <w:tabs>
          <w:tab w:val="left" w:pos="2925"/>
        </w:tabs>
        <w:rPr>
          <w:rFonts w:ascii="Georgia" w:hAnsi="Georgia"/>
        </w:rPr>
      </w:pPr>
      <w:r w:rsidRPr="00614552">
        <w:rPr>
          <w:rFonts w:cs="Arial"/>
        </w:rPr>
        <w:t>Provide high quality, timely responses to enquiries, including correspondence, briefings, and requests for advice from the OLG Executive and the Minister’s office.</w:t>
      </w:r>
    </w:p>
    <w:p w14:paraId="53FAFD40" w14:textId="77777777" w:rsidR="002D4549" w:rsidRPr="00F339CD" w:rsidRDefault="002D4549" w:rsidP="002D4549">
      <w:pPr>
        <w:pStyle w:val="ListParagraph"/>
        <w:numPr>
          <w:ilvl w:val="0"/>
          <w:numId w:val="3"/>
        </w:numPr>
        <w:tabs>
          <w:tab w:val="left" w:pos="2925"/>
        </w:tabs>
        <w:rPr>
          <w:rFonts w:ascii="Georgia" w:hAnsi="Georgia"/>
        </w:rPr>
      </w:pPr>
      <w:r w:rsidRPr="00614552">
        <w:rPr>
          <w:rFonts w:cs="Arial"/>
        </w:rPr>
        <w:lastRenderedPageBreak/>
        <w:t xml:space="preserve">Participate in project, </w:t>
      </w:r>
      <w:proofErr w:type="gramStart"/>
      <w:r w:rsidRPr="00614552">
        <w:rPr>
          <w:rFonts w:cs="Arial"/>
        </w:rPr>
        <w:t>policy</w:t>
      </w:r>
      <w:proofErr w:type="gramEnd"/>
      <w:r w:rsidRPr="00614552">
        <w:rPr>
          <w:rFonts w:cs="Arial"/>
        </w:rPr>
        <w:t xml:space="preserve"> and program development planning, including scoping, stakeholder consultation, developing and managing project budgets, and key milestone reporting.</w:t>
      </w:r>
    </w:p>
    <w:p w14:paraId="5ED25A16" w14:textId="77777777" w:rsidR="002D4549" w:rsidRPr="00F339CD" w:rsidRDefault="002D4549" w:rsidP="002D4549">
      <w:pPr>
        <w:pStyle w:val="ListParagraph"/>
        <w:numPr>
          <w:ilvl w:val="0"/>
          <w:numId w:val="3"/>
        </w:numPr>
        <w:tabs>
          <w:tab w:val="left" w:pos="2925"/>
        </w:tabs>
        <w:rPr>
          <w:rFonts w:ascii="Georgia" w:hAnsi="Georgia"/>
        </w:rPr>
      </w:pPr>
      <w:r w:rsidRPr="00614552">
        <w:rPr>
          <w:rFonts w:cs="Arial"/>
        </w:rPr>
        <w:t xml:space="preserve">Provide timely, specialist advice regarding local government administration including advice on the capacity of local government legislation, </w:t>
      </w:r>
      <w:proofErr w:type="gramStart"/>
      <w:r w:rsidRPr="00614552">
        <w:rPr>
          <w:rFonts w:cs="Arial"/>
        </w:rPr>
        <w:t>policies</w:t>
      </w:r>
      <w:proofErr w:type="gramEnd"/>
      <w:r w:rsidRPr="00614552">
        <w:rPr>
          <w:rFonts w:cs="Arial"/>
        </w:rPr>
        <w:t xml:space="preserve"> and practices to provide desired outcomes and recommend appropriate changes.</w:t>
      </w:r>
    </w:p>
    <w:p w14:paraId="46D6F607" w14:textId="77777777" w:rsidR="002D4549" w:rsidRPr="00614552" w:rsidRDefault="002D4549" w:rsidP="002D4549">
      <w:pPr>
        <w:tabs>
          <w:tab w:val="left" w:pos="2925"/>
        </w:tabs>
        <w:rPr>
          <w:rStyle w:val="Heading1Char"/>
        </w:rPr>
      </w:pPr>
      <w:r w:rsidRPr="00614552">
        <w:rPr>
          <w:rStyle w:val="Heading1Char"/>
        </w:rPr>
        <w:t>Key challenges</w:t>
      </w:r>
    </w:p>
    <w:p w14:paraId="3FA943EF" w14:textId="77777777" w:rsidR="002D4549" w:rsidRPr="001D097C" w:rsidRDefault="002D4549" w:rsidP="002D4549">
      <w:pPr>
        <w:pStyle w:val="ListParagraph"/>
        <w:numPr>
          <w:ilvl w:val="0"/>
          <w:numId w:val="3"/>
        </w:numPr>
        <w:tabs>
          <w:tab w:val="left" w:pos="2925"/>
        </w:tabs>
        <w:rPr>
          <w:rFonts w:ascii="Georgia" w:hAnsi="Georgia"/>
        </w:rPr>
      </w:pPr>
      <w:r w:rsidRPr="00614552">
        <w:rPr>
          <w:rFonts w:cs="Arial"/>
        </w:rPr>
        <w:t>Manage multiple tasks with competing priorities and varying levels of complexity, ensuring tasks are completed in set timeframes and to a high standard.</w:t>
      </w:r>
    </w:p>
    <w:p w14:paraId="5B9FF60C" w14:textId="77777777" w:rsidR="002D4549" w:rsidRPr="001D097C" w:rsidRDefault="002D4549" w:rsidP="002D4549">
      <w:pPr>
        <w:pStyle w:val="ListParagraph"/>
        <w:numPr>
          <w:ilvl w:val="0"/>
          <w:numId w:val="3"/>
        </w:numPr>
        <w:tabs>
          <w:tab w:val="left" w:pos="2925"/>
        </w:tabs>
        <w:rPr>
          <w:rFonts w:ascii="Georgia" w:hAnsi="Georgia"/>
        </w:rPr>
      </w:pPr>
      <w:r w:rsidRPr="00614552">
        <w:rPr>
          <w:rFonts w:cs="Arial"/>
        </w:rPr>
        <w:t>Exercise sound judgement in dealing with politically sensitive and contentious issues.</w:t>
      </w:r>
    </w:p>
    <w:p w14:paraId="22AF1C7A" w14:textId="77777777" w:rsidR="002D4549" w:rsidRPr="001D097C" w:rsidRDefault="002D4549" w:rsidP="002D4549">
      <w:pPr>
        <w:pStyle w:val="ListParagraph"/>
        <w:numPr>
          <w:ilvl w:val="0"/>
          <w:numId w:val="3"/>
        </w:numPr>
        <w:tabs>
          <w:tab w:val="left" w:pos="2925"/>
        </w:tabs>
        <w:rPr>
          <w:rFonts w:ascii="Georgia" w:hAnsi="Georgia"/>
        </w:rPr>
      </w:pPr>
      <w:r w:rsidRPr="00614552">
        <w:rPr>
          <w:rFonts w:cs="Arial"/>
        </w:rPr>
        <w:t>Work in an environment undergoing fundamental reform against a background of scarce resources and a high level of community expectations.</w:t>
      </w:r>
    </w:p>
    <w:p w14:paraId="32E4404C" w14:textId="77777777" w:rsidR="002D4549" w:rsidRPr="00EC5C1D" w:rsidRDefault="002D4549" w:rsidP="002D4549">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2D4549" w:rsidRPr="00C978B9" w14:paraId="2757D4E4" w14:textId="77777777" w:rsidTr="002B6426">
        <w:trPr>
          <w:cnfStyle w:val="100000000000" w:firstRow="1" w:lastRow="0" w:firstColumn="0" w:lastColumn="0" w:oddVBand="0" w:evenVBand="0" w:oddHBand="0" w:evenHBand="0" w:firstRowFirstColumn="0" w:firstRowLastColumn="0" w:lastRowFirstColumn="0" w:lastRowLastColumn="0"/>
          <w:tblHeader/>
        </w:trPr>
        <w:tc>
          <w:tcPr>
            <w:tcW w:w="3601" w:type="dxa"/>
          </w:tcPr>
          <w:p w14:paraId="7983847D" w14:textId="77777777" w:rsidR="002D4549" w:rsidRPr="00C978B9" w:rsidRDefault="002D4549" w:rsidP="002B6426">
            <w:pPr>
              <w:pStyle w:val="TableTextWhite0"/>
            </w:pPr>
            <w:r w:rsidRPr="00C978B9">
              <w:t>Who</w:t>
            </w:r>
          </w:p>
        </w:tc>
        <w:tc>
          <w:tcPr>
            <w:tcW w:w="6986" w:type="dxa"/>
          </w:tcPr>
          <w:p w14:paraId="457EAA4B" w14:textId="77777777" w:rsidR="002D4549" w:rsidRPr="00C978B9" w:rsidRDefault="002D4549" w:rsidP="002B6426">
            <w:pPr>
              <w:pStyle w:val="TableTextWhite0"/>
            </w:pPr>
            <w:r>
              <w:t xml:space="preserve">       </w:t>
            </w:r>
            <w:r w:rsidRPr="00C978B9">
              <w:t>Why</w:t>
            </w:r>
          </w:p>
        </w:tc>
      </w:tr>
      <w:tr w:rsidR="002D4549" w:rsidRPr="00A8245E" w14:paraId="78EE1DBF" w14:textId="77777777" w:rsidTr="002B6426">
        <w:tc>
          <w:tcPr>
            <w:tcW w:w="3601" w:type="dxa"/>
            <w:shd w:val="clear" w:color="auto" w:fill="BCBEC0"/>
          </w:tcPr>
          <w:p w14:paraId="6F8EF9E7" w14:textId="77777777" w:rsidR="002D4549" w:rsidRPr="00A8245E" w:rsidRDefault="002D4549" w:rsidP="002B6426">
            <w:pPr>
              <w:pStyle w:val="TableText"/>
              <w:keepNext/>
              <w:rPr>
                <w:b/>
              </w:rPr>
            </w:pPr>
            <w:r w:rsidRPr="00A8245E">
              <w:rPr>
                <w:b/>
              </w:rPr>
              <w:t>Internal</w:t>
            </w:r>
          </w:p>
        </w:tc>
        <w:tc>
          <w:tcPr>
            <w:tcW w:w="6986" w:type="dxa"/>
            <w:shd w:val="clear" w:color="auto" w:fill="BCBEC0"/>
          </w:tcPr>
          <w:p w14:paraId="5B161345" w14:textId="77777777" w:rsidR="002D4549" w:rsidRPr="00A8245E" w:rsidRDefault="002D4549" w:rsidP="002B6426">
            <w:pPr>
              <w:pStyle w:val="TableText"/>
              <w:keepNext/>
              <w:rPr>
                <w:b/>
              </w:rPr>
            </w:pPr>
          </w:p>
        </w:tc>
      </w:tr>
      <w:tr w:rsidR="002D4549" w:rsidRPr="00C978B9" w14:paraId="5C55C9E2" w14:textId="77777777" w:rsidTr="002B6426">
        <w:tc>
          <w:tcPr>
            <w:tcW w:w="3601" w:type="dxa"/>
            <w:tcBorders>
              <w:top w:val="single" w:sz="8" w:space="0" w:color="auto"/>
            </w:tcBorders>
          </w:tcPr>
          <w:p w14:paraId="61F826DD" w14:textId="77777777" w:rsidR="002D4549" w:rsidRPr="00A15CDB" w:rsidRDefault="002D4549" w:rsidP="002B6426">
            <w:pPr>
              <w:pStyle w:val="TableText"/>
            </w:pPr>
            <w:r>
              <w:t>Manager</w:t>
            </w:r>
          </w:p>
        </w:tc>
        <w:tc>
          <w:tcPr>
            <w:tcW w:w="6986" w:type="dxa"/>
            <w:tcBorders>
              <w:top w:val="single" w:sz="8" w:space="0" w:color="auto"/>
            </w:tcBorders>
          </w:tcPr>
          <w:p w14:paraId="07F7DD81" w14:textId="77777777" w:rsidR="002D4549" w:rsidRPr="00A15CDB" w:rsidRDefault="002D4549" w:rsidP="002D4549">
            <w:pPr>
              <w:pStyle w:val="TableText"/>
              <w:numPr>
                <w:ilvl w:val="0"/>
                <w:numId w:val="3"/>
              </w:numPr>
            </w:pPr>
            <w:r>
              <w:t>Respond to requests and report on implementation progress.</w:t>
            </w:r>
          </w:p>
          <w:p w14:paraId="4AF962F2" w14:textId="77777777" w:rsidR="002D4549" w:rsidRPr="00A15CDB" w:rsidRDefault="002D4549" w:rsidP="002D4549">
            <w:pPr>
              <w:pStyle w:val="TableText"/>
              <w:numPr>
                <w:ilvl w:val="0"/>
                <w:numId w:val="3"/>
              </w:numPr>
            </w:pPr>
            <w:r>
              <w:t>Performance management rests with the relevant manager/leader.</w:t>
            </w:r>
          </w:p>
        </w:tc>
      </w:tr>
      <w:tr w:rsidR="002D4549" w:rsidRPr="00C978B9" w14:paraId="399F6B71" w14:textId="77777777" w:rsidTr="002B6426">
        <w:tc>
          <w:tcPr>
            <w:tcW w:w="3601" w:type="dxa"/>
            <w:tcBorders>
              <w:top w:val="single" w:sz="8" w:space="0" w:color="auto"/>
            </w:tcBorders>
          </w:tcPr>
          <w:p w14:paraId="622ED97D" w14:textId="77777777" w:rsidR="002D4549" w:rsidRPr="00A15CDB" w:rsidRDefault="002D4549" w:rsidP="002B6426">
            <w:pPr>
              <w:pStyle w:val="TableText"/>
            </w:pPr>
            <w:r>
              <w:t>Other OLG staff</w:t>
            </w:r>
          </w:p>
        </w:tc>
        <w:tc>
          <w:tcPr>
            <w:tcW w:w="6986" w:type="dxa"/>
            <w:tcBorders>
              <w:top w:val="single" w:sz="8" w:space="0" w:color="auto"/>
            </w:tcBorders>
          </w:tcPr>
          <w:p w14:paraId="3A5A69F3" w14:textId="77777777" w:rsidR="002D4549" w:rsidRPr="00A15CDB" w:rsidRDefault="002D4549" w:rsidP="002D4549">
            <w:pPr>
              <w:pStyle w:val="TableText"/>
              <w:numPr>
                <w:ilvl w:val="0"/>
                <w:numId w:val="3"/>
              </w:numPr>
            </w:pPr>
            <w:r>
              <w:t>Engage in policy development and/or program/project implementation.</w:t>
            </w:r>
          </w:p>
        </w:tc>
      </w:tr>
      <w:tr w:rsidR="002D4549" w:rsidRPr="00A8245E" w14:paraId="72616F78" w14:textId="77777777" w:rsidTr="002B6426">
        <w:tc>
          <w:tcPr>
            <w:tcW w:w="3601" w:type="dxa"/>
            <w:shd w:val="clear" w:color="auto" w:fill="BCBEC0"/>
          </w:tcPr>
          <w:p w14:paraId="33E99190" w14:textId="77777777" w:rsidR="002D4549" w:rsidRPr="00A8245E" w:rsidRDefault="002D4549" w:rsidP="002B6426">
            <w:pPr>
              <w:pStyle w:val="TableText"/>
              <w:keepNext/>
              <w:rPr>
                <w:b/>
              </w:rPr>
            </w:pPr>
            <w:r w:rsidRPr="00A8245E">
              <w:rPr>
                <w:b/>
              </w:rPr>
              <w:t>External</w:t>
            </w:r>
          </w:p>
        </w:tc>
        <w:tc>
          <w:tcPr>
            <w:tcW w:w="6986" w:type="dxa"/>
            <w:shd w:val="clear" w:color="auto" w:fill="BCBEC0"/>
          </w:tcPr>
          <w:p w14:paraId="22820E0B" w14:textId="77777777" w:rsidR="002D4549" w:rsidRPr="00A8245E" w:rsidRDefault="002D4549" w:rsidP="002B6426">
            <w:pPr>
              <w:pStyle w:val="TableText"/>
              <w:keepNext/>
              <w:rPr>
                <w:b/>
              </w:rPr>
            </w:pPr>
          </w:p>
        </w:tc>
      </w:tr>
      <w:tr w:rsidR="002D4549" w:rsidRPr="00C978B9" w14:paraId="3DEBB0B5" w14:textId="77777777" w:rsidTr="002B6426">
        <w:tc>
          <w:tcPr>
            <w:tcW w:w="3601" w:type="dxa"/>
            <w:tcBorders>
              <w:top w:val="single" w:sz="8" w:space="0" w:color="auto"/>
            </w:tcBorders>
          </w:tcPr>
          <w:p w14:paraId="1EFE46A2" w14:textId="77777777" w:rsidR="002D4549" w:rsidRPr="00A15CDB" w:rsidRDefault="002D4549" w:rsidP="002B6426">
            <w:pPr>
              <w:pStyle w:val="TableText"/>
            </w:pPr>
            <w:r>
              <w:t>Councils and other agencies</w:t>
            </w:r>
          </w:p>
        </w:tc>
        <w:tc>
          <w:tcPr>
            <w:tcW w:w="6986" w:type="dxa"/>
            <w:tcBorders>
              <w:top w:val="single" w:sz="8" w:space="0" w:color="auto"/>
            </w:tcBorders>
          </w:tcPr>
          <w:p w14:paraId="1BE86808" w14:textId="77777777" w:rsidR="002D4549" w:rsidRPr="00A15CDB" w:rsidRDefault="002D4549" w:rsidP="002D4549">
            <w:pPr>
              <w:pStyle w:val="TableText"/>
              <w:numPr>
                <w:ilvl w:val="0"/>
                <w:numId w:val="3"/>
              </w:numPr>
            </w:pPr>
            <w:r>
              <w:t>Maintain key relationships as agreed with manager/leader.</w:t>
            </w:r>
          </w:p>
        </w:tc>
      </w:tr>
    </w:tbl>
    <w:p w14:paraId="15E6D344" w14:textId="77777777" w:rsidR="002D4549" w:rsidRDefault="002D4549" w:rsidP="002D4549"/>
    <w:p w14:paraId="5343A46E" w14:textId="77777777" w:rsidR="002D4549" w:rsidRDefault="002D4549" w:rsidP="002D4549">
      <w:pPr>
        <w:pStyle w:val="Heading1"/>
        <w:rPr>
          <w:sz w:val="28"/>
        </w:rPr>
      </w:pPr>
      <w:r w:rsidRPr="00614552">
        <w:t>Role dimensions</w:t>
      </w:r>
    </w:p>
    <w:p w14:paraId="6507E9CC" w14:textId="77777777" w:rsidR="002D4549" w:rsidRPr="00614552" w:rsidRDefault="002D4549" w:rsidP="002D4549">
      <w:pPr>
        <w:pStyle w:val="Heading2"/>
      </w:pPr>
      <w:r w:rsidRPr="00614552">
        <w:t>Decision making</w:t>
      </w:r>
    </w:p>
    <w:p w14:paraId="7BA12F24" w14:textId="77777777" w:rsidR="002D4549" w:rsidRPr="00603D53" w:rsidRDefault="002D4549" w:rsidP="002D4549">
      <w:pPr>
        <w:rPr>
          <w:rFonts w:cs="Arial"/>
          <w:szCs w:val="26"/>
        </w:rPr>
      </w:pPr>
      <w:r w:rsidRPr="00603D53">
        <w:rPr>
          <w:rFonts w:cs="Arial"/>
          <w:szCs w:val="26"/>
        </w:rPr>
        <w:t>The Senior Performance Analyst is accountable for the timely and efficient analysis, review and reporting on council performance and complex statutory compliance matters. Outputs are expected to be prepared in draft form with minimal input required from the supervisor.</w:t>
      </w:r>
    </w:p>
    <w:p w14:paraId="719A77D4" w14:textId="77777777" w:rsidR="002D4549" w:rsidRPr="00614552" w:rsidRDefault="002D4549" w:rsidP="002D4549">
      <w:pPr>
        <w:pStyle w:val="Heading2"/>
      </w:pPr>
      <w:r w:rsidRPr="00614552">
        <w:t>Reporting line</w:t>
      </w:r>
    </w:p>
    <w:p w14:paraId="4DF3F4AE" w14:textId="77777777" w:rsidR="002D4549" w:rsidRDefault="002D4549" w:rsidP="002D4549">
      <w:pPr>
        <w:rPr>
          <w:rFonts w:cs="Arial"/>
          <w:szCs w:val="26"/>
        </w:rPr>
      </w:pPr>
      <w:r w:rsidRPr="00603D53">
        <w:rPr>
          <w:rFonts w:cs="Arial"/>
          <w:szCs w:val="26"/>
        </w:rPr>
        <w:t xml:space="preserve">This role reports to the relevant Manager for their overall </w:t>
      </w:r>
      <w:proofErr w:type="gramStart"/>
      <w:r w:rsidRPr="00603D53">
        <w:rPr>
          <w:rFonts w:cs="Arial"/>
          <w:szCs w:val="26"/>
        </w:rPr>
        <w:t>performance, and</w:t>
      </w:r>
      <w:proofErr w:type="gramEnd"/>
      <w:r w:rsidRPr="00603D53">
        <w:rPr>
          <w:rFonts w:cs="Arial"/>
          <w:szCs w:val="26"/>
        </w:rPr>
        <w:t xml:space="preserve"> may also report to other Managers within the Office on individual projects, as directed.</w:t>
      </w:r>
    </w:p>
    <w:p w14:paraId="22FE8A02" w14:textId="77777777" w:rsidR="005A4A2A" w:rsidRPr="00614552" w:rsidRDefault="005A4A2A" w:rsidP="005A4A2A">
      <w:pPr>
        <w:pStyle w:val="Heading2"/>
      </w:pPr>
      <w:r w:rsidRPr="00614552">
        <w:t>Direct reports</w:t>
      </w:r>
    </w:p>
    <w:p w14:paraId="1A013D8E" w14:textId="77777777" w:rsidR="005A4A2A" w:rsidRPr="00603D53" w:rsidRDefault="005A4A2A" w:rsidP="005A4A2A">
      <w:pPr>
        <w:rPr>
          <w:rFonts w:cs="Arial"/>
          <w:szCs w:val="26"/>
        </w:rPr>
      </w:pPr>
      <w:r>
        <w:t>Nil</w:t>
      </w:r>
    </w:p>
    <w:p w14:paraId="3CA3275C" w14:textId="77777777" w:rsidR="002D4549" w:rsidRPr="00614552" w:rsidRDefault="002D4549" w:rsidP="002D4549">
      <w:pPr>
        <w:pStyle w:val="Heading2"/>
      </w:pPr>
      <w:r w:rsidRPr="00614552">
        <w:t>Budget/Expenditure</w:t>
      </w:r>
    </w:p>
    <w:p w14:paraId="5A29C5CB" w14:textId="77777777" w:rsidR="002D4549" w:rsidRPr="00603D53" w:rsidRDefault="002D4549" w:rsidP="002D4549">
      <w:pPr>
        <w:rPr>
          <w:rFonts w:cs="Arial"/>
          <w:szCs w:val="26"/>
        </w:rPr>
      </w:pPr>
      <w:r w:rsidRPr="00603D53">
        <w:rPr>
          <w:rFonts w:cs="Arial"/>
          <w:szCs w:val="26"/>
        </w:rPr>
        <w:t xml:space="preserve">This role has no budgetary </w:t>
      </w:r>
      <w:proofErr w:type="gramStart"/>
      <w:r w:rsidRPr="00603D53">
        <w:rPr>
          <w:rFonts w:cs="Arial"/>
          <w:szCs w:val="26"/>
        </w:rPr>
        <w:t>responsibility,</w:t>
      </w:r>
      <w:proofErr w:type="gramEnd"/>
      <w:r w:rsidRPr="00603D53">
        <w:rPr>
          <w:rFonts w:cs="Arial"/>
          <w:szCs w:val="26"/>
        </w:rPr>
        <w:t xml:space="preserve"> however the Senior Performance Analyst will be responsible for accounting for any expenditure made using a Corporate credit card or petty cash in line with OLG policies.</w:t>
      </w:r>
    </w:p>
    <w:p w14:paraId="0F95E0A1" w14:textId="77777777" w:rsidR="005A4A2A" w:rsidRDefault="005A4A2A" w:rsidP="002D4549">
      <w:pPr>
        <w:tabs>
          <w:tab w:val="left" w:pos="2925"/>
        </w:tabs>
        <w:rPr>
          <w:rStyle w:val="Heading1Char"/>
        </w:rPr>
      </w:pPr>
    </w:p>
    <w:p w14:paraId="03D738D7" w14:textId="77777777" w:rsidR="005A4A2A" w:rsidRDefault="005A4A2A" w:rsidP="002D4549">
      <w:pPr>
        <w:tabs>
          <w:tab w:val="left" w:pos="2925"/>
        </w:tabs>
        <w:rPr>
          <w:rStyle w:val="Heading1Char"/>
        </w:rPr>
      </w:pPr>
    </w:p>
    <w:p w14:paraId="72AC33FE" w14:textId="77777777" w:rsidR="002808A8" w:rsidRDefault="002808A8" w:rsidP="002D4549">
      <w:pPr>
        <w:tabs>
          <w:tab w:val="left" w:pos="2925"/>
        </w:tabs>
        <w:rPr>
          <w:rStyle w:val="Heading1Char"/>
        </w:rPr>
      </w:pPr>
      <w:r>
        <w:rPr>
          <w:rStyle w:val="Heading1Char"/>
        </w:rPr>
        <w:lastRenderedPageBreak/>
        <w:t>Key knowledge and experience</w:t>
      </w:r>
    </w:p>
    <w:p w14:paraId="535397B3" w14:textId="77777777" w:rsidR="002808A8" w:rsidRPr="002808A8" w:rsidRDefault="002808A8" w:rsidP="002808A8">
      <w:pPr>
        <w:pStyle w:val="ListParagraph"/>
        <w:numPr>
          <w:ilvl w:val="0"/>
          <w:numId w:val="8"/>
        </w:numPr>
        <w:tabs>
          <w:tab w:val="left" w:pos="2925"/>
        </w:tabs>
        <w:rPr>
          <w:rFonts w:ascii="Georgia" w:hAnsi="Georgia"/>
        </w:rPr>
      </w:pPr>
      <w:r w:rsidRPr="002808A8">
        <w:rPr>
          <w:rFonts w:cs="Arial"/>
        </w:rPr>
        <w:t>Knowledge and understanding of the mechanisms of government, its operating environment and governing legislation.</w:t>
      </w:r>
    </w:p>
    <w:p w14:paraId="48EF94C1" w14:textId="77777777" w:rsidR="002D4549" w:rsidRPr="00614552" w:rsidRDefault="002D4549" w:rsidP="002D4549">
      <w:pPr>
        <w:tabs>
          <w:tab w:val="left" w:pos="2925"/>
        </w:tabs>
        <w:rPr>
          <w:rStyle w:val="Heading1Char"/>
        </w:rPr>
      </w:pPr>
      <w:r w:rsidRPr="00614552">
        <w:rPr>
          <w:rStyle w:val="Heading1Char"/>
        </w:rPr>
        <w:t>Essential requirements</w:t>
      </w:r>
    </w:p>
    <w:p w14:paraId="2A2A8B14" w14:textId="77777777" w:rsidR="002D4549" w:rsidRPr="002808A8" w:rsidRDefault="002D4549" w:rsidP="002808A8">
      <w:pPr>
        <w:pStyle w:val="ListParagraph"/>
        <w:numPr>
          <w:ilvl w:val="0"/>
          <w:numId w:val="8"/>
        </w:numPr>
        <w:tabs>
          <w:tab w:val="left" w:pos="2925"/>
        </w:tabs>
        <w:rPr>
          <w:rFonts w:ascii="Georgia" w:hAnsi="Georgia"/>
        </w:rPr>
      </w:pPr>
      <w:r w:rsidRPr="002808A8">
        <w:rPr>
          <w:rFonts w:cs="Arial"/>
        </w:rPr>
        <w:t>Appropriate tertiary qualifications or equivalent, relevant professional experience and training.</w:t>
      </w:r>
    </w:p>
    <w:p w14:paraId="3D264560" w14:textId="77777777" w:rsidR="00D21AA6" w:rsidRPr="00C978B9" w:rsidRDefault="00D21AA6" w:rsidP="00D21AA6">
      <w:pPr>
        <w:pStyle w:val="Heading1"/>
      </w:pPr>
      <w:r w:rsidRPr="00C978B9">
        <w:t>Capabilities for the role</w:t>
      </w:r>
    </w:p>
    <w:p w14:paraId="004035D1" w14:textId="77777777" w:rsidR="00D21AA6" w:rsidRPr="00175AAF" w:rsidRDefault="00D21AA6" w:rsidP="00D21AA6">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A5D4068" w14:textId="77777777" w:rsidR="00D21AA6" w:rsidRPr="00175AAF" w:rsidRDefault="00D21AA6" w:rsidP="00D21AA6">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67CB970" w14:textId="77777777" w:rsidR="00D21AA6" w:rsidRPr="00C978B9" w:rsidRDefault="00D21AA6" w:rsidP="00D21AA6">
      <w:pPr>
        <w:pStyle w:val="Heading1"/>
      </w:pPr>
      <w:r w:rsidRPr="00C978B9">
        <w:t xml:space="preserve">Focus </w:t>
      </w:r>
      <w:proofErr w:type="gramStart"/>
      <w:r>
        <w:t>c</w:t>
      </w:r>
      <w:r w:rsidRPr="00C978B9">
        <w:t>apabilities</w:t>
      </w:r>
      <w:proofErr w:type="gramEnd"/>
    </w:p>
    <w:p w14:paraId="19E2D5E1" w14:textId="77777777" w:rsidR="00D21AA6" w:rsidRDefault="00D21AA6" w:rsidP="00D21AA6">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2E33EA90" w14:textId="77777777" w:rsidR="00D21AA6" w:rsidRDefault="00D21AA6" w:rsidP="00D21AA6">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18BA5747" w14:textId="77777777" w:rsidR="00D21AA6" w:rsidRPr="00BB12E9" w:rsidRDefault="00D21AA6" w:rsidP="00D21AA6">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D21AA6" w:rsidRPr="00803E47" w14:paraId="51CB12CB" w14:textId="77777777" w:rsidTr="002B6426">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FB304C7" w14:textId="77777777" w:rsidR="00D21AA6" w:rsidRPr="00803E47" w:rsidRDefault="00D21AA6" w:rsidP="002B6426">
            <w:pPr>
              <w:pStyle w:val="TableTextWhite0"/>
              <w:keepNext/>
              <w:jc w:val="both"/>
            </w:pPr>
            <w:r w:rsidRPr="00051E80">
              <w:rPr>
                <w:sz w:val="24"/>
                <w:szCs w:val="24"/>
              </w:rPr>
              <w:t>FOCUS CAPABILITIES</w:t>
            </w:r>
          </w:p>
        </w:tc>
      </w:tr>
      <w:tr w:rsidR="00D21AA6" w:rsidRPr="00C978B9" w14:paraId="5993EA2A" w14:textId="77777777" w:rsidTr="002B642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69CE10A" w14:textId="77777777" w:rsidR="00D21AA6" w:rsidRPr="00C978B9" w:rsidRDefault="00D21AA6" w:rsidP="002B642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B724107" w14:textId="77777777" w:rsidR="00D21AA6" w:rsidRPr="00C978B9" w:rsidRDefault="00D21AA6" w:rsidP="002B642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935A83F" w14:textId="77777777" w:rsidR="00D21AA6" w:rsidRDefault="00D21AA6" w:rsidP="002B6426">
            <w:pPr>
              <w:pStyle w:val="TableText"/>
              <w:keepNext/>
              <w:rPr>
                <w:b/>
              </w:rPr>
            </w:pPr>
          </w:p>
        </w:tc>
        <w:tc>
          <w:tcPr>
            <w:tcW w:w="4770" w:type="dxa"/>
            <w:tcBorders>
              <w:bottom w:val="single" w:sz="12" w:space="0" w:color="auto"/>
            </w:tcBorders>
            <w:shd w:val="clear" w:color="auto" w:fill="BCBEC0"/>
          </w:tcPr>
          <w:p w14:paraId="4A8458B8" w14:textId="77777777" w:rsidR="00D21AA6" w:rsidRDefault="00D21AA6" w:rsidP="002B6426">
            <w:pPr>
              <w:pStyle w:val="TableText"/>
              <w:keepNext/>
              <w:rPr>
                <w:b/>
              </w:rPr>
            </w:pPr>
            <w:r>
              <w:rPr>
                <w:b/>
              </w:rPr>
              <w:t>Behavioural indicators</w:t>
            </w:r>
          </w:p>
        </w:tc>
        <w:tc>
          <w:tcPr>
            <w:tcW w:w="1606" w:type="dxa"/>
            <w:tcBorders>
              <w:bottom w:val="single" w:sz="12" w:space="0" w:color="auto"/>
            </w:tcBorders>
            <w:shd w:val="clear" w:color="auto" w:fill="BCBEC0"/>
          </w:tcPr>
          <w:p w14:paraId="524C70E5" w14:textId="77777777" w:rsidR="00D21AA6" w:rsidRDefault="00D21AA6" w:rsidP="002B6426">
            <w:pPr>
              <w:pStyle w:val="TableText"/>
              <w:keepNext/>
              <w:jc w:val="both"/>
              <w:rPr>
                <w:b/>
              </w:rPr>
            </w:pPr>
            <w:r>
              <w:rPr>
                <w:b/>
              </w:rPr>
              <w:t xml:space="preserve">Level </w:t>
            </w:r>
          </w:p>
        </w:tc>
      </w:tr>
      <w:tr w:rsidR="00D21AA6" w:rsidRPr="00C978B9" w14:paraId="6FCF3DAB" w14:textId="77777777" w:rsidTr="002B6426">
        <w:tc>
          <w:tcPr>
            <w:tcW w:w="1406" w:type="dxa"/>
            <w:vMerge w:val="restart"/>
            <w:tcBorders>
              <w:bottom w:val="single" w:sz="4" w:space="0" w:color="BCBEC0"/>
            </w:tcBorders>
          </w:tcPr>
          <w:p w14:paraId="1A8B3975" w14:textId="77777777" w:rsidR="00D21AA6" w:rsidRPr="00C978B9" w:rsidRDefault="00D21AA6" w:rsidP="002B6426">
            <w:pPr>
              <w:keepNext/>
            </w:pPr>
            <w:r>
              <w:rPr>
                <w:noProof/>
                <w:lang w:eastAsia="en-AU"/>
              </w:rPr>
              <w:drawing>
                <wp:inline distT="0" distB="0" distL="0" distR="0" wp14:anchorId="5C833F60" wp14:editId="32232D34">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A27FC11" w14:textId="77777777" w:rsidR="00D21AA6" w:rsidRPr="00A8226F" w:rsidRDefault="00D21AA6" w:rsidP="002B6426">
            <w:pPr>
              <w:pStyle w:val="TableText"/>
              <w:keepNext/>
              <w:rPr>
                <w:b/>
              </w:rPr>
            </w:pPr>
            <w:r>
              <w:rPr>
                <w:b/>
              </w:rPr>
              <w:t>Manage Self</w:t>
            </w:r>
          </w:p>
          <w:p w14:paraId="1AFE0BB8" w14:textId="77777777" w:rsidR="00D21AA6" w:rsidRPr="00AA57E3" w:rsidRDefault="00D21AA6" w:rsidP="002B6426">
            <w:pPr>
              <w:pStyle w:val="TableText"/>
              <w:keepNext/>
            </w:pPr>
            <w:r>
              <w:t>Show drive and motivation, an ability to self-reflect and a commitment to learning</w:t>
            </w:r>
          </w:p>
        </w:tc>
        <w:tc>
          <w:tcPr>
            <w:tcW w:w="4770" w:type="dxa"/>
            <w:tcBorders>
              <w:bottom w:val="single" w:sz="4" w:space="0" w:color="BCBEC0"/>
            </w:tcBorders>
          </w:tcPr>
          <w:p w14:paraId="1F1448C5" w14:textId="77777777" w:rsidR="00D21AA6" w:rsidRPr="00AA57E3" w:rsidRDefault="00D21AA6" w:rsidP="00D21AA6">
            <w:pPr>
              <w:pStyle w:val="TableBullet"/>
              <w:tabs>
                <w:tab w:val="clear" w:pos="284"/>
                <w:tab w:val="num" w:pos="360"/>
              </w:tabs>
              <w:ind w:left="360" w:hanging="360"/>
            </w:pPr>
            <w:r>
              <w:t xml:space="preserve">Keep up to date with relevant contemporary knowledge and </w:t>
            </w:r>
            <w:proofErr w:type="gramStart"/>
            <w:r>
              <w:t>practices</w:t>
            </w:r>
            <w:proofErr w:type="gramEnd"/>
          </w:p>
          <w:p w14:paraId="68386683" w14:textId="77777777" w:rsidR="00D21AA6" w:rsidRPr="00AA57E3" w:rsidRDefault="00D21AA6" w:rsidP="00D21AA6">
            <w:pPr>
              <w:pStyle w:val="TableBullet"/>
              <w:tabs>
                <w:tab w:val="clear" w:pos="284"/>
                <w:tab w:val="num" w:pos="360"/>
              </w:tabs>
              <w:ind w:left="360" w:hanging="360"/>
            </w:pPr>
            <w:r>
              <w:t xml:space="preserve">Look for and take advantage of opportunities to learn new skills and develop </w:t>
            </w:r>
            <w:proofErr w:type="gramStart"/>
            <w:r>
              <w:t>strengths</w:t>
            </w:r>
            <w:proofErr w:type="gramEnd"/>
          </w:p>
          <w:p w14:paraId="56C18B3A" w14:textId="77777777" w:rsidR="00D21AA6" w:rsidRPr="00AA57E3" w:rsidRDefault="00D21AA6" w:rsidP="00D21AA6">
            <w:pPr>
              <w:pStyle w:val="TableBullet"/>
              <w:tabs>
                <w:tab w:val="clear" w:pos="284"/>
                <w:tab w:val="num" w:pos="360"/>
              </w:tabs>
              <w:ind w:left="360" w:hanging="360"/>
            </w:pPr>
            <w:r>
              <w:t xml:space="preserve">Show commitment to achieving challenging </w:t>
            </w:r>
            <w:proofErr w:type="gramStart"/>
            <w:r>
              <w:t>goals</w:t>
            </w:r>
            <w:proofErr w:type="gramEnd"/>
          </w:p>
          <w:p w14:paraId="5A070F87" w14:textId="77777777" w:rsidR="00D21AA6" w:rsidRPr="00AA57E3" w:rsidRDefault="00D21AA6" w:rsidP="00D21AA6">
            <w:pPr>
              <w:pStyle w:val="TableBullet"/>
              <w:tabs>
                <w:tab w:val="clear" w:pos="284"/>
                <w:tab w:val="num" w:pos="360"/>
              </w:tabs>
              <w:ind w:left="360" w:hanging="360"/>
            </w:pPr>
            <w:r>
              <w:t xml:space="preserve">Examine and reflect on own </w:t>
            </w:r>
            <w:proofErr w:type="gramStart"/>
            <w:r>
              <w:t>performance</w:t>
            </w:r>
            <w:proofErr w:type="gramEnd"/>
          </w:p>
          <w:p w14:paraId="5BEB979E" w14:textId="77777777" w:rsidR="00D21AA6" w:rsidRPr="00AA57E3" w:rsidRDefault="00D21AA6" w:rsidP="00D21AA6">
            <w:pPr>
              <w:pStyle w:val="TableBullet"/>
              <w:tabs>
                <w:tab w:val="clear" w:pos="284"/>
                <w:tab w:val="num" w:pos="360"/>
              </w:tabs>
              <w:ind w:left="360" w:hanging="360"/>
            </w:pPr>
            <w:r>
              <w:t xml:space="preserve">Seek and respond positively to constructive feedback and </w:t>
            </w:r>
            <w:proofErr w:type="gramStart"/>
            <w:r>
              <w:t>guidance</w:t>
            </w:r>
            <w:proofErr w:type="gramEnd"/>
          </w:p>
          <w:p w14:paraId="78245F9D" w14:textId="77777777" w:rsidR="00D21AA6" w:rsidRPr="00AA57E3" w:rsidRDefault="00D21AA6" w:rsidP="00D21AA6">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2674F45C" w14:textId="77777777" w:rsidR="00D21AA6" w:rsidRDefault="00D21AA6" w:rsidP="002B6426">
            <w:pPr>
              <w:pStyle w:val="TableBullet"/>
              <w:numPr>
                <w:ilvl w:val="0"/>
                <w:numId w:val="0"/>
              </w:numPr>
              <w:jc w:val="both"/>
            </w:pPr>
            <w:r>
              <w:t>Adept</w:t>
            </w:r>
          </w:p>
        </w:tc>
      </w:tr>
      <w:tr w:rsidR="00D21AA6" w:rsidRPr="00C978B9" w14:paraId="7F7DD5FC" w14:textId="77777777" w:rsidTr="002B6426">
        <w:tc>
          <w:tcPr>
            <w:tcW w:w="1406" w:type="dxa"/>
            <w:vMerge w:val="restart"/>
            <w:tcBorders>
              <w:bottom w:val="single" w:sz="4" w:space="0" w:color="BCBEC0"/>
            </w:tcBorders>
          </w:tcPr>
          <w:p w14:paraId="7C7DB790" w14:textId="77777777" w:rsidR="00D21AA6" w:rsidRPr="00C978B9" w:rsidRDefault="00D21AA6" w:rsidP="002B6426">
            <w:pPr>
              <w:keepNext/>
            </w:pPr>
            <w:r>
              <w:rPr>
                <w:noProof/>
                <w:lang w:eastAsia="en-AU"/>
              </w:rPr>
              <w:drawing>
                <wp:inline distT="0" distB="0" distL="0" distR="0" wp14:anchorId="0A89E9E1" wp14:editId="67DE02E0">
                  <wp:extent cx="847725" cy="847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DF8059F" w14:textId="77777777" w:rsidR="00D21AA6" w:rsidRPr="00A8226F" w:rsidRDefault="00D21AA6" w:rsidP="002B6426">
            <w:pPr>
              <w:pStyle w:val="TableText"/>
              <w:keepNext/>
              <w:rPr>
                <w:b/>
              </w:rPr>
            </w:pPr>
            <w:r>
              <w:rPr>
                <w:b/>
              </w:rPr>
              <w:t>Communicate Effectively</w:t>
            </w:r>
          </w:p>
          <w:p w14:paraId="2EFC9DC6" w14:textId="77777777" w:rsidR="00D21AA6" w:rsidRPr="00AA57E3" w:rsidRDefault="00D21AA6" w:rsidP="002B6426">
            <w:pPr>
              <w:pStyle w:val="TableText"/>
              <w:keepNext/>
            </w:pPr>
            <w:r>
              <w:t>Communicate clearly, actively listen to others, and respond with understanding and respect</w:t>
            </w:r>
          </w:p>
        </w:tc>
        <w:tc>
          <w:tcPr>
            <w:tcW w:w="4770" w:type="dxa"/>
            <w:tcBorders>
              <w:bottom w:val="single" w:sz="4" w:space="0" w:color="BCBEC0"/>
            </w:tcBorders>
          </w:tcPr>
          <w:p w14:paraId="2C3D75E5" w14:textId="77777777" w:rsidR="00D21AA6" w:rsidRPr="00AA57E3" w:rsidRDefault="00D21AA6" w:rsidP="00D21AA6">
            <w:pPr>
              <w:pStyle w:val="TableBullet"/>
              <w:tabs>
                <w:tab w:val="clear" w:pos="284"/>
                <w:tab w:val="num" w:pos="360"/>
              </w:tabs>
              <w:ind w:left="360" w:hanging="360"/>
            </w:pPr>
            <w:r>
              <w:t>Tailor communication to diverse audiences</w:t>
            </w:r>
          </w:p>
          <w:p w14:paraId="4CE0982D" w14:textId="77777777" w:rsidR="00D21AA6" w:rsidRPr="00AA57E3" w:rsidRDefault="00D21AA6" w:rsidP="00D21AA6">
            <w:pPr>
              <w:pStyle w:val="TableBullet"/>
              <w:tabs>
                <w:tab w:val="clear" w:pos="284"/>
                <w:tab w:val="num" w:pos="360"/>
              </w:tabs>
              <w:ind w:left="360" w:hanging="360"/>
            </w:pPr>
            <w:r>
              <w:t>Clearly explain complex concepts and arguments to individuals and groups</w:t>
            </w:r>
          </w:p>
          <w:p w14:paraId="5F3AC2D9" w14:textId="77777777" w:rsidR="00D21AA6" w:rsidRPr="00AA57E3" w:rsidRDefault="00D21AA6" w:rsidP="00D21AA6">
            <w:pPr>
              <w:pStyle w:val="TableBullet"/>
              <w:tabs>
                <w:tab w:val="clear" w:pos="284"/>
                <w:tab w:val="num" w:pos="360"/>
              </w:tabs>
              <w:ind w:left="360" w:hanging="360"/>
            </w:pPr>
            <w:r>
              <w:t xml:space="preserve">Create opportunities for others to be heard, listen attentively and encourage them to express their </w:t>
            </w:r>
            <w:proofErr w:type="gramStart"/>
            <w:r>
              <w:t>views</w:t>
            </w:r>
            <w:proofErr w:type="gramEnd"/>
          </w:p>
          <w:p w14:paraId="6C51EA21" w14:textId="77777777" w:rsidR="00D21AA6" w:rsidRPr="00AA57E3" w:rsidRDefault="00D21AA6" w:rsidP="00D21AA6">
            <w:pPr>
              <w:pStyle w:val="TableBullet"/>
              <w:tabs>
                <w:tab w:val="clear" w:pos="284"/>
                <w:tab w:val="num" w:pos="360"/>
              </w:tabs>
              <w:ind w:left="360" w:hanging="360"/>
            </w:pPr>
            <w:r>
              <w:t xml:space="preserve">Share information across teams and units to enable informed decision </w:t>
            </w:r>
            <w:proofErr w:type="gramStart"/>
            <w:r>
              <w:t>making</w:t>
            </w:r>
            <w:proofErr w:type="gramEnd"/>
          </w:p>
          <w:p w14:paraId="1D8FD207" w14:textId="77777777" w:rsidR="00D21AA6" w:rsidRPr="00AA57E3" w:rsidRDefault="00D21AA6" w:rsidP="00D21AA6">
            <w:pPr>
              <w:pStyle w:val="TableBullet"/>
              <w:tabs>
                <w:tab w:val="clear" w:pos="284"/>
                <w:tab w:val="num" w:pos="360"/>
              </w:tabs>
              <w:ind w:left="360" w:hanging="360"/>
            </w:pPr>
            <w:r>
              <w:t xml:space="preserve">Write fluently in plain English and in a range of styles and </w:t>
            </w:r>
            <w:proofErr w:type="gramStart"/>
            <w:r>
              <w:t>formats</w:t>
            </w:r>
            <w:proofErr w:type="gramEnd"/>
          </w:p>
          <w:p w14:paraId="31790885" w14:textId="77777777" w:rsidR="00D21AA6" w:rsidRPr="00AA57E3" w:rsidRDefault="00D21AA6" w:rsidP="00D21AA6">
            <w:pPr>
              <w:pStyle w:val="TableBullet"/>
              <w:tabs>
                <w:tab w:val="clear" w:pos="284"/>
                <w:tab w:val="num" w:pos="360"/>
              </w:tabs>
              <w:ind w:left="360" w:hanging="360"/>
            </w:pPr>
            <w:r>
              <w:lastRenderedPageBreak/>
              <w:t>Use contemporary communication channels to share information, engage and interact with diverse audiences</w:t>
            </w:r>
          </w:p>
        </w:tc>
        <w:tc>
          <w:tcPr>
            <w:tcW w:w="1606" w:type="dxa"/>
            <w:tcBorders>
              <w:bottom w:val="single" w:sz="4" w:space="0" w:color="BCBEC0"/>
            </w:tcBorders>
          </w:tcPr>
          <w:p w14:paraId="0B48B614" w14:textId="77777777" w:rsidR="00D21AA6" w:rsidRDefault="00D21AA6" w:rsidP="002B6426">
            <w:pPr>
              <w:pStyle w:val="TableBullet"/>
              <w:numPr>
                <w:ilvl w:val="0"/>
                <w:numId w:val="0"/>
              </w:numPr>
              <w:jc w:val="both"/>
            </w:pPr>
            <w:r>
              <w:lastRenderedPageBreak/>
              <w:t>Adept</w:t>
            </w:r>
          </w:p>
        </w:tc>
      </w:tr>
      <w:tr w:rsidR="00D21AA6" w:rsidRPr="00C978B9" w14:paraId="547013A7" w14:textId="77777777" w:rsidTr="002B6426">
        <w:tc>
          <w:tcPr>
            <w:tcW w:w="1406" w:type="dxa"/>
            <w:vMerge/>
            <w:tcBorders>
              <w:bottom w:val="single" w:sz="4" w:space="0" w:color="BCBEC0"/>
            </w:tcBorders>
          </w:tcPr>
          <w:p w14:paraId="198711A5" w14:textId="77777777" w:rsidR="00D21AA6" w:rsidRDefault="00D21AA6" w:rsidP="002B6426">
            <w:pPr>
              <w:keepNext/>
              <w:rPr>
                <w:noProof/>
                <w:lang w:eastAsia="en-AU"/>
              </w:rPr>
            </w:pPr>
          </w:p>
        </w:tc>
        <w:tc>
          <w:tcPr>
            <w:tcW w:w="2971" w:type="dxa"/>
            <w:gridSpan w:val="2"/>
            <w:tcBorders>
              <w:bottom w:val="single" w:sz="4" w:space="0" w:color="BCBEC0"/>
            </w:tcBorders>
          </w:tcPr>
          <w:p w14:paraId="6DBCAC66" w14:textId="77777777" w:rsidR="00D21AA6" w:rsidRPr="00A8226F" w:rsidRDefault="00D21AA6" w:rsidP="002B6426">
            <w:pPr>
              <w:pStyle w:val="TableText"/>
              <w:keepNext/>
              <w:rPr>
                <w:b/>
              </w:rPr>
            </w:pPr>
            <w:r>
              <w:rPr>
                <w:b/>
              </w:rPr>
              <w:t>Work Collaboratively</w:t>
            </w:r>
          </w:p>
          <w:p w14:paraId="7A2EAD80" w14:textId="77777777" w:rsidR="00D21AA6" w:rsidRPr="00A8226F" w:rsidRDefault="00D21AA6" w:rsidP="002B6426">
            <w:pPr>
              <w:pStyle w:val="TableText"/>
              <w:keepNext/>
              <w:rPr>
                <w:b/>
              </w:rPr>
            </w:pPr>
            <w:r>
              <w:t>Collaborate with others and value their contribution</w:t>
            </w:r>
          </w:p>
        </w:tc>
        <w:tc>
          <w:tcPr>
            <w:tcW w:w="4770" w:type="dxa"/>
            <w:tcBorders>
              <w:bottom w:val="single" w:sz="4" w:space="0" w:color="BCBEC0"/>
            </w:tcBorders>
          </w:tcPr>
          <w:p w14:paraId="6BC30FCB" w14:textId="77777777" w:rsidR="00D21AA6" w:rsidRDefault="00D21AA6" w:rsidP="00D21AA6">
            <w:pPr>
              <w:pStyle w:val="TableBullet"/>
              <w:tabs>
                <w:tab w:val="clear" w:pos="284"/>
                <w:tab w:val="num" w:pos="360"/>
              </w:tabs>
              <w:ind w:left="360" w:hanging="360"/>
            </w:pPr>
            <w:r>
              <w:t xml:space="preserve">Encourage a culture that recognises the value of </w:t>
            </w:r>
            <w:proofErr w:type="gramStart"/>
            <w:r>
              <w:t>collaboration</w:t>
            </w:r>
            <w:proofErr w:type="gramEnd"/>
          </w:p>
          <w:p w14:paraId="3541C82C" w14:textId="77777777" w:rsidR="00D21AA6" w:rsidRDefault="00D21AA6" w:rsidP="00D21AA6">
            <w:pPr>
              <w:pStyle w:val="TableBullet"/>
              <w:tabs>
                <w:tab w:val="clear" w:pos="284"/>
                <w:tab w:val="num" w:pos="360"/>
              </w:tabs>
              <w:ind w:left="360" w:hanging="360"/>
            </w:pPr>
            <w:r>
              <w:t xml:space="preserve">Build cooperation and overcome barriers to information sharing and communication across teams and </w:t>
            </w:r>
            <w:proofErr w:type="gramStart"/>
            <w:r>
              <w:t>units</w:t>
            </w:r>
            <w:proofErr w:type="gramEnd"/>
          </w:p>
          <w:p w14:paraId="37A90957" w14:textId="77777777" w:rsidR="00D21AA6" w:rsidRDefault="00D21AA6" w:rsidP="00D21AA6">
            <w:pPr>
              <w:pStyle w:val="TableBullet"/>
              <w:tabs>
                <w:tab w:val="clear" w:pos="284"/>
                <w:tab w:val="num" w:pos="360"/>
              </w:tabs>
              <w:ind w:left="360" w:hanging="360"/>
            </w:pPr>
            <w:r>
              <w:t xml:space="preserve">Share lessons learned across teams and </w:t>
            </w:r>
            <w:proofErr w:type="gramStart"/>
            <w:r>
              <w:t>units</w:t>
            </w:r>
            <w:proofErr w:type="gramEnd"/>
          </w:p>
          <w:p w14:paraId="6AD821C6" w14:textId="77777777" w:rsidR="00D21AA6" w:rsidRDefault="00D21AA6" w:rsidP="00D21AA6">
            <w:pPr>
              <w:pStyle w:val="TableBullet"/>
              <w:tabs>
                <w:tab w:val="clear" w:pos="284"/>
                <w:tab w:val="num" w:pos="360"/>
              </w:tabs>
              <w:ind w:left="360" w:hanging="360"/>
            </w:pPr>
            <w:r>
              <w:t xml:space="preserve">Identify opportunities to leverage the strengths of others to solve issues and develop better processes and approaches to </w:t>
            </w:r>
            <w:proofErr w:type="gramStart"/>
            <w:r>
              <w:t>work</w:t>
            </w:r>
            <w:proofErr w:type="gramEnd"/>
          </w:p>
          <w:p w14:paraId="00949A9A" w14:textId="77777777" w:rsidR="00D21AA6" w:rsidRDefault="00D21AA6" w:rsidP="00D21AA6">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5FFBA830" w14:textId="77777777" w:rsidR="00D21AA6" w:rsidRDefault="00D21AA6" w:rsidP="002B6426">
            <w:pPr>
              <w:pStyle w:val="TableBullet"/>
              <w:numPr>
                <w:ilvl w:val="0"/>
                <w:numId w:val="0"/>
              </w:numPr>
              <w:jc w:val="both"/>
            </w:pPr>
            <w:r>
              <w:t>Adept</w:t>
            </w:r>
          </w:p>
        </w:tc>
      </w:tr>
      <w:tr w:rsidR="00D21AA6" w:rsidRPr="00C978B9" w14:paraId="73497A23" w14:textId="77777777" w:rsidTr="002B6426">
        <w:tc>
          <w:tcPr>
            <w:tcW w:w="1406" w:type="dxa"/>
            <w:vMerge w:val="restart"/>
            <w:tcBorders>
              <w:bottom w:val="single" w:sz="4" w:space="0" w:color="BCBEC0"/>
            </w:tcBorders>
          </w:tcPr>
          <w:p w14:paraId="6AAEC748" w14:textId="77777777" w:rsidR="00D21AA6" w:rsidRPr="00C978B9" w:rsidRDefault="00D21AA6" w:rsidP="002B6426">
            <w:pPr>
              <w:keepNext/>
            </w:pPr>
            <w:r>
              <w:rPr>
                <w:noProof/>
                <w:lang w:eastAsia="en-AU"/>
              </w:rPr>
              <w:drawing>
                <wp:inline distT="0" distB="0" distL="0" distR="0" wp14:anchorId="4B2136AC" wp14:editId="543B4285">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E1FF849" w14:textId="77777777" w:rsidR="00D21AA6" w:rsidRPr="00A8226F" w:rsidRDefault="00D21AA6" w:rsidP="002B6426">
            <w:pPr>
              <w:pStyle w:val="TableText"/>
              <w:keepNext/>
              <w:rPr>
                <w:b/>
              </w:rPr>
            </w:pPr>
            <w:r>
              <w:rPr>
                <w:b/>
              </w:rPr>
              <w:t>Think and Solve Problems</w:t>
            </w:r>
          </w:p>
          <w:p w14:paraId="3B84EE46" w14:textId="77777777" w:rsidR="00D21AA6" w:rsidRPr="00AA57E3" w:rsidRDefault="00D21AA6" w:rsidP="002B6426">
            <w:pPr>
              <w:pStyle w:val="TableText"/>
              <w:keepNext/>
            </w:pPr>
            <w:r>
              <w:t xml:space="preserve">Think, </w:t>
            </w:r>
            <w:proofErr w:type="gramStart"/>
            <w:r>
              <w:t>analyse</w:t>
            </w:r>
            <w:proofErr w:type="gramEnd"/>
            <w:r>
              <w:t xml:space="preserve"> and consider the broader context to develop practical solutions</w:t>
            </w:r>
          </w:p>
        </w:tc>
        <w:tc>
          <w:tcPr>
            <w:tcW w:w="4770" w:type="dxa"/>
            <w:tcBorders>
              <w:bottom w:val="single" w:sz="4" w:space="0" w:color="BCBEC0"/>
            </w:tcBorders>
          </w:tcPr>
          <w:p w14:paraId="75B5C087" w14:textId="77777777" w:rsidR="00D21AA6" w:rsidRPr="00AA57E3" w:rsidRDefault="00D21AA6" w:rsidP="00D21AA6">
            <w:pPr>
              <w:pStyle w:val="TableBullet"/>
              <w:tabs>
                <w:tab w:val="clear" w:pos="284"/>
                <w:tab w:val="num" w:pos="360"/>
              </w:tabs>
              <w:ind w:left="360" w:hanging="360"/>
            </w:pPr>
            <w:r>
              <w:t xml:space="preserve">Research and apply critical-thinking techniques in analysing information, identify interrelationships and make recommendations based on relevant </w:t>
            </w:r>
            <w:proofErr w:type="gramStart"/>
            <w:r>
              <w:t>evidence</w:t>
            </w:r>
            <w:proofErr w:type="gramEnd"/>
          </w:p>
          <w:p w14:paraId="58A7F7B9" w14:textId="77777777" w:rsidR="00D21AA6" w:rsidRPr="00AA57E3" w:rsidRDefault="00D21AA6" w:rsidP="00D21AA6">
            <w:pPr>
              <w:pStyle w:val="TableBullet"/>
              <w:tabs>
                <w:tab w:val="clear" w:pos="284"/>
                <w:tab w:val="num" w:pos="360"/>
              </w:tabs>
              <w:ind w:left="360" w:hanging="360"/>
            </w:pPr>
            <w:r>
              <w:t xml:space="preserve">Anticipate, identify and address issues and potential problems that may have an impact on organisational objectives and the user </w:t>
            </w:r>
            <w:proofErr w:type="gramStart"/>
            <w:r>
              <w:t>experience</w:t>
            </w:r>
            <w:proofErr w:type="gramEnd"/>
          </w:p>
          <w:p w14:paraId="3ED757A3" w14:textId="77777777" w:rsidR="00D21AA6" w:rsidRPr="00AA57E3" w:rsidRDefault="00D21AA6" w:rsidP="00D21AA6">
            <w:pPr>
              <w:pStyle w:val="TableBullet"/>
              <w:tabs>
                <w:tab w:val="clear" w:pos="284"/>
                <w:tab w:val="num" w:pos="360"/>
              </w:tabs>
              <w:ind w:left="360" w:hanging="360"/>
            </w:pPr>
            <w:r>
              <w:t xml:space="preserve">Apply creative-thinking techniques to generate new ideas and options to address issues and improve the user </w:t>
            </w:r>
            <w:proofErr w:type="gramStart"/>
            <w:r>
              <w:t>experience</w:t>
            </w:r>
            <w:proofErr w:type="gramEnd"/>
          </w:p>
          <w:p w14:paraId="6649E37A" w14:textId="77777777" w:rsidR="00D21AA6" w:rsidRPr="00AA57E3" w:rsidRDefault="00D21AA6" w:rsidP="00D21AA6">
            <w:pPr>
              <w:pStyle w:val="TableBullet"/>
              <w:tabs>
                <w:tab w:val="clear" w:pos="284"/>
                <w:tab w:val="num" w:pos="360"/>
              </w:tabs>
              <w:ind w:left="360" w:hanging="360"/>
            </w:pPr>
            <w:r>
              <w:t xml:space="preserve">Seek contributions and ideas from people with diverse backgrounds and </w:t>
            </w:r>
            <w:proofErr w:type="gramStart"/>
            <w:r>
              <w:t>experience</w:t>
            </w:r>
            <w:proofErr w:type="gramEnd"/>
          </w:p>
          <w:p w14:paraId="3BA8A24D" w14:textId="77777777" w:rsidR="00D21AA6" w:rsidRPr="00AA57E3" w:rsidRDefault="00D21AA6" w:rsidP="00D21AA6">
            <w:pPr>
              <w:pStyle w:val="TableBullet"/>
              <w:tabs>
                <w:tab w:val="clear" w:pos="284"/>
                <w:tab w:val="num" w:pos="360"/>
              </w:tabs>
              <w:ind w:left="360" w:hanging="360"/>
            </w:pPr>
            <w:r>
              <w:t xml:space="preserve">Participate in and contribute to team or unit initiatives to resolve common issues or barriers to </w:t>
            </w:r>
            <w:proofErr w:type="gramStart"/>
            <w:r>
              <w:t>effectiveness</w:t>
            </w:r>
            <w:proofErr w:type="gramEnd"/>
          </w:p>
          <w:p w14:paraId="4F673BCA" w14:textId="77777777" w:rsidR="00D21AA6" w:rsidRPr="00AA57E3" w:rsidRDefault="00D21AA6" w:rsidP="00D21AA6">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466D89BA" w14:textId="77777777" w:rsidR="00D21AA6" w:rsidRDefault="00D21AA6" w:rsidP="002B6426">
            <w:pPr>
              <w:pStyle w:val="TableBullet"/>
              <w:numPr>
                <w:ilvl w:val="0"/>
                <w:numId w:val="0"/>
              </w:numPr>
              <w:jc w:val="both"/>
            </w:pPr>
            <w:r>
              <w:t>Adept</w:t>
            </w:r>
          </w:p>
        </w:tc>
      </w:tr>
      <w:tr w:rsidR="00D21AA6" w:rsidRPr="00C978B9" w14:paraId="640BE359" w14:textId="77777777" w:rsidTr="002B6426">
        <w:tc>
          <w:tcPr>
            <w:tcW w:w="1406" w:type="dxa"/>
            <w:vMerge w:val="restart"/>
            <w:tcBorders>
              <w:bottom w:val="single" w:sz="4" w:space="0" w:color="BCBEC0"/>
            </w:tcBorders>
          </w:tcPr>
          <w:p w14:paraId="64DF7B30" w14:textId="77777777" w:rsidR="00D21AA6" w:rsidRPr="00C978B9" w:rsidRDefault="00D21AA6" w:rsidP="002B6426">
            <w:pPr>
              <w:keepNext/>
            </w:pPr>
            <w:r>
              <w:rPr>
                <w:noProof/>
                <w:lang w:eastAsia="en-AU"/>
              </w:rPr>
              <w:drawing>
                <wp:inline distT="0" distB="0" distL="0" distR="0" wp14:anchorId="0073C096" wp14:editId="73AFECEB">
                  <wp:extent cx="8477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C85BE9F" w14:textId="77777777" w:rsidR="00D21AA6" w:rsidRPr="00A8226F" w:rsidRDefault="00D21AA6" w:rsidP="002B6426">
            <w:pPr>
              <w:pStyle w:val="TableText"/>
              <w:keepNext/>
              <w:rPr>
                <w:b/>
              </w:rPr>
            </w:pPr>
            <w:r>
              <w:rPr>
                <w:b/>
              </w:rPr>
              <w:t>Finance</w:t>
            </w:r>
          </w:p>
          <w:p w14:paraId="61EEBFF6" w14:textId="77777777" w:rsidR="00D21AA6" w:rsidRPr="00AA57E3" w:rsidRDefault="00D21AA6" w:rsidP="002B6426">
            <w:pPr>
              <w:pStyle w:val="TableText"/>
              <w:keepNext/>
            </w:pPr>
            <w:r>
              <w:t>Understand and apply financial processes to achieve value for money and minimise financial risk</w:t>
            </w:r>
          </w:p>
        </w:tc>
        <w:tc>
          <w:tcPr>
            <w:tcW w:w="4770" w:type="dxa"/>
            <w:tcBorders>
              <w:bottom w:val="single" w:sz="4" w:space="0" w:color="BCBEC0"/>
            </w:tcBorders>
          </w:tcPr>
          <w:p w14:paraId="1F473748" w14:textId="77777777" w:rsidR="00D21AA6" w:rsidRPr="00AA57E3" w:rsidRDefault="00D21AA6" w:rsidP="00D21AA6">
            <w:pPr>
              <w:pStyle w:val="TableBullet"/>
              <w:tabs>
                <w:tab w:val="clear" w:pos="284"/>
                <w:tab w:val="num" w:pos="360"/>
              </w:tabs>
              <w:ind w:left="360" w:hanging="360"/>
            </w:pPr>
            <w:r>
              <w:t xml:space="preserve">Understand core financial terminology, policies and processes, and display knowledge of relevant recurrent and capital financial </w:t>
            </w:r>
            <w:proofErr w:type="gramStart"/>
            <w:r>
              <w:t>measures</w:t>
            </w:r>
            <w:proofErr w:type="gramEnd"/>
          </w:p>
          <w:p w14:paraId="0A2082C0" w14:textId="77777777" w:rsidR="00D21AA6" w:rsidRPr="00AA57E3" w:rsidRDefault="00D21AA6" w:rsidP="00D21AA6">
            <w:pPr>
              <w:pStyle w:val="TableBullet"/>
              <w:tabs>
                <w:tab w:val="clear" w:pos="284"/>
                <w:tab w:val="num" w:pos="360"/>
              </w:tabs>
              <w:ind w:left="360" w:hanging="360"/>
            </w:pPr>
            <w:r>
              <w:t xml:space="preserve">Understand the impacts of funding allocations on business planning and </w:t>
            </w:r>
            <w:proofErr w:type="gramStart"/>
            <w:r>
              <w:t>budgets</w:t>
            </w:r>
            <w:proofErr w:type="gramEnd"/>
          </w:p>
          <w:p w14:paraId="1C44BF11" w14:textId="77777777" w:rsidR="00D21AA6" w:rsidRPr="00AA57E3" w:rsidRDefault="00D21AA6" w:rsidP="00D21AA6">
            <w:pPr>
              <w:pStyle w:val="TableBullet"/>
              <w:tabs>
                <w:tab w:val="clear" w:pos="284"/>
                <w:tab w:val="num" w:pos="360"/>
              </w:tabs>
              <w:ind w:left="360" w:hanging="360"/>
            </w:pPr>
            <w:r>
              <w:t xml:space="preserve">Identify discrepancies or variances in financial and budget reports, and take corrective </w:t>
            </w:r>
            <w:proofErr w:type="gramStart"/>
            <w:r>
              <w:t>action</w:t>
            </w:r>
            <w:proofErr w:type="gramEnd"/>
          </w:p>
          <w:p w14:paraId="1462B550" w14:textId="77777777" w:rsidR="00D21AA6" w:rsidRPr="00AA57E3" w:rsidRDefault="00D21AA6" w:rsidP="00D21AA6">
            <w:pPr>
              <w:pStyle w:val="TableBullet"/>
              <w:tabs>
                <w:tab w:val="clear" w:pos="284"/>
                <w:tab w:val="num" w:pos="360"/>
              </w:tabs>
              <w:ind w:left="360" w:hanging="360"/>
            </w:pPr>
            <w:r>
              <w:t xml:space="preserve">Know when to seek specialist advice and support and establish the relevant </w:t>
            </w:r>
            <w:proofErr w:type="gramStart"/>
            <w:r>
              <w:t>relationships</w:t>
            </w:r>
            <w:proofErr w:type="gramEnd"/>
          </w:p>
          <w:p w14:paraId="29D27224" w14:textId="77777777" w:rsidR="00D21AA6" w:rsidRPr="00AA57E3" w:rsidRDefault="00D21AA6" w:rsidP="00D21AA6">
            <w:pPr>
              <w:pStyle w:val="TableBullet"/>
              <w:tabs>
                <w:tab w:val="clear" w:pos="284"/>
                <w:tab w:val="num" w:pos="360"/>
              </w:tabs>
              <w:ind w:left="360" w:hanging="360"/>
            </w:pPr>
            <w:r>
              <w:t>Make decisions and prepare business cases, paying due regard to financial considerations</w:t>
            </w:r>
          </w:p>
        </w:tc>
        <w:tc>
          <w:tcPr>
            <w:tcW w:w="1606" w:type="dxa"/>
            <w:tcBorders>
              <w:bottom w:val="single" w:sz="4" w:space="0" w:color="BCBEC0"/>
            </w:tcBorders>
          </w:tcPr>
          <w:p w14:paraId="09718BC6" w14:textId="77777777" w:rsidR="00D21AA6" w:rsidRDefault="00D21AA6" w:rsidP="002B6426">
            <w:pPr>
              <w:pStyle w:val="TableBullet"/>
              <w:numPr>
                <w:ilvl w:val="0"/>
                <w:numId w:val="0"/>
              </w:numPr>
              <w:jc w:val="both"/>
            </w:pPr>
            <w:r>
              <w:t>Adept</w:t>
            </w:r>
          </w:p>
        </w:tc>
      </w:tr>
      <w:tr w:rsidR="00D21AA6" w:rsidRPr="00C978B9" w14:paraId="4560CEE0" w14:textId="77777777" w:rsidTr="002B6426">
        <w:tc>
          <w:tcPr>
            <w:tcW w:w="1406" w:type="dxa"/>
            <w:vMerge/>
            <w:tcBorders>
              <w:bottom w:val="single" w:sz="4" w:space="0" w:color="BCBEC0"/>
            </w:tcBorders>
          </w:tcPr>
          <w:p w14:paraId="371DC4EB" w14:textId="77777777" w:rsidR="00D21AA6" w:rsidRDefault="00D21AA6" w:rsidP="002B6426">
            <w:pPr>
              <w:keepNext/>
              <w:rPr>
                <w:noProof/>
                <w:lang w:eastAsia="en-AU"/>
              </w:rPr>
            </w:pPr>
          </w:p>
        </w:tc>
        <w:tc>
          <w:tcPr>
            <w:tcW w:w="2971" w:type="dxa"/>
            <w:gridSpan w:val="2"/>
            <w:tcBorders>
              <w:bottom w:val="single" w:sz="4" w:space="0" w:color="BCBEC0"/>
            </w:tcBorders>
          </w:tcPr>
          <w:p w14:paraId="0C184151" w14:textId="77777777" w:rsidR="00D21AA6" w:rsidRPr="00A8226F" w:rsidRDefault="00D21AA6" w:rsidP="002B6426">
            <w:pPr>
              <w:pStyle w:val="TableText"/>
              <w:keepNext/>
              <w:rPr>
                <w:b/>
              </w:rPr>
            </w:pPr>
            <w:r>
              <w:rPr>
                <w:b/>
              </w:rPr>
              <w:t>Technology</w:t>
            </w:r>
          </w:p>
          <w:p w14:paraId="198E8104" w14:textId="77777777" w:rsidR="00D21AA6" w:rsidRPr="00A8226F" w:rsidRDefault="00D21AA6" w:rsidP="002B6426">
            <w:pPr>
              <w:pStyle w:val="TableText"/>
              <w:keepNext/>
              <w:rPr>
                <w:b/>
              </w:rPr>
            </w:pPr>
            <w:r>
              <w:lastRenderedPageBreak/>
              <w:t>Understand and use available technologies to maximise efficiencies and effectiveness</w:t>
            </w:r>
          </w:p>
        </w:tc>
        <w:tc>
          <w:tcPr>
            <w:tcW w:w="4770" w:type="dxa"/>
            <w:tcBorders>
              <w:bottom w:val="single" w:sz="4" w:space="0" w:color="BCBEC0"/>
            </w:tcBorders>
          </w:tcPr>
          <w:p w14:paraId="0AF83FF6" w14:textId="77777777" w:rsidR="00D21AA6" w:rsidRDefault="00D21AA6" w:rsidP="00D21AA6">
            <w:pPr>
              <w:pStyle w:val="TableBullet"/>
              <w:tabs>
                <w:tab w:val="clear" w:pos="284"/>
                <w:tab w:val="num" w:pos="360"/>
              </w:tabs>
              <w:ind w:left="360" w:hanging="360"/>
            </w:pPr>
            <w:r>
              <w:lastRenderedPageBreak/>
              <w:t xml:space="preserve">Demonstrate a sound understanding of technology relevant to the work unit, and identify </w:t>
            </w:r>
            <w:r>
              <w:lastRenderedPageBreak/>
              <w:t xml:space="preserve">and select the most appropriate technology for assigned </w:t>
            </w:r>
            <w:proofErr w:type="gramStart"/>
            <w:r>
              <w:t>tasks</w:t>
            </w:r>
            <w:proofErr w:type="gramEnd"/>
          </w:p>
          <w:p w14:paraId="70BA7B1C" w14:textId="77777777" w:rsidR="00D21AA6" w:rsidRDefault="00D21AA6" w:rsidP="00D21AA6">
            <w:pPr>
              <w:pStyle w:val="TableBullet"/>
              <w:tabs>
                <w:tab w:val="clear" w:pos="284"/>
                <w:tab w:val="num" w:pos="360"/>
              </w:tabs>
              <w:ind w:left="360" w:hanging="360"/>
            </w:pPr>
            <w:r>
              <w:t xml:space="preserve">Use available technology to improve individual performance and </w:t>
            </w:r>
            <w:proofErr w:type="gramStart"/>
            <w:r>
              <w:t>effectiveness</w:t>
            </w:r>
            <w:proofErr w:type="gramEnd"/>
          </w:p>
          <w:p w14:paraId="3D11CA99" w14:textId="77777777" w:rsidR="00D21AA6" w:rsidRDefault="00D21AA6" w:rsidP="00D21AA6">
            <w:pPr>
              <w:pStyle w:val="TableBullet"/>
              <w:tabs>
                <w:tab w:val="clear" w:pos="284"/>
                <w:tab w:val="num" w:pos="360"/>
              </w:tabs>
              <w:ind w:left="360" w:hanging="360"/>
            </w:pPr>
            <w:r>
              <w:t xml:space="preserve">Make effective use of records, information and knowledge management functions and </w:t>
            </w:r>
            <w:proofErr w:type="gramStart"/>
            <w:r>
              <w:t>systems</w:t>
            </w:r>
            <w:proofErr w:type="gramEnd"/>
          </w:p>
          <w:p w14:paraId="6E9618EF" w14:textId="77777777" w:rsidR="00D21AA6" w:rsidRDefault="00D21AA6" w:rsidP="00D21AA6">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0F47825C" w14:textId="77777777" w:rsidR="00D21AA6" w:rsidRDefault="00D21AA6" w:rsidP="002B6426">
            <w:pPr>
              <w:pStyle w:val="TableBullet"/>
              <w:numPr>
                <w:ilvl w:val="0"/>
                <w:numId w:val="0"/>
              </w:numPr>
              <w:jc w:val="both"/>
            </w:pPr>
            <w:r>
              <w:lastRenderedPageBreak/>
              <w:t>Intermediate</w:t>
            </w:r>
          </w:p>
        </w:tc>
      </w:tr>
    </w:tbl>
    <w:p w14:paraId="2DED3DD8" w14:textId="77777777" w:rsidR="00B7215D" w:rsidRDefault="00B7215D" w:rsidP="00D21AA6">
      <w:pPr>
        <w:pStyle w:val="Heading1"/>
      </w:pPr>
    </w:p>
    <w:p w14:paraId="016A527A" w14:textId="77777777" w:rsidR="00D21AA6" w:rsidRDefault="00D21AA6" w:rsidP="00D21AA6">
      <w:pPr>
        <w:pStyle w:val="Heading1"/>
      </w:pPr>
      <w:r>
        <w:t>Complementary capabilities</w:t>
      </w:r>
    </w:p>
    <w:p w14:paraId="66EABEFA" w14:textId="77777777" w:rsidR="00D21AA6" w:rsidRPr="003927AE" w:rsidRDefault="00D21AA6" w:rsidP="00D21AA6">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6AD608D" w14:textId="77777777" w:rsidR="00D21AA6" w:rsidRDefault="00D21AA6" w:rsidP="00D21AA6">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545DDD75" w14:textId="77777777" w:rsidR="00D21AA6" w:rsidRDefault="00D21AA6" w:rsidP="00D21AA6">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D21AA6" w:rsidRPr="00803E47" w14:paraId="67FD98EF" w14:textId="77777777" w:rsidTr="002B6426">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005C259" w14:textId="77777777" w:rsidR="00D21AA6" w:rsidRPr="00803E47" w:rsidRDefault="00D21AA6" w:rsidP="002B6426">
            <w:pPr>
              <w:pStyle w:val="TableTextWhite0"/>
              <w:keepNext/>
              <w:jc w:val="both"/>
            </w:pPr>
            <w:r>
              <w:rPr>
                <w:sz w:val="24"/>
                <w:szCs w:val="24"/>
              </w:rPr>
              <w:t>COMPLEMENTARY</w:t>
            </w:r>
            <w:r w:rsidRPr="00051E80">
              <w:rPr>
                <w:sz w:val="24"/>
                <w:szCs w:val="24"/>
              </w:rPr>
              <w:t xml:space="preserve"> CAPABILITIES</w:t>
            </w:r>
          </w:p>
        </w:tc>
      </w:tr>
      <w:tr w:rsidR="00D21AA6" w:rsidRPr="00C978B9" w14:paraId="55863B50" w14:textId="77777777" w:rsidTr="002B642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6E10968" w14:textId="77777777" w:rsidR="00D21AA6" w:rsidRPr="00C978B9" w:rsidRDefault="00D21AA6" w:rsidP="002B642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2328293" w14:textId="77777777" w:rsidR="00D21AA6" w:rsidRPr="00C978B9" w:rsidRDefault="00D21AA6" w:rsidP="002B642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6C7DFD2" w14:textId="77777777" w:rsidR="00D21AA6" w:rsidRDefault="00D21AA6" w:rsidP="002B6426">
            <w:pPr>
              <w:pStyle w:val="TableText"/>
              <w:keepNext/>
              <w:rPr>
                <w:b/>
              </w:rPr>
            </w:pPr>
          </w:p>
        </w:tc>
        <w:tc>
          <w:tcPr>
            <w:tcW w:w="4770" w:type="dxa"/>
            <w:tcBorders>
              <w:bottom w:val="single" w:sz="12" w:space="0" w:color="auto"/>
            </w:tcBorders>
            <w:shd w:val="clear" w:color="auto" w:fill="BCBEC0"/>
          </w:tcPr>
          <w:p w14:paraId="1CE271C1" w14:textId="77777777" w:rsidR="00D21AA6" w:rsidRDefault="00D21AA6" w:rsidP="002B6426">
            <w:pPr>
              <w:pStyle w:val="TableText"/>
              <w:keepNext/>
              <w:rPr>
                <w:b/>
              </w:rPr>
            </w:pPr>
            <w:r>
              <w:rPr>
                <w:b/>
              </w:rPr>
              <w:t>Description</w:t>
            </w:r>
          </w:p>
        </w:tc>
        <w:tc>
          <w:tcPr>
            <w:tcW w:w="1606" w:type="dxa"/>
            <w:tcBorders>
              <w:bottom w:val="single" w:sz="12" w:space="0" w:color="auto"/>
            </w:tcBorders>
            <w:shd w:val="clear" w:color="auto" w:fill="BCBEC0"/>
          </w:tcPr>
          <w:p w14:paraId="3632CA43" w14:textId="77777777" w:rsidR="00D21AA6" w:rsidRDefault="00D21AA6" w:rsidP="002B6426">
            <w:pPr>
              <w:pStyle w:val="TableText"/>
              <w:keepNext/>
              <w:jc w:val="both"/>
              <w:rPr>
                <w:b/>
              </w:rPr>
            </w:pPr>
            <w:r>
              <w:rPr>
                <w:b/>
              </w:rPr>
              <w:t xml:space="preserve">Level </w:t>
            </w:r>
          </w:p>
        </w:tc>
      </w:tr>
      <w:tr w:rsidR="00D21AA6" w:rsidRPr="00C978B9" w14:paraId="058CD029" w14:textId="77777777" w:rsidTr="002B6426">
        <w:tc>
          <w:tcPr>
            <w:tcW w:w="1406" w:type="dxa"/>
            <w:vMerge w:val="restart"/>
            <w:tcBorders>
              <w:bottom w:val="single" w:sz="4" w:space="0" w:color="BCBEC0"/>
            </w:tcBorders>
          </w:tcPr>
          <w:p w14:paraId="199E5723" w14:textId="77777777" w:rsidR="00D21AA6" w:rsidRPr="00C978B9" w:rsidRDefault="00D21AA6" w:rsidP="002B6426">
            <w:pPr>
              <w:keepNext/>
            </w:pPr>
            <w:r>
              <w:rPr>
                <w:noProof/>
                <w:lang w:eastAsia="en-AU"/>
              </w:rPr>
              <w:drawing>
                <wp:inline distT="0" distB="0" distL="0" distR="0" wp14:anchorId="3F20D694" wp14:editId="69D4BDA9">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A81A2D8" w14:textId="77777777" w:rsidR="00D21AA6" w:rsidRPr="00AA57E3" w:rsidRDefault="00D21AA6" w:rsidP="002B6426">
            <w:r>
              <w:t>Display Resilience and Courage</w:t>
            </w:r>
          </w:p>
        </w:tc>
        <w:tc>
          <w:tcPr>
            <w:tcW w:w="4770" w:type="dxa"/>
            <w:tcBorders>
              <w:bottom w:val="single" w:sz="4" w:space="0" w:color="BCBEC0"/>
            </w:tcBorders>
          </w:tcPr>
          <w:p w14:paraId="0A511D1A" w14:textId="77777777" w:rsidR="00D21AA6" w:rsidRPr="00AA57E3" w:rsidRDefault="00D21AA6" w:rsidP="002B6426">
            <w:r>
              <w:t>Be open and honest, prepared to express your views, and willing to accept and commit to change</w:t>
            </w:r>
          </w:p>
        </w:tc>
        <w:tc>
          <w:tcPr>
            <w:tcW w:w="1606" w:type="dxa"/>
            <w:tcBorders>
              <w:bottom w:val="single" w:sz="4" w:space="0" w:color="BCBEC0"/>
            </w:tcBorders>
          </w:tcPr>
          <w:p w14:paraId="64D61FBF" w14:textId="77777777" w:rsidR="00D21AA6" w:rsidRDefault="00D21AA6" w:rsidP="002B6426">
            <w:pPr>
              <w:pStyle w:val="TableBullet"/>
              <w:numPr>
                <w:ilvl w:val="0"/>
                <w:numId w:val="0"/>
              </w:numPr>
              <w:jc w:val="both"/>
            </w:pPr>
            <w:r>
              <w:t>Intermediate</w:t>
            </w:r>
          </w:p>
        </w:tc>
      </w:tr>
      <w:tr w:rsidR="00D21AA6" w:rsidRPr="00C978B9" w14:paraId="3E8E53D0" w14:textId="77777777" w:rsidTr="002B6426">
        <w:tc>
          <w:tcPr>
            <w:tcW w:w="1406" w:type="dxa"/>
            <w:vMerge/>
            <w:tcBorders>
              <w:bottom w:val="single" w:sz="4" w:space="0" w:color="BCBEC0"/>
            </w:tcBorders>
          </w:tcPr>
          <w:p w14:paraId="061A6C58" w14:textId="77777777" w:rsidR="00D21AA6" w:rsidRDefault="00D21AA6" w:rsidP="002B6426">
            <w:pPr>
              <w:keepNext/>
              <w:rPr>
                <w:noProof/>
                <w:lang w:eastAsia="en-AU"/>
              </w:rPr>
            </w:pPr>
          </w:p>
        </w:tc>
        <w:tc>
          <w:tcPr>
            <w:tcW w:w="2971" w:type="dxa"/>
            <w:gridSpan w:val="2"/>
            <w:tcBorders>
              <w:bottom w:val="single" w:sz="4" w:space="0" w:color="BCBEC0"/>
            </w:tcBorders>
          </w:tcPr>
          <w:p w14:paraId="3EBB2F54" w14:textId="77777777" w:rsidR="00D21AA6" w:rsidRPr="00A8226F" w:rsidRDefault="00D21AA6" w:rsidP="002B6426">
            <w:r>
              <w:t>Act with Integrity</w:t>
            </w:r>
          </w:p>
        </w:tc>
        <w:tc>
          <w:tcPr>
            <w:tcW w:w="4770" w:type="dxa"/>
            <w:tcBorders>
              <w:bottom w:val="single" w:sz="4" w:space="0" w:color="BCBEC0"/>
            </w:tcBorders>
          </w:tcPr>
          <w:p w14:paraId="2E138EAC" w14:textId="77777777" w:rsidR="00D21AA6" w:rsidRDefault="00D21AA6" w:rsidP="002B6426">
            <w:r>
              <w:t>Be ethical and professional, and uphold and promote the public sector values</w:t>
            </w:r>
          </w:p>
        </w:tc>
        <w:tc>
          <w:tcPr>
            <w:tcW w:w="1606" w:type="dxa"/>
            <w:tcBorders>
              <w:bottom w:val="single" w:sz="4" w:space="0" w:color="BCBEC0"/>
            </w:tcBorders>
          </w:tcPr>
          <w:p w14:paraId="3F551834" w14:textId="77777777" w:rsidR="00D21AA6" w:rsidRDefault="00D21AA6" w:rsidP="002B6426">
            <w:pPr>
              <w:pStyle w:val="TableBullet"/>
              <w:numPr>
                <w:ilvl w:val="0"/>
                <w:numId w:val="0"/>
              </w:numPr>
              <w:jc w:val="both"/>
            </w:pPr>
            <w:r>
              <w:t>Intermediate</w:t>
            </w:r>
          </w:p>
        </w:tc>
      </w:tr>
      <w:tr w:rsidR="00D21AA6" w:rsidRPr="00C978B9" w14:paraId="0A5EDC32" w14:textId="77777777" w:rsidTr="002B6426">
        <w:tc>
          <w:tcPr>
            <w:tcW w:w="1406" w:type="dxa"/>
            <w:vMerge/>
            <w:tcBorders>
              <w:bottom w:val="single" w:sz="4" w:space="0" w:color="BCBEC0"/>
            </w:tcBorders>
          </w:tcPr>
          <w:p w14:paraId="753232FE" w14:textId="77777777" w:rsidR="00D21AA6" w:rsidRDefault="00D21AA6" w:rsidP="002B6426">
            <w:pPr>
              <w:keepNext/>
              <w:rPr>
                <w:noProof/>
                <w:lang w:eastAsia="en-AU"/>
              </w:rPr>
            </w:pPr>
          </w:p>
        </w:tc>
        <w:tc>
          <w:tcPr>
            <w:tcW w:w="2971" w:type="dxa"/>
            <w:gridSpan w:val="2"/>
            <w:tcBorders>
              <w:bottom w:val="single" w:sz="4" w:space="0" w:color="BCBEC0"/>
            </w:tcBorders>
          </w:tcPr>
          <w:p w14:paraId="21DB31B6" w14:textId="77777777" w:rsidR="00D21AA6" w:rsidRPr="00A8226F" w:rsidRDefault="00D21AA6" w:rsidP="002B6426">
            <w:r>
              <w:t>Value Diversity and Inclusion</w:t>
            </w:r>
          </w:p>
        </w:tc>
        <w:tc>
          <w:tcPr>
            <w:tcW w:w="4770" w:type="dxa"/>
            <w:tcBorders>
              <w:bottom w:val="single" w:sz="4" w:space="0" w:color="BCBEC0"/>
            </w:tcBorders>
          </w:tcPr>
          <w:p w14:paraId="710EDB45" w14:textId="77777777" w:rsidR="00D21AA6" w:rsidRDefault="00D21AA6" w:rsidP="002B6426">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61FEE332" w14:textId="77777777" w:rsidR="00D21AA6" w:rsidRDefault="00D21AA6" w:rsidP="002B6426">
            <w:pPr>
              <w:pStyle w:val="TableBullet"/>
              <w:numPr>
                <w:ilvl w:val="0"/>
                <w:numId w:val="0"/>
              </w:numPr>
              <w:jc w:val="both"/>
            </w:pPr>
            <w:r>
              <w:t>Foundational</w:t>
            </w:r>
          </w:p>
        </w:tc>
      </w:tr>
      <w:tr w:rsidR="00D21AA6" w:rsidRPr="00C978B9" w14:paraId="3F68BE5B" w14:textId="77777777" w:rsidTr="002B6426">
        <w:tc>
          <w:tcPr>
            <w:tcW w:w="1406" w:type="dxa"/>
            <w:vMerge w:val="restart"/>
            <w:tcBorders>
              <w:bottom w:val="single" w:sz="4" w:space="0" w:color="BCBEC0"/>
            </w:tcBorders>
          </w:tcPr>
          <w:p w14:paraId="74321445" w14:textId="77777777" w:rsidR="00D21AA6" w:rsidRPr="00C978B9" w:rsidRDefault="00D21AA6" w:rsidP="002B6426">
            <w:pPr>
              <w:keepNext/>
            </w:pPr>
            <w:r>
              <w:rPr>
                <w:noProof/>
                <w:lang w:eastAsia="en-AU"/>
              </w:rPr>
              <w:drawing>
                <wp:inline distT="0" distB="0" distL="0" distR="0" wp14:anchorId="217CEAB1" wp14:editId="50444A29">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0409E6A" w14:textId="77777777" w:rsidR="00D21AA6" w:rsidRPr="00AA57E3" w:rsidRDefault="00D21AA6" w:rsidP="002B6426">
            <w:r>
              <w:t>Commit to Customer Service</w:t>
            </w:r>
          </w:p>
        </w:tc>
        <w:tc>
          <w:tcPr>
            <w:tcW w:w="4770" w:type="dxa"/>
            <w:tcBorders>
              <w:bottom w:val="single" w:sz="4" w:space="0" w:color="BCBEC0"/>
            </w:tcBorders>
          </w:tcPr>
          <w:p w14:paraId="0A0A3263" w14:textId="77777777" w:rsidR="00D21AA6" w:rsidRPr="00AA57E3" w:rsidRDefault="00D21AA6" w:rsidP="002B6426">
            <w:r>
              <w:t>Provide customer-focused services in line with public sector and organisational objectives</w:t>
            </w:r>
          </w:p>
        </w:tc>
        <w:tc>
          <w:tcPr>
            <w:tcW w:w="1606" w:type="dxa"/>
            <w:tcBorders>
              <w:bottom w:val="single" w:sz="4" w:space="0" w:color="BCBEC0"/>
            </w:tcBorders>
          </w:tcPr>
          <w:p w14:paraId="443BA654" w14:textId="77777777" w:rsidR="00D21AA6" w:rsidRDefault="00D21AA6" w:rsidP="002B6426">
            <w:pPr>
              <w:pStyle w:val="TableBullet"/>
              <w:numPr>
                <w:ilvl w:val="0"/>
                <w:numId w:val="0"/>
              </w:numPr>
              <w:jc w:val="both"/>
            </w:pPr>
            <w:r>
              <w:t>Intermediate</w:t>
            </w:r>
          </w:p>
        </w:tc>
      </w:tr>
      <w:tr w:rsidR="00D21AA6" w:rsidRPr="00C978B9" w14:paraId="79F9033F" w14:textId="77777777" w:rsidTr="002B6426">
        <w:tc>
          <w:tcPr>
            <w:tcW w:w="1406" w:type="dxa"/>
            <w:vMerge/>
            <w:tcBorders>
              <w:bottom w:val="single" w:sz="4" w:space="0" w:color="BCBEC0"/>
            </w:tcBorders>
          </w:tcPr>
          <w:p w14:paraId="305B7ABB" w14:textId="77777777" w:rsidR="00D21AA6" w:rsidRDefault="00D21AA6" w:rsidP="002B6426">
            <w:pPr>
              <w:keepNext/>
              <w:rPr>
                <w:noProof/>
                <w:lang w:eastAsia="en-AU"/>
              </w:rPr>
            </w:pPr>
          </w:p>
        </w:tc>
        <w:tc>
          <w:tcPr>
            <w:tcW w:w="2971" w:type="dxa"/>
            <w:gridSpan w:val="2"/>
            <w:tcBorders>
              <w:bottom w:val="single" w:sz="4" w:space="0" w:color="BCBEC0"/>
            </w:tcBorders>
          </w:tcPr>
          <w:p w14:paraId="40803153" w14:textId="77777777" w:rsidR="00D21AA6" w:rsidRPr="00A8226F" w:rsidRDefault="00D21AA6" w:rsidP="002B6426">
            <w:r>
              <w:t xml:space="preserve">Influence and </w:t>
            </w:r>
            <w:proofErr w:type="gramStart"/>
            <w:r>
              <w:t>Negotiate</w:t>
            </w:r>
            <w:proofErr w:type="gramEnd"/>
          </w:p>
        </w:tc>
        <w:tc>
          <w:tcPr>
            <w:tcW w:w="4770" w:type="dxa"/>
            <w:tcBorders>
              <w:bottom w:val="single" w:sz="4" w:space="0" w:color="BCBEC0"/>
            </w:tcBorders>
          </w:tcPr>
          <w:p w14:paraId="10F10B61" w14:textId="77777777" w:rsidR="00D21AA6" w:rsidRDefault="00D21AA6" w:rsidP="002B6426">
            <w:r>
              <w:t>Gain consensus and commitment from others, and resolve issues and conflicts</w:t>
            </w:r>
          </w:p>
        </w:tc>
        <w:tc>
          <w:tcPr>
            <w:tcW w:w="1606" w:type="dxa"/>
            <w:tcBorders>
              <w:bottom w:val="single" w:sz="4" w:space="0" w:color="BCBEC0"/>
            </w:tcBorders>
          </w:tcPr>
          <w:p w14:paraId="0A4E53FF" w14:textId="77777777" w:rsidR="00D21AA6" w:rsidRDefault="00D21AA6" w:rsidP="002B6426">
            <w:pPr>
              <w:pStyle w:val="TableBullet"/>
              <w:numPr>
                <w:ilvl w:val="0"/>
                <w:numId w:val="0"/>
              </w:numPr>
              <w:jc w:val="both"/>
            </w:pPr>
            <w:r>
              <w:t>Intermediate</w:t>
            </w:r>
          </w:p>
        </w:tc>
      </w:tr>
      <w:tr w:rsidR="00D21AA6" w:rsidRPr="00C978B9" w14:paraId="619E0F5D" w14:textId="77777777" w:rsidTr="002B6426">
        <w:tc>
          <w:tcPr>
            <w:tcW w:w="1406" w:type="dxa"/>
            <w:vMerge w:val="restart"/>
            <w:tcBorders>
              <w:bottom w:val="single" w:sz="4" w:space="0" w:color="BCBEC0"/>
            </w:tcBorders>
          </w:tcPr>
          <w:p w14:paraId="60FE8F21" w14:textId="77777777" w:rsidR="00D21AA6" w:rsidRPr="00C978B9" w:rsidRDefault="00D21AA6" w:rsidP="002B6426">
            <w:pPr>
              <w:keepNext/>
            </w:pPr>
            <w:r>
              <w:rPr>
                <w:noProof/>
                <w:lang w:eastAsia="en-AU"/>
              </w:rPr>
              <w:drawing>
                <wp:inline distT="0" distB="0" distL="0" distR="0" wp14:anchorId="66DDFA22" wp14:editId="6CD1D220">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0C5DFF3" w14:textId="77777777" w:rsidR="00D21AA6" w:rsidRPr="00AA57E3" w:rsidRDefault="00D21AA6" w:rsidP="002B6426">
            <w:r>
              <w:t>Deliver Results</w:t>
            </w:r>
          </w:p>
        </w:tc>
        <w:tc>
          <w:tcPr>
            <w:tcW w:w="4770" w:type="dxa"/>
            <w:tcBorders>
              <w:bottom w:val="single" w:sz="4" w:space="0" w:color="BCBEC0"/>
            </w:tcBorders>
          </w:tcPr>
          <w:p w14:paraId="622D2386" w14:textId="77777777" w:rsidR="00D21AA6" w:rsidRPr="00AA57E3" w:rsidRDefault="00D21AA6" w:rsidP="002B6426">
            <w:r>
              <w:t>Achieve results through the efficient use of resources and a commitment to quality outcomes</w:t>
            </w:r>
          </w:p>
        </w:tc>
        <w:tc>
          <w:tcPr>
            <w:tcW w:w="1606" w:type="dxa"/>
            <w:tcBorders>
              <w:bottom w:val="single" w:sz="4" w:space="0" w:color="BCBEC0"/>
            </w:tcBorders>
          </w:tcPr>
          <w:p w14:paraId="78B8B8FF" w14:textId="77777777" w:rsidR="00D21AA6" w:rsidRDefault="00D21AA6" w:rsidP="002B6426">
            <w:pPr>
              <w:pStyle w:val="TableBullet"/>
              <w:numPr>
                <w:ilvl w:val="0"/>
                <w:numId w:val="0"/>
              </w:numPr>
              <w:jc w:val="both"/>
            </w:pPr>
            <w:r>
              <w:t>Intermediate</w:t>
            </w:r>
          </w:p>
        </w:tc>
      </w:tr>
      <w:tr w:rsidR="00D21AA6" w:rsidRPr="00C978B9" w14:paraId="04C7F915" w14:textId="77777777" w:rsidTr="002B6426">
        <w:tc>
          <w:tcPr>
            <w:tcW w:w="1406" w:type="dxa"/>
            <w:vMerge/>
            <w:tcBorders>
              <w:bottom w:val="single" w:sz="4" w:space="0" w:color="BCBEC0"/>
            </w:tcBorders>
          </w:tcPr>
          <w:p w14:paraId="07C03F07" w14:textId="77777777" w:rsidR="00D21AA6" w:rsidRDefault="00D21AA6" w:rsidP="002B6426">
            <w:pPr>
              <w:keepNext/>
              <w:rPr>
                <w:noProof/>
                <w:lang w:eastAsia="en-AU"/>
              </w:rPr>
            </w:pPr>
          </w:p>
        </w:tc>
        <w:tc>
          <w:tcPr>
            <w:tcW w:w="2971" w:type="dxa"/>
            <w:gridSpan w:val="2"/>
            <w:tcBorders>
              <w:bottom w:val="single" w:sz="4" w:space="0" w:color="BCBEC0"/>
            </w:tcBorders>
          </w:tcPr>
          <w:p w14:paraId="753E93A8" w14:textId="77777777" w:rsidR="00D21AA6" w:rsidRPr="00A8226F" w:rsidRDefault="00D21AA6" w:rsidP="002B6426">
            <w:r>
              <w:t xml:space="preserve">Plan and </w:t>
            </w:r>
            <w:proofErr w:type="gramStart"/>
            <w:r>
              <w:t>Prioritise</w:t>
            </w:r>
            <w:proofErr w:type="gramEnd"/>
          </w:p>
        </w:tc>
        <w:tc>
          <w:tcPr>
            <w:tcW w:w="4770" w:type="dxa"/>
            <w:tcBorders>
              <w:bottom w:val="single" w:sz="4" w:space="0" w:color="BCBEC0"/>
            </w:tcBorders>
          </w:tcPr>
          <w:p w14:paraId="7CB382FF" w14:textId="77777777" w:rsidR="00D21AA6" w:rsidRDefault="00D21AA6" w:rsidP="002B6426">
            <w:r>
              <w:t>Plan to achieve priority outcomes and respond flexibly to changing circumstances</w:t>
            </w:r>
          </w:p>
        </w:tc>
        <w:tc>
          <w:tcPr>
            <w:tcW w:w="1606" w:type="dxa"/>
            <w:tcBorders>
              <w:bottom w:val="single" w:sz="4" w:space="0" w:color="BCBEC0"/>
            </w:tcBorders>
          </w:tcPr>
          <w:p w14:paraId="0DB5714B" w14:textId="77777777" w:rsidR="00D21AA6" w:rsidRDefault="00D21AA6" w:rsidP="002B6426">
            <w:pPr>
              <w:pStyle w:val="TableBullet"/>
              <w:numPr>
                <w:ilvl w:val="0"/>
                <w:numId w:val="0"/>
              </w:numPr>
              <w:jc w:val="both"/>
            </w:pPr>
            <w:r>
              <w:t>Intermediate</w:t>
            </w:r>
          </w:p>
        </w:tc>
      </w:tr>
      <w:tr w:rsidR="00D21AA6" w:rsidRPr="00C978B9" w14:paraId="0CD540D2" w14:textId="77777777" w:rsidTr="002B6426">
        <w:tc>
          <w:tcPr>
            <w:tcW w:w="1406" w:type="dxa"/>
            <w:vMerge/>
            <w:tcBorders>
              <w:bottom w:val="single" w:sz="4" w:space="0" w:color="BCBEC0"/>
            </w:tcBorders>
          </w:tcPr>
          <w:p w14:paraId="06AB3BE7" w14:textId="77777777" w:rsidR="00D21AA6" w:rsidRDefault="00D21AA6" w:rsidP="002B6426">
            <w:pPr>
              <w:keepNext/>
              <w:rPr>
                <w:noProof/>
                <w:lang w:eastAsia="en-AU"/>
              </w:rPr>
            </w:pPr>
          </w:p>
        </w:tc>
        <w:tc>
          <w:tcPr>
            <w:tcW w:w="2971" w:type="dxa"/>
            <w:gridSpan w:val="2"/>
            <w:tcBorders>
              <w:bottom w:val="single" w:sz="4" w:space="0" w:color="BCBEC0"/>
            </w:tcBorders>
          </w:tcPr>
          <w:p w14:paraId="7225B2E7" w14:textId="77777777" w:rsidR="00D21AA6" w:rsidRPr="00A8226F" w:rsidRDefault="00D21AA6" w:rsidP="002B6426">
            <w:r>
              <w:t>Demonstrate Accountability</w:t>
            </w:r>
          </w:p>
        </w:tc>
        <w:tc>
          <w:tcPr>
            <w:tcW w:w="4770" w:type="dxa"/>
            <w:tcBorders>
              <w:bottom w:val="single" w:sz="4" w:space="0" w:color="BCBEC0"/>
            </w:tcBorders>
          </w:tcPr>
          <w:p w14:paraId="2B4D4BA5" w14:textId="77777777" w:rsidR="00D21AA6" w:rsidRDefault="00D21AA6" w:rsidP="002B6426">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4F5BB901" w14:textId="77777777" w:rsidR="00D21AA6" w:rsidRDefault="00D21AA6" w:rsidP="002B6426">
            <w:pPr>
              <w:pStyle w:val="TableBullet"/>
              <w:numPr>
                <w:ilvl w:val="0"/>
                <w:numId w:val="0"/>
              </w:numPr>
              <w:jc w:val="both"/>
            </w:pPr>
            <w:r>
              <w:t>Intermediate</w:t>
            </w:r>
          </w:p>
        </w:tc>
      </w:tr>
      <w:tr w:rsidR="00D21AA6" w:rsidRPr="00C978B9" w14:paraId="0512E8CC" w14:textId="77777777" w:rsidTr="002B6426">
        <w:tc>
          <w:tcPr>
            <w:tcW w:w="1406" w:type="dxa"/>
            <w:vMerge w:val="restart"/>
            <w:tcBorders>
              <w:bottom w:val="single" w:sz="4" w:space="0" w:color="BCBEC0"/>
            </w:tcBorders>
          </w:tcPr>
          <w:p w14:paraId="6C246984" w14:textId="77777777" w:rsidR="00D21AA6" w:rsidRPr="00C978B9" w:rsidRDefault="00D21AA6" w:rsidP="002B6426">
            <w:pPr>
              <w:keepNext/>
            </w:pPr>
            <w:r>
              <w:rPr>
                <w:noProof/>
                <w:lang w:eastAsia="en-AU"/>
              </w:rPr>
              <w:drawing>
                <wp:inline distT="0" distB="0" distL="0" distR="0" wp14:anchorId="4877056B" wp14:editId="1917B403">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BF0D3C1" w14:textId="77777777" w:rsidR="00D21AA6" w:rsidRPr="00AA57E3" w:rsidRDefault="00D21AA6" w:rsidP="002B6426">
            <w:r>
              <w:t>Procurement and Contract Management</w:t>
            </w:r>
          </w:p>
        </w:tc>
        <w:tc>
          <w:tcPr>
            <w:tcW w:w="4770" w:type="dxa"/>
            <w:tcBorders>
              <w:bottom w:val="single" w:sz="4" w:space="0" w:color="BCBEC0"/>
            </w:tcBorders>
          </w:tcPr>
          <w:p w14:paraId="70F8750B" w14:textId="77777777" w:rsidR="00D21AA6" w:rsidRPr="00AA57E3" w:rsidRDefault="00D21AA6" w:rsidP="002B6426">
            <w:r>
              <w:t>Understand and apply procurement processes to ensure effective purchasing and contract performance</w:t>
            </w:r>
          </w:p>
        </w:tc>
        <w:tc>
          <w:tcPr>
            <w:tcW w:w="1606" w:type="dxa"/>
            <w:tcBorders>
              <w:bottom w:val="single" w:sz="4" w:space="0" w:color="BCBEC0"/>
            </w:tcBorders>
          </w:tcPr>
          <w:p w14:paraId="06AF1059" w14:textId="77777777" w:rsidR="00D21AA6" w:rsidRDefault="00D21AA6" w:rsidP="002B6426">
            <w:pPr>
              <w:pStyle w:val="TableBullet"/>
              <w:numPr>
                <w:ilvl w:val="0"/>
                <w:numId w:val="0"/>
              </w:numPr>
              <w:jc w:val="both"/>
            </w:pPr>
            <w:r>
              <w:t>Foundational</w:t>
            </w:r>
          </w:p>
        </w:tc>
      </w:tr>
      <w:tr w:rsidR="00D21AA6" w:rsidRPr="00C978B9" w14:paraId="1159E302" w14:textId="77777777" w:rsidTr="002B6426">
        <w:tc>
          <w:tcPr>
            <w:tcW w:w="1406" w:type="dxa"/>
            <w:vMerge/>
            <w:tcBorders>
              <w:bottom w:val="single" w:sz="4" w:space="0" w:color="BCBEC0"/>
            </w:tcBorders>
          </w:tcPr>
          <w:p w14:paraId="41799202" w14:textId="77777777" w:rsidR="00D21AA6" w:rsidRDefault="00D21AA6" w:rsidP="002B6426">
            <w:pPr>
              <w:keepNext/>
              <w:rPr>
                <w:noProof/>
                <w:lang w:eastAsia="en-AU"/>
              </w:rPr>
            </w:pPr>
          </w:p>
        </w:tc>
        <w:tc>
          <w:tcPr>
            <w:tcW w:w="2971" w:type="dxa"/>
            <w:gridSpan w:val="2"/>
            <w:tcBorders>
              <w:bottom w:val="single" w:sz="4" w:space="0" w:color="BCBEC0"/>
            </w:tcBorders>
          </w:tcPr>
          <w:p w14:paraId="6FE31D88" w14:textId="77777777" w:rsidR="00D21AA6" w:rsidRPr="00A8226F" w:rsidRDefault="00D21AA6" w:rsidP="002B6426">
            <w:r>
              <w:t>Project Management</w:t>
            </w:r>
          </w:p>
        </w:tc>
        <w:tc>
          <w:tcPr>
            <w:tcW w:w="4770" w:type="dxa"/>
            <w:tcBorders>
              <w:bottom w:val="single" w:sz="4" w:space="0" w:color="BCBEC0"/>
            </w:tcBorders>
          </w:tcPr>
          <w:p w14:paraId="76F0DD32" w14:textId="77777777" w:rsidR="00D21AA6" w:rsidRDefault="00D21AA6" w:rsidP="002B6426">
            <w:r>
              <w:t xml:space="preserve">Understand and apply effective planning, </w:t>
            </w:r>
            <w:proofErr w:type="gramStart"/>
            <w:r>
              <w:t>coordination</w:t>
            </w:r>
            <w:proofErr w:type="gramEnd"/>
            <w:r>
              <w:t xml:space="preserve"> and control methods</w:t>
            </w:r>
          </w:p>
        </w:tc>
        <w:tc>
          <w:tcPr>
            <w:tcW w:w="1606" w:type="dxa"/>
            <w:tcBorders>
              <w:bottom w:val="single" w:sz="4" w:space="0" w:color="BCBEC0"/>
            </w:tcBorders>
          </w:tcPr>
          <w:p w14:paraId="1162AB7F" w14:textId="77777777" w:rsidR="00D21AA6" w:rsidRDefault="00D21AA6" w:rsidP="002B6426">
            <w:pPr>
              <w:pStyle w:val="TableBullet"/>
              <w:numPr>
                <w:ilvl w:val="0"/>
                <w:numId w:val="0"/>
              </w:numPr>
              <w:jc w:val="both"/>
            </w:pPr>
            <w:r>
              <w:t>Adept</w:t>
            </w:r>
          </w:p>
        </w:tc>
      </w:tr>
    </w:tbl>
    <w:p w14:paraId="40667C39" w14:textId="77777777" w:rsidR="00D21AA6" w:rsidRPr="003927AE" w:rsidRDefault="00D21AA6" w:rsidP="00D21AA6"/>
    <w:p w14:paraId="36B86EE6" w14:textId="77777777" w:rsidR="002D4549" w:rsidRPr="00EA7DFC" w:rsidRDefault="002D4549" w:rsidP="00C47CDE">
      <w:pPr>
        <w:autoSpaceDE w:val="0"/>
        <w:autoSpaceDN w:val="0"/>
        <w:adjustRightInd w:val="0"/>
        <w:spacing w:before="100" w:after="100"/>
        <w:rPr>
          <w:rFonts w:eastAsiaTheme="minorHAnsi" w:cs="Arial"/>
          <w:lang w:val="en-AU"/>
        </w:rPr>
      </w:pPr>
    </w:p>
    <w:sectPr w:rsidR="002D4549" w:rsidRPr="00EA7DFC"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D476" w14:textId="77777777" w:rsidR="006729BB" w:rsidRDefault="006729BB" w:rsidP="00BB532F">
      <w:pPr>
        <w:spacing w:after="0" w:line="240" w:lineRule="auto"/>
      </w:pPr>
      <w:r>
        <w:separator/>
      </w:r>
    </w:p>
  </w:endnote>
  <w:endnote w:type="continuationSeparator" w:id="0">
    <w:p w14:paraId="7C5A530E" w14:textId="77777777" w:rsidR="006729BB" w:rsidRDefault="006729B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20C1AA8" w14:textId="77777777" w:rsidTr="00C03AFD">
      <w:tc>
        <w:tcPr>
          <w:tcW w:w="2250" w:type="pct"/>
          <w:vAlign w:val="center"/>
        </w:tcPr>
        <w:p w14:paraId="066CC057" w14:textId="77777777" w:rsidR="00C03AFD" w:rsidRDefault="00C03AFD" w:rsidP="002D4549">
          <w:pPr>
            <w:pStyle w:val="Footer"/>
          </w:pPr>
          <w:r w:rsidRPr="00C03AFD">
            <w:rPr>
              <w:color w:val="928B81"/>
              <w:sz w:val="18"/>
            </w:rPr>
            <w:t>Role Description</w:t>
          </w:r>
          <w:r w:rsidR="00882FBB">
            <w:rPr>
              <w:color w:val="595959" w:themeColor="text1" w:themeTint="A6"/>
              <w:sz w:val="18"/>
            </w:rPr>
            <w:t xml:space="preserve"> </w:t>
          </w:r>
          <w:r w:rsidR="00452EC9">
            <w:rPr>
              <w:color w:val="000000" w:themeColor="text1"/>
              <w:sz w:val="18"/>
            </w:rPr>
            <w:t xml:space="preserve">Senior </w:t>
          </w:r>
          <w:r w:rsidR="002D4549">
            <w:rPr>
              <w:color w:val="000000" w:themeColor="text1"/>
              <w:sz w:val="18"/>
            </w:rPr>
            <w:t>Performance Analyst</w:t>
          </w:r>
        </w:p>
      </w:tc>
      <w:tc>
        <w:tcPr>
          <w:tcW w:w="250" w:type="pct"/>
          <w:vAlign w:val="center"/>
        </w:tcPr>
        <w:p w14:paraId="151B76B7"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7215D">
            <w:rPr>
              <w:noProof/>
              <w:color w:val="928B81"/>
              <w:sz w:val="18"/>
              <w:lang w:eastAsia="en-AU"/>
            </w:rPr>
            <w:t>5</w:t>
          </w:r>
          <w:r w:rsidRPr="00C03AFD">
            <w:rPr>
              <w:noProof/>
              <w:color w:val="928B81"/>
              <w:sz w:val="18"/>
              <w:lang w:eastAsia="en-AU"/>
            </w:rPr>
            <w:fldChar w:fldCharType="end"/>
          </w:r>
        </w:p>
      </w:tc>
      <w:tc>
        <w:tcPr>
          <w:tcW w:w="2350" w:type="pct"/>
        </w:tcPr>
        <w:p w14:paraId="59A60B4B" w14:textId="77777777" w:rsidR="00C03AFD" w:rsidRDefault="00C03AFD" w:rsidP="00C03AFD">
          <w:pPr>
            <w:pStyle w:val="Footer"/>
            <w:jc w:val="right"/>
          </w:pPr>
          <w:r>
            <w:rPr>
              <w:noProof/>
              <w:lang w:val="en-AU" w:eastAsia="en-AU"/>
            </w:rPr>
            <w:drawing>
              <wp:inline distT="0" distB="0" distL="0" distR="0" wp14:anchorId="21A49665" wp14:editId="422A63FA">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56773C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FA29CB" w14:textId="77777777" w:rsidTr="0047547E">
      <w:trPr>
        <w:trHeight w:val="811"/>
      </w:trPr>
      <w:tc>
        <w:tcPr>
          <w:tcW w:w="10005" w:type="dxa"/>
          <w:vAlign w:val="bottom"/>
        </w:tcPr>
        <w:p w14:paraId="6340369E"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B7215D">
            <w:rPr>
              <w:noProof/>
              <w:lang w:eastAsia="en-AU"/>
            </w:rPr>
            <w:t>1</w:t>
          </w:r>
          <w:r>
            <w:rPr>
              <w:noProof/>
              <w:lang w:eastAsia="en-AU"/>
            </w:rPr>
            <w:fldChar w:fldCharType="end"/>
          </w:r>
        </w:p>
      </w:tc>
      <w:tc>
        <w:tcPr>
          <w:tcW w:w="875" w:type="dxa"/>
        </w:tcPr>
        <w:p w14:paraId="317C489B" w14:textId="77777777" w:rsidR="00BB532F" w:rsidRDefault="003A1185" w:rsidP="00BD7BA7">
          <w:pPr>
            <w:pStyle w:val="Footer"/>
            <w:jc w:val="right"/>
          </w:pPr>
          <w:r>
            <w:rPr>
              <w:noProof/>
              <w:lang w:val="en-AU" w:eastAsia="en-AU"/>
            </w:rPr>
            <w:drawing>
              <wp:inline distT="0" distB="0" distL="0" distR="0" wp14:anchorId="4E199339" wp14:editId="4631D5A9">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23220F2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9D84" w14:textId="77777777" w:rsidR="006729BB" w:rsidRDefault="006729BB" w:rsidP="00BB532F">
      <w:pPr>
        <w:spacing w:after="0" w:line="240" w:lineRule="auto"/>
      </w:pPr>
      <w:r>
        <w:separator/>
      </w:r>
    </w:p>
  </w:footnote>
  <w:footnote w:type="continuationSeparator" w:id="0">
    <w:p w14:paraId="2A39F716" w14:textId="77777777" w:rsidR="006729BB" w:rsidRDefault="006729B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gridCol w:w="3797"/>
    </w:tblGrid>
    <w:tr w:rsidR="007E2FB7" w14:paraId="5652D9E4" w14:textId="77777777" w:rsidTr="009D747B">
      <w:trPr>
        <w:trHeight w:val="1337"/>
      </w:trPr>
      <w:tc>
        <w:tcPr>
          <w:tcW w:w="7038" w:type="dxa"/>
        </w:tcPr>
        <w:p w14:paraId="66FBF666" w14:textId="77777777" w:rsidR="007E2FB7" w:rsidRPr="00550BF1" w:rsidRDefault="007E2FB7" w:rsidP="007E2FB7">
          <w:pPr>
            <w:pStyle w:val="TitleSub"/>
            <w:spacing w:after="0"/>
            <w:rPr>
              <w:rFonts w:ascii="Arial" w:hAnsi="Arial" w:cs="Arial"/>
            </w:rPr>
          </w:pPr>
          <w:r w:rsidRPr="00550BF1">
            <w:rPr>
              <w:rFonts w:ascii="Arial" w:hAnsi="Arial" w:cs="Arial"/>
            </w:rPr>
            <w:t xml:space="preserve">Role Description </w:t>
          </w:r>
        </w:p>
        <w:p w14:paraId="6B28822A" w14:textId="77777777" w:rsidR="007E2FB7" w:rsidRPr="00550BF1" w:rsidRDefault="008A11A3" w:rsidP="002D4549">
          <w:pPr>
            <w:pStyle w:val="TitleSub"/>
            <w:rPr>
              <w:rFonts w:ascii="Arial" w:hAnsi="Arial" w:cs="Arial"/>
              <w:b/>
            </w:rPr>
          </w:pPr>
          <w:r>
            <w:rPr>
              <w:rFonts w:ascii="Arial" w:hAnsi="Arial" w:cs="Arial"/>
              <w:b/>
            </w:rPr>
            <w:t xml:space="preserve">Senior </w:t>
          </w:r>
          <w:r w:rsidR="002D4549">
            <w:rPr>
              <w:rFonts w:ascii="Arial" w:hAnsi="Arial" w:cs="Arial"/>
              <w:b/>
            </w:rPr>
            <w:t>Performance Analyst</w:t>
          </w:r>
        </w:p>
      </w:tc>
      <w:tc>
        <w:tcPr>
          <w:tcW w:w="3665" w:type="dxa"/>
        </w:tcPr>
        <w:p w14:paraId="0C1680AB" w14:textId="77777777" w:rsidR="000477E1" w:rsidRPr="000477E1" w:rsidRDefault="00C47CDE" w:rsidP="00030565">
          <w:pPr>
            <w:jc w:val="right"/>
          </w:pPr>
          <w:r>
            <w:rPr>
              <w:noProof/>
              <w:lang w:val="en-AU" w:eastAsia="en-AU"/>
            </w:rPr>
            <w:drawing>
              <wp:inline distT="0" distB="0" distL="0" distR="0" wp14:anchorId="6F4A4C01" wp14:editId="1052A892">
                <wp:extent cx="227393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682625"/>
                        </a:xfrm>
                        <a:prstGeom prst="rect">
                          <a:avLst/>
                        </a:prstGeom>
                        <a:noFill/>
                        <a:ln>
                          <a:noFill/>
                        </a:ln>
                      </pic:spPr>
                    </pic:pic>
                  </a:graphicData>
                </a:graphic>
              </wp:inline>
            </w:drawing>
          </w:r>
        </w:p>
      </w:tc>
    </w:tr>
  </w:tbl>
  <w:p w14:paraId="437DDB64"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16C5C"/>
    <w:multiLevelType w:val="hybridMultilevel"/>
    <w:tmpl w:val="8A3C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35E73"/>
    <w:multiLevelType w:val="hybridMultilevel"/>
    <w:tmpl w:val="FABA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30FB3"/>
    <w:multiLevelType w:val="hybridMultilevel"/>
    <w:tmpl w:val="F0C2D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1B16FD"/>
    <w:multiLevelType w:val="hybridMultilevel"/>
    <w:tmpl w:val="EFAE88AE"/>
    <w:lvl w:ilvl="0" w:tplc="554CB24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D34745"/>
    <w:multiLevelType w:val="hybridMultilevel"/>
    <w:tmpl w:val="B8BC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107344">
    <w:abstractNumId w:val="0"/>
  </w:num>
  <w:num w:numId="2" w16cid:durableId="680471374">
    <w:abstractNumId w:val="2"/>
  </w:num>
  <w:num w:numId="3" w16cid:durableId="1865291506">
    <w:abstractNumId w:val="4"/>
  </w:num>
  <w:num w:numId="4" w16cid:durableId="1126191579">
    <w:abstractNumId w:val="5"/>
  </w:num>
  <w:num w:numId="5" w16cid:durableId="6756027">
    <w:abstractNumId w:val="6"/>
  </w:num>
  <w:num w:numId="6" w16cid:durableId="224724193">
    <w:abstractNumId w:val="7"/>
  </w:num>
  <w:num w:numId="7" w16cid:durableId="1323312473">
    <w:abstractNumId w:val="1"/>
  </w:num>
  <w:num w:numId="8" w16cid:durableId="122038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A7E2B"/>
    <w:rsid w:val="000C3CC8"/>
    <w:rsid w:val="000D12B3"/>
    <w:rsid w:val="000D799A"/>
    <w:rsid w:val="000F231F"/>
    <w:rsid w:val="00104EC7"/>
    <w:rsid w:val="00131165"/>
    <w:rsid w:val="001336E8"/>
    <w:rsid w:val="0013413E"/>
    <w:rsid w:val="00134F5E"/>
    <w:rsid w:val="00153F10"/>
    <w:rsid w:val="00165754"/>
    <w:rsid w:val="001671DC"/>
    <w:rsid w:val="001716AB"/>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08A8"/>
    <w:rsid w:val="0028314F"/>
    <w:rsid w:val="00287C54"/>
    <w:rsid w:val="002A648F"/>
    <w:rsid w:val="002B0B83"/>
    <w:rsid w:val="002B1F76"/>
    <w:rsid w:val="002C2823"/>
    <w:rsid w:val="002D36BB"/>
    <w:rsid w:val="002D4549"/>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252A5"/>
    <w:rsid w:val="00436621"/>
    <w:rsid w:val="00442732"/>
    <w:rsid w:val="00452EC9"/>
    <w:rsid w:val="00466287"/>
    <w:rsid w:val="0047547E"/>
    <w:rsid w:val="00477AC3"/>
    <w:rsid w:val="00492AA6"/>
    <w:rsid w:val="004C45E2"/>
    <w:rsid w:val="004D0C22"/>
    <w:rsid w:val="004D27C8"/>
    <w:rsid w:val="004E44A5"/>
    <w:rsid w:val="004E474E"/>
    <w:rsid w:val="004E7F32"/>
    <w:rsid w:val="00502DBF"/>
    <w:rsid w:val="00521D19"/>
    <w:rsid w:val="00523CFF"/>
    <w:rsid w:val="00527FCF"/>
    <w:rsid w:val="005307BA"/>
    <w:rsid w:val="00545AC6"/>
    <w:rsid w:val="00550BF1"/>
    <w:rsid w:val="00551038"/>
    <w:rsid w:val="00551078"/>
    <w:rsid w:val="00585F4F"/>
    <w:rsid w:val="0059035B"/>
    <w:rsid w:val="00590562"/>
    <w:rsid w:val="005A4A2A"/>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564BD"/>
    <w:rsid w:val="006729BB"/>
    <w:rsid w:val="00672C92"/>
    <w:rsid w:val="00674D4C"/>
    <w:rsid w:val="00683870"/>
    <w:rsid w:val="006A2280"/>
    <w:rsid w:val="006B723B"/>
    <w:rsid w:val="006C2473"/>
    <w:rsid w:val="006C4218"/>
    <w:rsid w:val="006D1FBC"/>
    <w:rsid w:val="006D6FFA"/>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3B3D"/>
    <w:rsid w:val="007B7C1F"/>
    <w:rsid w:val="007C21C8"/>
    <w:rsid w:val="007D0E2E"/>
    <w:rsid w:val="007E2FB7"/>
    <w:rsid w:val="00800277"/>
    <w:rsid w:val="00805561"/>
    <w:rsid w:val="00806FE1"/>
    <w:rsid w:val="00807ED1"/>
    <w:rsid w:val="00817B11"/>
    <w:rsid w:val="008203EE"/>
    <w:rsid w:val="008267A0"/>
    <w:rsid w:val="0083547C"/>
    <w:rsid w:val="008476E6"/>
    <w:rsid w:val="0085706D"/>
    <w:rsid w:val="00860904"/>
    <w:rsid w:val="00882FBB"/>
    <w:rsid w:val="008A0EBB"/>
    <w:rsid w:val="008A11A3"/>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31BDC"/>
    <w:rsid w:val="00A41E4E"/>
    <w:rsid w:val="00A4412E"/>
    <w:rsid w:val="00A47353"/>
    <w:rsid w:val="00A64F0C"/>
    <w:rsid w:val="00A6675F"/>
    <w:rsid w:val="00A7158C"/>
    <w:rsid w:val="00A73C38"/>
    <w:rsid w:val="00A77B0C"/>
    <w:rsid w:val="00A82609"/>
    <w:rsid w:val="00A83932"/>
    <w:rsid w:val="00A85305"/>
    <w:rsid w:val="00A8686E"/>
    <w:rsid w:val="00A8732A"/>
    <w:rsid w:val="00A970A2"/>
    <w:rsid w:val="00AB120A"/>
    <w:rsid w:val="00AB50E4"/>
    <w:rsid w:val="00AB56B1"/>
    <w:rsid w:val="00AB7CD2"/>
    <w:rsid w:val="00AC1AF9"/>
    <w:rsid w:val="00AC2373"/>
    <w:rsid w:val="00AC742D"/>
    <w:rsid w:val="00AC7DC9"/>
    <w:rsid w:val="00AE14D7"/>
    <w:rsid w:val="00AF01AC"/>
    <w:rsid w:val="00AF3FE7"/>
    <w:rsid w:val="00AF7D0C"/>
    <w:rsid w:val="00B0574B"/>
    <w:rsid w:val="00B15296"/>
    <w:rsid w:val="00B2037F"/>
    <w:rsid w:val="00B262BC"/>
    <w:rsid w:val="00B32691"/>
    <w:rsid w:val="00B407F6"/>
    <w:rsid w:val="00B635E3"/>
    <w:rsid w:val="00B7215D"/>
    <w:rsid w:val="00B727E9"/>
    <w:rsid w:val="00B72B4F"/>
    <w:rsid w:val="00B835C0"/>
    <w:rsid w:val="00B876AF"/>
    <w:rsid w:val="00BA759E"/>
    <w:rsid w:val="00BB532F"/>
    <w:rsid w:val="00BC162D"/>
    <w:rsid w:val="00BC2FE4"/>
    <w:rsid w:val="00BD4DDA"/>
    <w:rsid w:val="00BE4EAE"/>
    <w:rsid w:val="00C03AFD"/>
    <w:rsid w:val="00C1051A"/>
    <w:rsid w:val="00C271F9"/>
    <w:rsid w:val="00C47CDE"/>
    <w:rsid w:val="00C517B6"/>
    <w:rsid w:val="00C53222"/>
    <w:rsid w:val="00C63F0F"/>
    <w:rsid w:val="00C70636"/>
    <w:rsid w:val="00C70842"/>
    <w:rsid w:val="00CC6622"/>
    <w:rsid w:val="00CC76F2"/>
    <w:rsid w:val="00CE105E"/>
    <w:rsid w:val="00CE1E5E"/>
    <w:rsid w:val="00CE730D"/>
    <w:rsid w:val="00D21AA6"/>
    <w:rsid w:val="00D55E55"/>
    <w:rsid w:val="00D646C9"/>
    <w:rsid w:val="00D663ED"/>
    <w:rsid w:val="00D67A17"/>
    <w:rsid w:val="00D74882"/>
    <w:rsid w:val="00D759EE"/>
    <w:rsid w:val="00D75E38"/>
    <w:rsid w:val="00D956AA"/>
    <w:rsid w:val="00DA45C4"/>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A7DFC"/>
    <w:rsid w:val="00EC0B04"/>
    <w:rsid w:val="00EC4A51"/>
    <w:rsid w:val="00EC5C1D"/>
    <w:rsid w:val="00ED176B"/>
    <w:rsid w:val="00F31B35"/>
    <w:rsid w:val="00F339CD"/>
    <w:rsid w:val="00F33A43"/>
    <w:rsid w:val="00F41650"/>
    <w:rsid w:val="00F47143"/>
    <w:rsid w:val="00F7011F"/>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99108"/>
  <w15:docId w15:val="{B9C7500E-6ADF-40E6-BF0A-1EB25F0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UnresolvedMention1">
    <w:name w:val="Unresolved Mention1"/>
    <w:basedOn w:val="DefaultParagraphFont"/>
    <w:uiPriority w:val="99"/>
    <w:semiHidden/>
    <w:unhideWhenUsed/>
    <w:rsid w:val="00CE730D"/>
    <w:rPr>
      <w:color w:val="808080"/>
      <w:shd w:val="clear" w:color="auto" w:fill="E6E6E6"/>
    </w:rPr>
  </w:style>
  <w:style w:type="paragraph" w:styleId="PlainText">
    <w:name w:val="Plain Text"/>
    <w:basedOn w:val="Normal"/>
    <w:link w:val="PlainTextChar"/>
    <w:uiPriority w:val="99"/>
    <w:unhideWhenUsed/>
    <w:rsid w:val="00B727E9"/>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B727E9"/>
    <w:rPr>
      <w:rFonts w:ascii="Calibri" w:hAnsi="Calibri" w:cs="Times New Roman"/>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2" ma:contentTypeDescription="Create a new document." ma:contentTypeScope="" ma:versionID="ceda6e5f2e08f863774aa0c9cd30a8d0">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1c6749665e8dad57bdbc4699101c5df"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A1C09-F37B-4A2C-83AE-E1B77D733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1FE75-9AE4-4915-8B71-1E795F977A63}">
  <ds:schemaRefs>
    <ds:schemaRef ds:uri="http://schemas.microsoft.com/sharepoint/v3/contenttype/forms"/>
  </ds:schemaRefs>
</ds:datastoreItem>
</file>

<file path=customXml/itemProps3.xml><?xml version="1.0" encoding="utf-8"?>
<ds:datastoreItem xmlns:ds="http://schemas.openxmlformats.org/officeDocument/2006/customXml" ds:itemID="{FDD5CF1D-B277-4471-9944-68C2E9D57EA8}">
  <ds:schemaRefs>
    <ds:schemaRef ds:uri="http://schemas.openxmlformats.org/officeDocument/2006/bibliography"/>
  </ds:schemaRefs>
</ds:datastoreItem>
</file>

<file path=customXml/itemProps4.xml><?xml version="1.0" encoding="utf-8"?>
<ds:datastoreItem xmlns:ds="http://schemas.openxmlformats.org/officeDocument/2006/customXml" ds:itemID="{E771DA81-4228-46A3-8C89-A88C802F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1624</Words>
  <Characters>9258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Francis D'lima</cp:lastModifiedBy>
  <cp:revision>2</cp:revision>
  <cp:lastPrinted>2020-09-16T02:58:00Z</cp:lastPrinted>
  <dcterms:created xsi:type="dcterms:W3CDTF">2024-07-15T01:11:00Z</dcterms:created>
  <dcterms:modified xsi:type="dcterms:W3CDTF">2024-07-15T01:11:00Z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