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3D60BAEE"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64D7061" w14:textId="77777777" w:rsidR="00801E41" w:rsidRPr="00DC0173" w:rsidRDefault="00801E41" w:rsidP="00C60D72">
            <w:pPr>
              <w:pStyle w:val="TableTextWhite"/>
              <w:rPr>
                <w:b/>
              </w:rPr>
            </w:pPr>
            <w:r>
              <w:rPr>
                <w:b/>
              </w:rPr>
              <w:t>Cluster</w:t>
            </w:r>
          </w:p>
        </w:tc>
        <w:tc>
          <w:tcPr>
            <w:tcW w:w="6831" w:type="dxa"/>
          </w:tcPr>
          <w:p w14:paraId="33DCEC44" w14:textId="127B7321" w:rsidR="00801E41" w:rsidRPr="007C065E" w:rsidRDefault="008408F9" w:rsidP="00C60D72">
            <w:pPr>
              <w:pStyle w:val="TableTextWhite"/>
              <w:rPr>
                <w:b/>
                <w:bCs/>
              </w:rPr>
            </w:pPr>
            <w:r w:rsidRPr="007C065E">
              <w:rPr>
                <w:b/>
                <w:bCs/>
              </w:rPr>
              <w:t>Planning, Housing and Infrastructure</w:t>
            </w:r>
          </w:p>
        </w:tc>
      </w:tr>
      <w:tr w:rsidR="00801E41" w:rsidRPr="00DC0173" w14:paraId="4D8A24E3" w14:textId="77777777" w:rsidTr="00C60D72">
        <w:tc>
          <w:tcPr>
            <w:tcW w:w="4026" w:type="dxa"/>
          </w:tcPr>
          <w:p w14:paraId="42F00837" w14:textId="77777777" w:rsidR="00801E41" w:rsidRDefault="00801E41" w:rsidP="00C60D72">
            <w:pPr>
              <w:pStyle w:val="TableTextWhite"/>
              <w:rPr>
                <w:b/>
              </w:rPr>
            </w:pPr>
            <w:r>
              <w:rPr>
                <w:b/>
              </w:rPr>
              <w:t>Agency</w:t>
            </w:r>
          </w:p>
        </w:tc>
        <w:tc>
          <w:tcPr>
            <w:tcW w:w="6831" w:type="dxa"/>
          </w:tcPr>
          <w:p w14:paraId="0D77F1F6" w14:textId="06A57732" w:rsidR="00801E41" w:rsidRPr="007C065E" w:rsidRDefault="00801E41" w:rsidP="00C60D72">
            <w:pPr>
              <w:pStyle w:val="TableTextWhite"/>
              <w:rPr>
                <w:b/>
                <w:bCs/>
              </w:rPr>
            </w:pPr>
            <w:r w:rsidRPr="007C065E">
              <w:rPr>
                <w:b/>
                <w:bCs/>
              </w:rPr>
              <w:t xml:space="preserve">Department of </w:t>
            </w:r>
            <w:r w:rsidR="008408F9" w:rsidRPr="007C065E">
              <w:rPr>
                <w:b/>
                <w:bCs/>
              </w:rPr>
              <w:t>Planning, Housing and Infrastructure</w:t>
            </w:r>
          </w:p>
        </w:tc>
      </w:tr>
      <w:tr w:rsidR="00801E41" w:rsidRPr="00DC0173" w14:paraId="303E03E1" w14:textId="77777777" w:rsidTr="00C60D72">
        <w:tc>
          <w:tcPr>
            <w:tcW w:w="4026" w:type="dxa"/>
          </w:tcPr>
          <w:p w14:paraId="47B5ECFC" w14:textId="77777777" w:rsidR="00801E41" w:rsidRDefault="00801E41" w:rsidP="00C60D72">
            <w:pPr>
              <w:pStyle w:val="TableTextWhite"/>
              <w:rPr>
                <w:b/>
              </w:rPr>
            </w:pPr>
            <w:r w:rsidRPr="00FC13A3">
              <w:rPr>
                <w:b/>
              </w:rPr>
              <w:t>Division/Branch/Unit</w:t>
            </w:r>
          </w:p>
        </w:tc>
        <w:tc>
          <w:tcPr>
            <w:tcW w:w="6831" w:type="dxa"/>
          </w:tcPr>
          <w:p w14:paraId="29515531" w14:textId="02B1F5BF" w:rsidR="00801E41" w:rsidRPr="007C065E" w:rsidRDefault="008408F9" w:rsidP="00C60D72">
            <w:pPr>
              <w:pStyle w:val="TableTextWhite"/>
              <w:rPr>
                <w:b/>
                <w:bCs/>
              </w:rPr>
            </w:pPr>
            <w:r w:rsidRPr="007C065E">
              <w:rPr>
                <w:b/>
                <w:bCs/>
              </w:rPr>
              <w:t xml:space="preserve">Strategic </w:t>
            </w:r>
            <w:r w:rsidR="00512A83" w:rsidRPr="007C065E">
              <w:rPr>
                <w:b/>
                <w:bCs/>
              </w:rPr>
              <w:t xml:space="preserve">Services </w:t>
            </w:r>
            <w:r w:rsidRPr="007C065E">
              <w:rPr>
                <w:b/>
                <w:bCs/>
              </w:rPr>
              <w:t>and Advice / People and Culture</w:t>
            </w:r>
          </w:p>
        </w:tc>
      </w:tr>
      <w:tr w:rsidR="00801E41" w:rsidRPr="00DC0173" w14:paraId="496600DC" w14:textId="77777777" w:rsidTr="00C60D72">
        <w:tc>
          <w:tcPr>
            <w:tcW w:w="4026" w:type="dxa"/>
          </w:tcPr>
          <w:p w14:paraId="5627A8BA" w14:textId="77777777" w:rsidR="00801E41" w:rsidRDefault="008C28EE" w:rsidP="00C60D72">
            <w:pPr>
              <w:pStyle w:val="TableTextWhite"/>
              <w:rPr>
                <w:b/>
              </w:rPr>
            </w:pPr>
            <w:r>
              <w:rPr>
                <w:b/>
              </w:rPr>
              <w:t>Location</w:t>
            </w:r>
          </w:p>
        </w:tc>
        <w:tc>
          <w:tcPr>
            <w:tcW w:w="6831" w:type="dxa"/>
          </w:tcPr>
          <w:p w14:paraId="4A80C72E" w14:textId="77777777" w:rsidR="00801E41" w:rsidRPr="007C065E" w:rsidRDefault="008C28EE" w:rsidP="00C60D72">
            <w:pPr>
              <w:pStyle w:val="TableTextWhite"/>
              <w:rPr>
                <w:b/>
                <w:bCs/>
              </w:rPr>
            </w:pPr>
            <w:r w:rsidRPr="007C065E">
              <w:rPr>
                <w:b/>
                <w:bCs/>
              </w:rPr>
              <w:t>Parramatta</w:t>
            </w:r>
          </w:p>
        </w:tc>
      </w:tr>
      <w:tr w:rsidR="00801E41" w:rsidRPr="00DC0173" w14:paraId="79443BD4" w14:textId="77777777" w:rsidTr="00C60D72">
        <w:tc>
          <w:tcPr>
            <w:tcW w:w="4026" w:type="dxa"/>
          </w:tcPr>
          <w:p w14:paraId="693BC6E5" w14:textId="77777777" w:rsidR="00801E41" w:rsidRDefault="00801E41" w:rsidP="00C60D72">
            <w:pPr>
              <w:pStyle w:val="TableTextWhite"/>
              <w:rPr>
                <w:b/>
              </w:rPr>
            </w:pPr>
            <w:r w:rsidRPr="00FC13A3">
              <w:rPr>
                <w:b/>
              </w:rPr>
              <w:t>Classification/Grade/Band</w:t>
            </w:r>
          </w:p>
        </w:tc>
        <w:tc>
          <w:tcPr>
            <w:tcW w:w="6831" w:type="dxa"/>
          </w:tcPr>
          <w:p w14:paraId="354A2A44" w14:textId="77777777" w:rsidR="00801E41" w:rsidRPr="007C065E" w:rsidRDefault="00801E41" w:rsidP="00C60D72">
            <w:pPr>
              <w:pStyle w:val="TableTextWhite"/>
              <w:rPr>
                <w:b/>
                <w:bCs/>
              </w:rPr>
            </w:pPr>
            <w:r w:rsidRPr="007C065E">
              <w:rPr>
                <w:b/>
                <w:bCs/>
              </w:rPr>
              <w:t>Clerk Grade 7/8</w:t>
            </w:r>
          </w:p>
        </w:tc>
      </w:tr>
      <w:tr w:rsidR="00801E41" w:rsidRPr="00DC0173" w14:paraId="5973E6BE" w14:textId="77777777" w:rsidTr="00C60D72">
        <w:tc>
          <w:tcPr>
            <w:tcW w:w="4026" w:type="dxa"/>
          </w:tcPr>
          <w:p w14:paraId="22ED87C9" w14:textId="77777777" w:rsidR="00801E41" w:rsidRDefault="00801E41" w:rsidP="00C60D72">
            <w:pPr>
              <w:pStyle w:val="TableTextWhite"/>
              <w:rPr>
                <w:b/>
              </w:rPr>
            </w:pPr>
            <w:r w:rsidRPr="00FC13A3">
              <w:rPr>
                <w:b/>
              </w:rPr>
              <w:t>ANZSCO Code</w:t>
            </w:r>
          </w:p>
        </w:tc>
        <w:tc>
          <w:tcPr>
            <w:tcW w:w="6831" w:type="dxa"/>
          </w:tcPr>
          <w:p w14:paraId="0D7EEDC2" w14:textId="77777777" w:rsidR="00801E41" w:rsidRPr="007C065E" w:rsidRDefault="00801E41" w:rsidP="00C60D72">
            <w:pPr>
              <w:pStyle w:val="TableTextWhite"/>
              <w:rPr>
                <w:b/>
                <w:bCs/>
              </w:rPr>
            </w:pPr>
            <w:r w:rsidRPr="007C065E">
              <w:rPr>
                <w:b/>
                <w:bCs/>
              </w:rPr>
              <w:t>223112</w:t>
            </w:r>
          </w:p>
        </w:tc>
      </w:tr>
      <w:tr w:rsidR="00801E41" w:rsidRPr="00DC0173" w14:paraId="25BBCB75" w14:textId="77777777" w:rsidTr="00C60D72">
        <w:tc>
          <w:tcPr>
            <w:tcW w:w="4026" w:type="dxa"/>
          </w:tcPr>
          <w:p w14:paraId="4E67FADD" w14:textId="77777777" w:rsidR="00801E41" w:rsidRDefault="00801E41" w:rsidP="00C60D72">
            <w:pPr>
              <w:pStyle w:val="TableTextWhite"/>
              <w:rPr>
                <w:b/>
              </w:rPr>
            </w:pPr>
            <w:r w:rsidRPr="00FC13A3">
              <w:rPr>
                <w:b/>
              </w:rPr>
              <w:t>PCAT Code</w:t>
            </w:r>
          </w:p>
        </w:tc>
        <w:tc>
          <w:tcPr>
            <w:tcW w:w="6831" w:type="dxa"/>
          </w:tcPr>
          <w:p w14:paraId="060FC316" w14:textId="77777777" w:rsidR="00801E41" w:rsidRPr="007C065E" w:rsidRDefault="00801E41" w:rsidP="00C60D72">
            <w:pPr>
              <w:pStyle w:val="TableTextWhite"/>
              <w:rPr>
                <w:b/>
                <w:bCs/>
              </w:rPr>
            </w:pPr>
            <w:r w:rsidRPr="007C065E">
              <w:rPr>
                <w:b/>
                <w:bCs/>
              </w:rPr>
              <w:t>1224292</w:t>
            </w:r>
          </w:p>
        </w:tc>
      </w:tr>
      <w:tr w:rsidR="00801E41" w:rsidRPr="00DC0173" w14:paraId="527C1E23" w14:textId="77777777" w:rsidTr="00C60D72">
        <w:tc>
          <w:tcPr>
            <w:tcW w:w="4026" w:type="dxa"/>
          </w:tcPr>
          <w:p w14:paraId="3078FE47" w14:textId="77777777" w:rsidR="00801E41" w:rsidRDefault="00801E41" w:rsidP="00C60D72">
            <w:pPr>
              <w:pStyle w:val="TableTextWhite"/>
              <w:rPr>
                <w:b/>
              </w:rPr>
            </w:pPr>
            <w:r w:rsidRPr="00FC13A3">
              <w:rPr>
                <w:b/>
              </w:rPr>
              <w:t>Date of Approval</w:t>
            </w:r>
          </w:p>
        </w:tc>
        <w:tc>
          <w:tcPr>
            <w:tcW w:w="6831" w:type="dxa"/>
          </w:tcPr>
          <w:p w14:paraId="2CBFBB2B" w14:textId="579C506F" w:rsidR="00801E41" w:rsidRPr="007C065E" w:rsidRDefault="0044227D" w:rsidP="00C60D72">
            <w:pPr>
              <w:pStyle w:val="TableTextWhite"/>
              <w:rPr>
                <w:b/>
                <w:bCs/>
              </w:rPr>
            </w:pPr>
            <w:r w:rsidRPr="007C065E">
              <w:rPr>
                <w:b/>
                <w:bCs/>
              </w:rPr>
              <w:t>January 2024</w:t>
            </w:r>
            <w:r w:rsidR="008408F9" w:rsidRPr="007C065E">
              <w:rPr>
                <w:b/>
                <w:bCs/>
              </w:rPr>
              <w:t xml:space="preserve"> (updated October 2024)</w:t>
            </w:r>
          </w:p>
        </w:tc>
      </w:tr>
      <w:tr w:rsidR="00801E41" w:rsidRPr="00DC0173" w14:paraId="58DA2355" w14:textId="77777777" w:rsidTr="00C60D72">
        <w:tc>
          <w:tcPr>
            <w:tcW w:w="4026" w:type="dxa"/>
          </w:tcPr>
          <w:p w14:paraId="7E9D036C" w14:textId="77777777" w:rsidR="00801E41" w:rsidRDefault="00801E41" w:rsidP="00C60D72">
            <w:pPr>
              <w:pStyle w:val="TableTextWhite"/>
              <w:rPr>
                <w:b/>
              </w:rPr>
            </w:pPr>
            <w:r w:rsidRPr="00FC13A3">
              <w:rPr>
                <w:b/>
              </w:rPr>
              <w:t>Agency Website</w:t>
            </w:r>
          </w:p>
        </w:tc>
        <w:tc>
          <w:tcPr>
            <w:tcW w:w="6831" w:type="dxa"/>
          </w:tcPr>
          <w:p w14:paraId="689936D9" w14:textId="6D0B848A" w:rsidR="00801E41" w:rsidRPr="007C065E" w:rsidRDefault="008408F9" w:rsidP="00C60D72">
            <w:pPr>
              <w:pStyle w:val="TableTextWhite"/>
              <w:rPr>
                <w:b/>
                <w:bCs/>
              </w:rPr>
            </w:pPr>
            <w:r w:rsidRPr="007C065E">
              <w:rPr>
                <w:b/>
                <w:bCs/>
              </w:rPr>
              <w:t>https://www.nsw.gov.au/departments-and-agencies/department-of-planning-housing-and-infrastructure</w:t>
            </w:r>
          </w:p>
        </w:tc>
      </w:tr>
    </w:tbl>
    <w:p w14:paraId="438A616D" w14:textId="77777777" w:rsidR="00477EB1" w:rsidRPr="00E55704" w:rsidRDefault="00477EB1" w:rsidP="00477EB1">
      <w:pPr>
        <w:tabs>
          <w:tab w:val="left" w:pos="2925"/>
        </w:tabs>
        <w:rPr>
          <w:rFonts w:cs="Arial"/>
        </w:rPr>
      </w:pPr>
    </w:p>
    <w:p w14:paraId="74DD8D22" w14:textId="68877F7C" w:rsidR="008408F9" w:rsidRPr="00614552" w:rsidRDefault="008408F9" w:rsidP="008408F9">
      <w:pPr>
        <w:tabs>
          <w:tab w:val="left" w:pos="2925"/>
        </w:tabs>
        <w:rPr>
          <w:rStyle w:val="Heading1Char"/>
        </w:rPr>
      </w:pPr>
      <w:r>
        <w:rPr>
          <w:rStyle w:val="Heading1Char"/>
        </w:rPr>
        <w:t>Agency overview</w:t>
      </w:r>
    </w:p>
    <w:p w14:paraId="07528FDB" w14:textId="7C46CDD7" w:rsidR="0044227D" w:rsidRDefault="008408F9" w:rsidP="008408F9">
      <w:pPr>
        <w:rPr>
          <w:rFonts w:eastAsia="Times New Roman"/>
        </w:rPr>
      </w:pPr>
      <w:r>
        <w:rPr>
          <w:rFonts w:eastAsia="Times New Roman"/>
        </w:rPr>
        <w:t>The Department of Planning, Housing and Infrastructure (DPHI) improves the liveability and prosperity of NSW.  To achieve this, we:</w:t>
      </w:r>
    </w:p>
    <w:p w14:paraId="7CCFFFB7" w14:textId="52921C32" w:rsidR="008408F9" w:rsidRDefault="008408F9" w:rsidP="008408F9">
      <w:pPr>
        <w:pStyle w:val="ListBullet"/>
        <w:rPr>
          <w:rStyle w:val="Heading1Char"/>
          <w:rFonts w:eastAsia="Times New Roman" w:cstheme="minorBidi"/>
          <w:b w:val="0"/>
          <w:kern w:val="0"/>
          <w:sz w:val="22"/>
          <w:szCs w:val="22"/>
          <w:lang w:val="en-US"/>
        </w:rPr>
      </w:pPr>
      <w:r>
        <w:rPr>
          <w:rStyle w:val="Heading1Char"/>
          <w:rFonts w:eastAsia="Times New Roman" w:cstheme="minorBidi"/>
          <w:b w:val="0"/>
          <w:kern w:val="0"/>
          <w:sz w:val="22"/>
          <w:szCs w:val="22"/>
          <w:lang w:val="en-US"/>
        </w:rPr>
        <w:t>create vibrant, productive spaces and precincts;</w:t>
      </w:r>
    </w:p>
    <w:p w14:paraId="0E9CE3C3" w14:textId="33DA67AA" w:rsidR="008408F9" w:rsidRDefault="008408F9" w:rsidP="008408F9">
      <w:pPr>
        <w:pStyle w:val="ListBullet"/>
        <w:rPr>
          <w:rStyle w:val="Heading1Char"/>
          <w:rFonts w:eastAsia="Times New Roman" w:cstheme="minorBidi"/>
          <w:b w:val="0"/>
          <w:kern w:val="0"/>
          <w:sz w:val="22"/>
          <w:szCs w:val="22"/>
          <w:lang w:val="en-US"/>
        </w:rPr>
      </w:pPr>
      <w:r>
        <w:rPr>
          <w:rStyle w:val="Heading1Char"/>
          <w:rFonts w:eastAsia="Times New Roman" w:cstheme="minorBidi"/>
          <w:b w:val="0"/>
          <w:kern w:val="0"/>
          <w:sz w:val="22"/>
          <w:szCs w:val="22"/>
          <w:lang w:val="en-US"/>
        </w:rPr>
        <w:t>manage lands, assets and property effectively; and</w:t>
      </w:r>
    </w:p>
    <w:p w14:paraId="72025221" w14:textId="5E159FF1" w:rsidR="008408F9" w:rsidRDefault="008408F9" w:rsidP="008408F9">
      <w:pPr>
        <w:pStyle w:val="ListBullet"/>
        <w:rPr>
          <w:rStyle w:val="Heading1Char"/>
          <w:rFonts w:eastAsia="Times New Roman" w:cstheme="minorBidi"/>
          <w:b w:val="0"/>
          <w:kern w:val="0"/>
          <w:sz w:val="22"/>
          <w:szCs w:val="22"/>
          <w:lang w:val="en-US"/>
        </w:rPr>
      </w:pPr>
      <w:r>
        <w:rPr>
          <w:rStyle w:val="Heading1Char"/>
          <w:rFonts w:eastAsia="Times New Roman" w:cstheme="minorBidi"/>
          <w:b w:val="0"/>
          <w:kern w:val="0"/>
          <w:sz w:val="22"/>
          <w:szCs w:val="22"/>
          <w:lang w:val="en-US"/>
        </w:rPr>
        <w:t>deliver affordable and diverse housing.</w:t>
      </w:r>
    </w:p>
    <w:p w14:paraId="7CB75BC3" w14:textId="77777777" w:rsidR="008408F9" w:rsidRDefault="008408F9" w:rsidP="008408F9">
      <w:pPr>
        <w:rPr>
          <w:rStyle w:val="Heading1Char"/>
          <w:rFonts w:eastAsia="Times New Roman" w:cstheme="minorBidi"/>
          <w:b w:val="0"/>
          <w:kern w:val="0"/>
          <w:sz w:val="22"/>
          <w:szCs w:val="22"/>
          <w:lang w:val="en-US"/>
        </w:rPr>
      </w:pPr>
    </w:p>
    <w:p w14:paraId="292BDFBD" w14:textId="31329628" w:rsidR="008408F9" w:rsidRDefault="008408F9" w:rsidP="008408F9">
      <w:pPr>
        <w:rPr>
          <w:rStyle w:val="Heading1Char"/>
          <w:rFonts w:eastAsia="Times New Roman" w:cstheme="minorBidi"/>
          <w:b w:val="0"/>
          <w:kern w:val="0"/>
          <w:sz w:val="22"/>
          <w:szCs w:val="22"/>
          <w:lang w:val="en-US"/>
        </w:rPr>
      </w:pPr>
      <w:r>
        <w:rPr>
          <w:rStyle w:val="Heading1Char"/>
          <w:rFonts w:eastAsia="Times New Roman" w:cstheme="minorBidi"/>
          <w:b w:val="0"/>
          <w:kern w:val="0"/>
          <w:sz w:val="22"/>
          <w:szCs w:val="22"/>
          <w:lang w:val="en-US"/>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46A6E585" w14:textId="77777777" w:rsidR="003927AE" w:rsidRPr="00614552" w:rsidRDefault="003927AE" w:rsidP="003927AE">
      <w:pPr>
        <w:tabs>
          <w:tab w:val="left" w:pos="2925"/>
        </w:tabs>
        <w:rPr>
          <w:rStyle w:val="Heading1Char"/>
        </w:rPr>
      </w:pPr>
      <w:r w:rsidRPr="00614552">
        <w:rPr>
          <w:rStyle w:val="Heading1Char"/>
        </w:rPr>
        <w:t>Primary purpose of the role</w:t>
      </w:r>
    </w:p>
    <w:p w14:paraId="080104A3" w14:textId="30F5EBA9" w:rsidR="0044227D" w:rsidRDefault="003927AE" w:rsidP="003927AE">
      <w:pPr>
        <w:tabs>
          <w:tab w:val="left" w:pos="2925"/>
        </w:tabs>
        <w:rPr>
          <w:rFonts w:ascii="Georgia" w:hAnsi="Georgia"/>
        </w:rPr>
      </w:pPr>
      <w:r>
        <w:t>The role provides recruitment support and solutions to enable the selection and engagement of the most capable staff for a wide range of roles and comply with NSW Government legislation ensuring proactive, client focused, capability-based recruitment services, contemporary recruitment solutions and strategies and advice</w:t>
      </w:r>
      <w:r w:rsidR="0044227D">
        <w:t>.</w:t>
      </w:r>
    </w:p>
    <w:p w14:paraId="6197C4BE" w14:textId="77777777" w:rsidR="003927AE" w:rsidRPr="00172DFE" w:rsidRDefault="003927AE" w:rsidP="00172DFE">
      <w:pPr>
        <w:tabs>
          <w:tab w:val="left" w:pos="2925"/>
        </w:tabs>
        <w:rPr>
          <w:rStyle w:val="Heading1Char"/>
        </w:rPr>
      </w:pPr>
      <w:r w:rsidRPr="00172DFE">
        <w:rPr>
          <w:rStyle w:val="Heading1Char"/>
        </w:rPr>
        <w:t>Key accountabilities</w:t>
      </w:r>
    </w:p>
    <w:p w14:paraId="166387D7" w14:textId="77777777" w:rsidR="008C28EE" w:rsidRPr="008C28EE" w:rsidRDefault="007E77DC" w:rsidP="008C28EE">
      <w:pPr>
        <w:pStyle w:val="ListParagraph"/>
        <w:numPr>
          <w:ilvl w:val="0"/>
          <w:numId w:val="10"/>
        </w:numPr>
        <w:tabs>
          <w:tab w:val="left" w:pos="2925"/>
        </w:tabs>
        <w:rPr>
          <w:rFonts w:cs="Arial"/>
        </w:rPr>
      </w:pPr>
      <w:r>
        <w:t>Provide end to end resourcing and recruitment services across the cluster by providing advice and support to managers on recruitment and mobility options and undertake recruitment processes and activities to ensure the engagement of the best candidate for the role.</w:t>
      </w:r>
    </w:p>
    <w:p w14:paraId="035EFC48" w14:textId="77777777" w:rsidR="008C28EE" w:rsidRPr="008C28EE" w:rsidRDefault="007E77DC" w:rsidP="008C28EE">
      <w:pPr>
        <w:pStyle w:val="ListParagraph"/>
        <w:numPr>
          <w:ilvl w:val="0"/>
          <w:numId w:val="10"/>
        </w:numPr>
        <w:tabs>
          <w:tab w:val="left" w:pos="2925"/>
        </w:tabs>
        <w:rPr>
          <w:rFonts w:cs="Arial"/>
        </w:rPr>
      </w:pPr>
      <w:r>
        <w:t>A</w:t>
      </w:r>
      <w:r w:rsidR="008C28EE">
        <w:t>c</w:t>
      </w:r>
      <w:r>
        <w:t xml:space="preserve">t as a subject matter expert by providing guidance and direction to the business on best practice recruitment and workforce resourcing initiatives including devising contemporary strategies for the </w:t>
      </w:r>
      <w:r>
        <w:lastRenderedPageBreak/>
        <w:t>delivery of targeted advertising campaigns, pre-screening techniques, assessment tolls and interview methodologies to ensure hiring managers are equipped to make the right hiring decisions.</w:t>
      </w:r>
    </w:p>
    <w:p w14:paraId="6E00F9F8" w14:textId="5951A025" w:rsidR="008C28EE" w:rsidRPr="008C28EE" w:rsidRDefault="007E77DC" w:rsidP="008C28EE">
      <w:pPr>
        <w:pStyle w:val="ListParagraph"/>
        <w:numPr>
          <w:ilvl w:val="0"/>
          <w:numId w:val="10"/>
        </w:numPr>
        <w:tabs>
          <w:tab w:val="left" w:pos="2925"/>
        </w:tabs>
        <w:rPr>
          <w:rFonts w:cs="Arial"/>
        </w:rPr>
      </w:pPr>
      <w:r>
        <w:t xml:space="preserve">Contribute to the continuous improvement of workforce resourcing practices, processes and service level standards by working collaboratively with </w:t>
      </w:r>
      <w:r w:rsidR="0044227D">
        <w:t>Corporate Services</w:t>
      </w:r>
      <w:r>
        <w:t xml:space="preserve"> teams on a wide range of workforce management, mobility and recruitment projects.</w:t>
      </w:r>
    </w:p>
    <w:p w14:paraId="3682988E" w14:textId="77777777" w:rsidR="008C28EE" w:rsidRPr="008C28EE" w:rsidRDefault="007E77DC" w:rsidP="008C28EE">
      <w:pPr>
        <w:pStyle w:val="ListParagraph"/>
        <w:numPr>
          <w:ilvl w:val="0"/>
          <w:numId w:val="10"/>
        </w:numPr>
        <w:tabs>
          <w:tab w:val="left" w:pos="2925"/>
        </w:tabs>
        <w:rPr>
          <w:rFonts w:cs="Arial"/>
        </w:rPr>
      </w:pPr>
      <w:r>
        <w:t>Network, build and maintain relationships with employees, candidates, external organisations such as other government agencies, search firms and the private sector and proactively promote the cluster through partnership opportunities to attract potential employees.</w:t>
      </w:r>
    </w:p>
    <w:p w14:paraId="4B2343FF" w14:textId="77777777" w:rsidR="008C28EE" w:rsidRPr="008C28EE" w:rsidRDefault="007E77DC" w:rsidP="008C28EE">
      <w:pPr>
        <w:pStyle w:val="ListParagraph"/>
        <w:numPr>
          <w:ilvl w:val="0"/>
          <w:numId w:val="10"/>
        </w:numPr>
        <w:tabs>
          <w:tab w:val="left" w:pos="2925"/>
        </w:tabs>
        <w:rPr>
          <w:rFonts w:cs="Arial"/>
        </w:rPr>
      </w:pPr>
      <w:r>
        <w:t>Coordinate the ongoing management of talent pools, ensuring that available roles are reviewed for suitability and partner with managers to effectively assess candidates and guide appropriate recommendations.</w:t>
      </w:r>
    </w:p>
    <w:p w14:paraId="22F46142" w14:textId="009336F8" w:rsidR="008C28EE" w:rsidRPr="008C28EE" w:rsidRDefault="007E77DC" w:rsidP="008C28EE">
      <w:pPr>
        <w:pStyle w:val="ListParagraph"/>
        <w:numPr>
          <w:ilvl w:val="0"/>
          <w:numId w:val="10"/>
        </w:numPr>
        <w:tabs>
          <w:tab w:val="left" w:pos="2925"/>
        </w:tabs>
        <w:rPr>
          <w:rFonts w:cs="Arial"/>
        </w:rPr>
      </w:pPr>
      <w:r>
        <w:t>Build and maintain effective relationships with a range of internal stakeholders</w:t>
      </w:r>
      <w:r w:rsidR="0044227D">
        <w:t xml:space="preserve"> across Corporate Services</w:t>
      </w:r>
      <w:r>
        <w:t>.</w:t>
      </w:r>
    </w:p>
    <w:p w14:paraId="1443EFBB" w14:textId="4E0E9265" w:rsidR="008C28EE" w:rsidRPr="008C28EE" w:rsidRDefault="007E77DC" w:rsidP="003B1FC9">
      <w:pPr>
        <w:pStyle w:val="ListParagraph"/>
        <w:numPr>
          <w:ilvl w:val="0"/>
          <w:numId w:val="10"/>
        </w:numPr>
        <w:tabs>
          <w:tab w:val="left" w:pos="2925"/>
        </w:tabs>
        <w:rPr>
          <w:rFonts w:eastAsiaTheme="minorHAnsi" w:cs="Arial"/>
          <w:b/>
          <w:bCs/>
          <w:kern w:val="32"/>
          <w:sz w:val="26"/>
          <w:szCs w:val="32"/>
          <w:lang w:val="en-AU"/>
        </w:rPr>
      </w:pPr>
      <w:r>
        <w:t>Develop and implement reporting tools and indicators to identify insights and provide intelligence into the recruitment and related activities and monitor, review and evaluate recruitment activities to provide evidence</w:t>
      </w:r>
      <w:r w:rsidR="0044227D">
        <w:t>-</w:t>
      </w:r>
      <w:r>
        <w:t>based recommendations to improve processes and efficiency in recruitment service.</w:t>
      </w:r>
    </w:p>
    <w:p w14:paraId="0D5088BE" w14:textId="77777777" w:rsidR="003927AE" w:rsidRPr="00614552" w:rsidRDefault="003927AE" w:rsidP="008C28EE">
      <w:pPr>
        <w:tabs>
          <w:tab w:val="left" w:pos="2925"/>
        </w:tabs>
        <w:rPr>
          <w:rStyle w:val="Heading1Char"/>
        </w:rPr>
      </w:pPr>
      <w:r w:rsidRPr="00614552">
        <w:rPr>
          <w:rStyle w:val="Heading1Char"/>
        </w:rPr>
        <w:t>Key challenges</w:t>
      </w:r>
    </w:p>
    <w:p w14:paraId="659A9027" w14:textId="77777777" w:rsidR="008C28EE" w:rsidRDefault="007E77DC" w:rsidP="008C28EE">
      <w:pPr>
        <w:pStyle w:val="ListParagraph"/>
        <w:numPr>
          <w:ilvl w:val="0"/>
          <w:numId w:val="10"/>
        </w:numPr>
        <w:tabs>
          <w:tab w:val="left" w:pos="2925"/>
        </w:tabs>
      </w:pPr>
      <w:r>
        <w:t>Maintaining constantly evolving knowledge of recruitment best practice and supporting the application of current and future workforce resourcing.</w:t>
      </w:r>
    </w:p>
    <w:p w14:paraId="75990BAB" w14:textId="598AA6B3" w:rsidR="003927AE" w:rsidRPr="008C28EE" w:rsidRDefault="007E77DC" w:rsidP="008C28EE">
      <w:pPr>
        <w:pStyle w:val="ListParagraph"/>
        <w:numPr>
          <w:ilvl w:val="0"/>
          <w:numId w:val="10"/>
        </w:numPr>
        <w:tabs>
          <w:tab w:val="left" w:pos="2925"/>
        </w:tabs>
      </w:pPr>
      <w:r>
        <w:t>Supporting a variety of Divisions with different work practices, industrial agreements and delegations.</w:t>
      </w:r>
      <w:r>
        <w:br/>
        <w:t>Influencing Hiring Managers to follow a fair and transparent process based on GSE requirements.</w:t>
      </w:r>
    </w:p>
    <w:p w14:paraId="0B61A7B8"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68A0B0D2"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C6BF66A" w14:textId="77777777" w:rsidR="003927AE" w:rsidRPr="00C978B9" w:rsidRDefault="003927AE" w:rsidP="00A72C86">
            <w:pPr>
              <w:pStyle w:val="TableTextWhite0"/>
            </w:pPr>
            <w:r w:rsidRPr="00C978B9">
              <w:t>Who</w:t>
            </w:r>
          </w:p>
        </w:tc>
        <w:tc>
          <w:tcPr>
            <w:tcW w:w="7256" w:type="dxa"/>
          </w:tcPr>
          <w:p w14:paraId="14D91FAB" w14:textId="214842E0" w:rsidR="003927AE" w:rsidRPr="00C978B9" w:rsidRDefault="003927AE" w:rsidP="00A72C86">
            <w:pPr>
              <w:pStyle w:val="TableTextWhite0"/>
            </w:pPr>
            <w:r w:rsidRPr="00C978B9">
              <w:t>Why</w:t>
            </w:r>
          </w:p>
        </w:tc>
      </w:tr>
      <w:tr w:rsidR="003927AE" w:rsidRPr="00A8245E" w14:paraId="25685BA2" w14:textId="77777777" w:rsidTr="00E55704">
        <w:tc>
          <w:tcPr>
            <w:tcW w:w="3601" w:type="dxa"/>
            <w:shd w:val="clear" w:color="auto" w:fill="BCBEC0"/>
          </w:tcPr>
          <w:p w14:paraId="77AC4FFD"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288585BD" w14:textId="77777777" w:rsidR="003927AE" w:rsidRPr="00A8245E" w:rsidRDefault="003927AE" w:rsidP="00A72C86">
            <w:pPr>
              <w:pStyle w:val="TableText"/>
              <w:keepNext/>
              <w:rPr>
                <w:b/>
              </w:rPr>
            </w:pPr>
          </w:p>
        </w:tc>
      </w:tr>
      <w:tr w:rsidR="003927AE" w:rsidRPr="00C978B9" w14:paraId="51061373" w14:textId="77777777" w:rsidTr="00E55704">
        <w:tc>
          <w:tcPr>
            <w:tcW w:w="3601" w:type="dxa"/>
            <w:tcBorders>
              <w:top w:val="single" w:sz="8" w:space="0" w:color="auto"/>
              <w:bottom w:val="single" w:sz="8" w:space="0" w:color="BCBEC0"/>
            </w:tcBorders>
          </w:tcPr>
          <w:p w14:paraId="2F9023A1" w14:textId="47564FE3" w:rsidR="003927AE" w:rsidRPr="00A15CDB" w:rsidRDefault="003927AE" w:rsidP="00A72C86">
            <w:pPr>
              <w:pStyle w:val="TableText"/>
            </w:pPr>
            <w:r>
              <w:t>Director</w:t>
            </w:r>
            <w:r w:rsidR="0044227D">
              <w:t>/</w:t>
            </w:r>
            <w:r>
              <w:t>Manager</w:t>
            </w:r>
          </w:p>
        </w:tc>
        <w:tc>
          <w:tcPr>
            <w:tcW w:w="7256" w:type="dxa"/>
            <w:tcBorders>
              <w:top w:val="single" w:sz="8" w:space="0" w:color="auto"/>
              <w:bottom w:val="single" w:sz="8" w:space="0" w:color="BCBEC0"/>
            </w:tcBorders>
          </w:tcPr>
          <w:p w14:paraId="47B39FCB" w14:textId="3A411101" w:rsidR="003927AE" w:rsidRPr="00A15CDB" w:rsidRDefault="0044227D" w:rsidP="008408F9">
            <w:pPr>
              <w:pStyle w:val="TableText"/>
              <w:numPr>
                <w:ilvl w:val="0"/>
                <w:numId w:val="3"/>
              </w:numPr>
              <w:ind w:left="451"/>
            </w:pPr>
            <w:r>
              <w:t>Seek advice and guidance and share information.</w:t>
            </w:r>
          </w:p>
        </w:tc>
      </w:tr>
      <w:tr w:rsidR="003927AE" w:rsidRPr="00C978B9" w14:paraId="1BDC0415" w14:textId="77777777" w:rsidTr="00E55704">
        <w:tc>
          <w:tcPr>
            <w:tcW w:w="3601" w:type="dxa"/>
            <w:tcBorders>
              <w:top w:val="single" w:sz="8" w:space="0" w:color="auto"/>
              <w:bottom w:val="single" w:sz="8" w:space="0" w:color="BCBEC0"/>
            </w:tcBorders>
          </w:tcPr>
          <w:p w14:paraId="71250169" w14:textId="77777777" w:rsidR="003927AE" w:rsidRPr="00A15CDB" w:rsidRDefault="003927AE" w:rsidP="00A72C86">
            <w:pPr>
              <w:pStyle w:val="TableText"/>
            </w:pPr>
            <w:r>
              <w:t>Hiring Managers</w:t>
            </w:r>
          </w:p>
        </w:tc>
        <w:tc>
          <w:tcPr>
            <w:tcW w:w="7256" w:type="dxa"/>
            <w:tcBorders>
              <w:top w:val="single" w:sz="8" w:space="0" w:color="auto"/>
              <w:bottom w:val="single" w:sz="8" w:space="0" w:color="BCBEC0"/>
            </w:tcBorders>
          </w:tcPr>
          <w:p w14:paraId="33B402CB" w14:textId="6D362F26" w:rsidR="003927AE" w:rsidRPr="00A15CDB" w:rsidRDefault="003927AE" w:rsidP="008408F9">
            <w:pPr>
              <w:pStyle w:val="TableText"/>
              <w:numPr>
                <w:ilvl w:val="0"/>
                <w:numId w:val="3"/>
              </w:numPr>
              <w:ind w:left="451"/>
            </w:pPr>
            <w:r>
              <w:t>Manage relationships and provide expert recruitment advice, guidance and support</w:t>
            </w:r>
            <w:r w:rsidR="0044227D">
              <w:t>.</w:t>
            </w:r>
          </w:p>
        </w:tc>
      </w:tr>
      <w:tr w:rsidR="0044227D" w:rsidRPr="00C978B9" w14:paraId="765E1F2F" w14:textId="77777777" w:rsidTr="00E55704">
        <w:tc>
          <w:tcPr>
            <w:tcW w:w="3601" w:type="dxa"/>
            <w:tcBorders>
              <w:top w:val="single" w:sz="8" w:space="0" w:color="auto"/>
              <w:bottom w:val="single" w:sz="8" w:space="0" w:color="BCBEC0"/>
            </w:tcBorders>
          </w:tcPr>
          <w:p w14:paraId="21C0B85C" w14:textId="4F548B13" w:rsidR="0044227D" w:rsidRDefault="0044227D" w:rsidP="00A72C86">
            <w:pPr>
              <w:pStyle w:val="TableText"/>
            </w:pPr>
            <w:r>
              <w:t>Team</w:t>
            </w:r>
          </w:p>
        </w:tc>
        <w:tc>
          <w:tcPr>
            <w:tcW w:w="7256" w:type="dxa"/>
            <w:tcBorders>
              <w:top w:val="single" w:sz="8" w:space="0" w:color="auto"/>
              <w:bottom w:val="single" w:sz="8" w:space="0" w:color="BCBEC0"/>
            </w:tcBorders>
          </w:tcPr>
          <w:p w14:paraId="37CCDEFE" w14:textId="77777777" w:rsidR="0044227D" w:rsidRDefault="0044227D" w:rsidP="008408F9">
            <w:pPr>
              <w:pStyle w:val="TableText"/>
              <w:numPr>
                <w:ilvl w:val="0"/>
                <w:numId w:val="3"/>
              </w:numPr>
              <w:ind w:left="451"/>
            </w:pPr>
            <w:r>
              <w:t>Work with colleagues to deliver seamless service delivery</w:t>
            </w:r>
          </w:p>
          <w:p w14:paraId="499381A7" w14:textId="77777777" w:rsidR="0044227D" w:rsidRDefault="0044227D" w:rsidP="008408F9">
            <w:pPr>
              <w:pStyle w:val="TableText"/>
              <w:numPr>
                <w:ilvl w:val="0"/>
                <w:numId w:val="3"/>
              </w:numPr>
              <w:ind w:left="451"/>
            </w:pPr>
            <w:r>
              <w:t>Collaborate to share information, discuss issues and opportunities to contribute to achieving business outcomes</w:t>
            </w:r>
          </w:p>
          <w:p w14:paraId="796D6F92" w14:textId="3AE1B32B" w:rsidR="0044227D" w:rsidRDefault="0044227D" w:rsidP="008408F9">
            <w:pPr>
              <w:pStyle w:val="TableText"/>
              <w:numPr>
                <w:ilvl w:val="0"/>
                <w:numId w:val="3"/>
              </w:numPr>
              <w:ind w:left="451"/>
            </w:pPr>
            <w:r>
              <w:t>Foster effective working relationships.</w:t>
            </w:r>
          </w:p>
        </w:tc>
      </w:tr>
      <w:tr w:rsidR="003927AE" w:rsidRPr="00A8245E" w14:paraId="37AB35B2" w14:textId="77777777" w:rsidTr="00E55704">
        <w:tc>
          <w:tcPr>
            <w:tcW w:w="3601" w:type="dxa"/>
            <w:shd w:val="clear" w:color="auto" w:fill="BCBEC0"/>
          </w:tcPr>
          <w:p w14:paraId="62956767"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18ACC917" w14:textId="77777777" w:rsidR="003927AE" w:rsidRPr="00A8245E" w:rsidRDefault="003927AE" w:rsidP="008408F9">
            <w:pPr>
              <w:pStyle w:val="TableText"/>
              <w:keepNext/>
              <w:ind w:left="451"/>
              <w:rPr>
                <w:b/>
              </w:rPr>
            </w:pPr>
          </w:p>
        </w:tc>
      </w:tr>
      <w:tr w:rsidR="003927AE" w:rsidRPr="00C978B9" w14:paraId="6F87F62B" w14:textId="77777777" w:rsidTr="00E55704">
        <w:tc>
          <w:tcPr>
            <w:tcW w:w="3601" w:type="dxa"/>
            <w:tcBorders>
              <w:top w:val="single" w:sz="8" w:space="0" w:color="auto"/>
              <w:bottom w:val="single" w:sz="8" w:space="0" w:color="BCBEC0"/>
            </w:tcBorders>
          </w:tcPr>
          <w:p w14:paraId="3E37CC4D" w14:textId="2E5286BD" w:rsidR="003927AE" w:rsidRPr="00A15CDB" w:rsidRDefault="0044227D" w:rsidP="00A72C86">
            <w:pPr>
              <w:pStyle w:val="TableText"/>
            </w:pPr>
            <w:r>
              <w:t>Stakeholders</w:t>
            </w:r>
          </w:p>
        </w:tc>
        <w:tc>
          <w:tcPr>
            <w:tcW w:w="7256" w:type="dxa"/>
            <w:tcBorders>
              <w:top w:val="single" w:sz="8" w:space="0" w:color="auto"/>
              <w:bottom w:val="single" w:sz="8" w:space="0" w:color="BCBEC0"/>
            </w:tcBorders>
          </w:tcPr>
          <w:p w14:paraId="7DA56941" w14:textId="77777777" w:rsidR="00EC0899" w:rsidRDefault="003927AE" w:rsidP="008408F9">
            <w:pPr>
              <w:pStyle w:val="TableText"/>
              <w:numPr>
                <w:ilvl w:val="0"/>
                <w:numId w:val="3"/>
              </w:numPr>
              <w:ind w:left="451"/>
            </w:pPr>
            <w:r>
              <w:t>Collaborate on operational issues and emerging processes</w:t>
            </w:r>
          </w:p>
          <w:p w14:paraId="4DC3E729" w14:textId="2F07DB79" w:rsidR="003927AE" w:rsidRPr="00A15CDB" w:rsidRDefault="003927AE" w:rsidP="008408F9">
            <w:pPr>
              <w:pStyle w:val="TableText"/>
              <w:numPr>
                <w:ilvl w:val="0"/>
                <w:numId w:val="3"/>
              </w:numPr>
              <w:ind w:left="451"/>
            </w:pPr>
            <w:r>
              <w:t>Share information regarding issues and status of processes</w:t>
            </w:r>
            <w:r w:rsidR="0044227D">
              <w:t>.</w:t>
            </w:r>
          </w:p>
        </w:tc>
      </w:tr>
    </w:tbl>
    <w:p w14:paraId="4DFBCD80" w14:textId="77777777" w:rsidR="003927AE" w:rsidRDefault="003927AE" w:rsidP="003927AE"/>
    <w:p w14:paraId="50078755" w14:textId="77777777" w:rsidR="003927AE" w:rsidRDefault="003927AE" w:rsidP="003927AE">
      <w:pPr>
        <w:pStyle w:val="Heading1"/>
        <w:rPr>
          <w:sz w:val="28"/>
        </w:rPr>
      </w:pPr>
      <w:r w:rsidRPr="00614552">
        <w:t>Role dimensions</w:t>
      </w:r>
    </w:p>
    <w:p w14:paraId="4BDFADEE" w14:textId="77777777" w:rsidR="003927AE" w:rsidRPr="00614552" w:rsidRDefault="003927AE" w:rsidP="003927AE">
      <w:pPr>
        <w:pStyle w:val="Heading2"/>
      </w:pPr>
      <w:r w:rsidRPr="00614552">
        <w:t>Decision making</w:t>
      </w:r>
    </w:p>
    <w:p w14:paraId="5F206C6F" w14:textId="77777777" w:rsidR="008C28EE" w:rsidRPr="008C28EE" w:rsidRDefault="003927AE" w:rsidP="008C28EE">
      <w:pPr>
        <w:pStyle w:val="ListParagraph"/>
        <w:numPr>
          <w:ilvl w:val="0"/>
          <w:numId w:val="11"/>
        </w:numPr>
        <w:rPr>
          <w:rFonts w:cs="Arial"/>
          <w:szCs w:val="26"/>
        </w:rPr>
      </w:pPr>
      <w:r>
        <w:t>Prioritises and manages day to day demands including matters with critical turnaround times required by internal clients.</w:t>
      </w:r>
    </w:p>
    <w:p w14:paraId="79ECCA84" w14:textId="2E425BBF" w:rsidR="003927AE" w:rsidRPr="008C28EE" w:rsidRDefault="003927AE" w:rsidP="008C28EE">
      <w:pPr>
        <w:pStyle w:val="ListParagraph"/>
        <w:numPr>
          <w:ilvl w:val="0"/>
          <w:numId w:val="11"/>
        </w:numPr>
        <w:rPr>
          <w:rFonts w:cs="Arial"/>
          <w:szCs w:val="26"/>
        </w:rPr>
      </w:pPr>
      <w:r>
        <w:t>Makes day to day decisions and provides guidance on appropriate courses of action that might be taken to address issues and defers to the Manager on more complex and contentious issues.</w:t>
      </w:r>
    </w:p>
    <w:p w14:paraId="0C223540" w14:textId="77777777" w:rsidR="003927AE" w:rsidRPr="00614552" w:rsidRDefault="003927AE" w:rsidP="003927AE">
      <w:pPr>
        <w:pStyle w:val="Heading2"/>
      </w:pPr>
      <w:r w:rsidRPr="00614552">
        <w:lastRenderedPageBreak/>
        <w:t>Reporting line</w:t>
      </w:r>
    </w:p>
    <w:p w14:paraId="17617F24" w14:textId="707B9AB7" w:rsidR="003927AE" w:rsidRPr="00603D53" w:rsidRDefault="0044227D" w:rsidP="003927AE">
      <w:pPr>
        <w:rPr>
          <w:rFonts w:cs="Arial"/>
          <w:szCs w:val="26"/>
        </w:rPr>
      </w:pPr>
      <w:r>
        <w:t>Talent Acquisition</w:t>
      </w:r>
      <w:r w:rsidR="003927AE">
        <w:t xml:space="preserve"> Partner</w:t>
      </w:r>
    </w:p>
    <w:p w14:paraId="125745F9" w14:textId="77777777" w:rsidR="003927AE" w:rsidRPr="00614552" w:rsidRDefault="003927AE" w:rsidP="003927AE">
      <w:pPr>
        <w:pStyle w:val="Heading2"/>
      </w:pPr>
      <w:r w:rsidRPr="00614552">
        <w:t>Direct reports</w:t>
      </w:r>
    </w:p>
    <w:p w14:paraId="39241648" w14:textId="77777777" w:rsidR="003927AE" w:rsidRPr="00603D53" w:rsidRDefault="003927AE" w:rsidP="003927AE">
      <w:pPr>
        <w:rPr>
          <w:rFonts w:cs="Arial"/>
          <w:szCs w:val="26"/>
        </w:rPr>
      </w:pPr>
      <w:r>
        <w:t>Nil</w:t>
      </w:r>
    </w:p>
    <w:p w14:paraId="3877A42B" w14:textId="77777777" w:rsidR="003927AE" w:rsidRPr="00614552" w:rsidRDefault="003927AE" w:rsidP="003927AE">
      <w:pPr>
        <w:pStyle w:val="Heading2"/>
      </w:pPr>
      <w:r w:rsidRPr="00614552">
        <w:t>Budget/Expenditure</w:t>
      </w:r>
    </w:p>
    <w:p w14:paraId="60E1E18E" w14:textId="77777777" w:rsidR="003927AE" w:rsidRDefault="003927AE" w:rsidP="003927AE">
      <w:pPr>
        <w:rPr>
          <w:rFonts w:cs="Arial"/>
          <w:szCs w:val="26"/>
        </w:rPr>
      </w:pPr>
      <w:r>
        <w:t>Nil</w:t>
      </w:r>
    </w:p>
    <w:p w14:paraId="5496FFEB" w14:textId="398F05A1" w:rsidR="003927AE" w:rsidRDefault="0044227D" w:rsidP="003927AE">
      <w:pPr>
        <w:tabs>
          <w:tab w:val="left" w:pos="2925"/>
        </w:tabs>
        <w:rPr>
          <w:rStyle w:val="Heading1Char"/>
        </w:rPr>
      </w:pPr>
      <w:r>
        <w:rPr>
          <w:rStyle w:val="Heading1Char"/>
        </w:rPr>
        <w:t>Key knowledge and experience</w:t>
      </w:r>
    </w:p>
    <w:p w14:paraId="3FE4B376" w14:textId="77777777" w:rsidR="003927AE" w:rsidRPr="0044227D" w:rsidRDefault="003927AE" w:rsidP="0044227D">
      <w:pPr>
        <w:pStyle w:val="ListParagraph"/>
        <w:numPr>
          <w:ilvl w:val="0"/>
          <w:numId w:val="12"/>
        </w:numPr>
        <w:rPr>
          <w:rFonts w:cs="Arial"/>
          <w:szCs w:val="26"/>
        </w:rPr>
      </w:pPr>
      <w:r>
        <w:t>Sound experience in recruitment best practice including recruitment approaches, marketing and social media initiatives and policies, processes and legislative requirements.</w:t>
      </w:r>
    </w:p>
    <w:p w14:paraId="43C58E95" w14:textId="77777777" w:rsidR="003927AE" w:rsidRPr="00C978B9" w:rsidRDefault="003927AE" w:rsidP="003927AE">
      <w:pPr>
        <w:pStyle w:val="Heading1"/>
      </w:pPr>
      <w:r w:rsidRPr="00C978B9">
        <w:t>Capabilities for the role</w:t>
      </w:r>
    </w:p>
    <w:p w14:paraId="0CFBC65E" w14:textId="77777777" w:rsidR="003927AE" w:rsidRPr="00175AAF" w:rsidRDefault="003927AE" w:rsidP="003927A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F5CEA1"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E04BF18" w14:textId="77777777" w:rsidR="003927AE" w:rsidRPr="00C978B9" w:rsidRDefault="003927AE" w:rsidP="003927AE">
      <w:pPr>
        <w:pStyle w:val="Heading1"/>
      </w:pPr>
      <w:r w:rsidRPr="00C978B9">
        <w:t xml:space="preserve">Focus </w:t>
      </w:r>
      <w:r>
        <w:t>c</w:t>
      </w:r>
      <w:r w:rsidRPr="00C978B9">
        <w:t>apabilities</w:t>
      </w:r>
    </w:p>
    <w:p w14:paraId="5723D5EE"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4D2FFFA"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7DB2DE9A"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C978B9" w14:paraId="630A1CAC" w14:textId="77777777" w:rsidTr="00EF7F74">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3A91DCCB" w14:textId="77777777" w:rsidR="003927AE" w:rsidRPr="00C978B9" w:rsidRDefault="003927AE" w:rsidP="008408F9">
            <w:pPr>
              <w:pStyle w:val="TableText"/>
              <w:rPr>
                <w:b/>
                <w:sz w:val="24"/>
                <w:szCs w:val="24"/>
              </w:rPr>
            </w:pPr>
            <w:r>
              <w:rPr>
                <w:b/>
              </w:rPr>
              <w:t>Capability group/sets</w:t>
            </w:r>
          </w:p>
        </w:tc>
        <w:tc>
          <w:tcPr>
            <w:tcW w:w="2881" w:type="dxa"/>
            <w:tcBorders>
              <w:bottom w:val="single" w:sz="12" w:space="0" w:color="auto"/>
            </w:tcBorders>
            <w:shd w:val="clear" w:color="auto" w:fill="BCBEC0"/>
          </w:tcPr>
          <w:p w14:paraId="08D03DE1" w14:textId="77777777" w:rsidR="003927AE" w:rsidRPr="00C978B9" w:rsidRDefault="003927AE" w:rsidP="008408F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7E283F5" w14:textId="77777777" w:rsidR="003927AE" w:rsidRDefault="003927AE" w:rsidP="008408F9">
            <w:pPr>
              <w:pStyle w:val="TableText"/>
              <w:rPr>
                <w:b/>
              </w:rPr>
            </w:pPr>
          </w:p>
        </w:tc>
        <w:tc>
          <w:tcPr>
            <w:tcW w:w="4770" w:type="dxa"/>
            <w:tcBorders>
              <w:bottom w:val="single" w:sz="12" w:space="0" w:color="auto"/>
            </w:tcBorders>
            <w:shd w:val="clear" w:color="auto" w:fill="BCBEC0"/>
          </w:tcPr>
          <w:p w14:paraId="07ED0FB8" w14:textId="77777777" w:rsidR="003927AE" w:rsidRDefault="003927AE" w:rsidP="008408F9">
            <w:pPr>
              <w:pStyle w:val="TableText"/>
              <w:rPr>
                <w:b/>
              </w:rPr>
            </w:pPr>
            <w:r>
              <w:rPr>
                <w:b/>
              </w:rPr>
              <w:t>Behavioural indicators</w:t>
            </w:r>
          </w:p>
        </w:tc>
        <w:tc>
          <w:tcPr>
            <w:tcW w:w="1606" w:type="dxa"/>
            <w:tcBorders>
              <w:bottom w:val="single" w:sz="12" w:space="0" w:color="auto"/>
            </w:tcBorders>
            <w:shd w:val="clear" w:color="auto" w:fill="BCBEC0"/>
          </w:tcPr>
          <w:p w14:paraId="2C80C4C9" w14:textId="77777777" w:rsidR="003927AE" w:rsidRDefault="003927AE" w:rsidP="008408F9">
            <w:pPr>
              <w:pStyle w:val="TableText"/>
              <w:jc w:val="both"/>
              <w:rPr>
                <w:b/>
              </w:rPr>
            </w:pPr>
            <w:r>
              <w:rPr>
                <w:b/>
              </w:rPr>
              <w:t xml:space="preserve">Level </w:t>
            </w:r>
          </w:p>
        </w:tc>
      </w:tr>
      <w:tr w:rsidR="002D336D" w:rsidRPr="00C978B9" w14:paraId="5AC89061" w14:textId="77777777" w:rsidTr="00EF7F74">
        <w:trPr>
          <w:cantSplit/>
        </w:trPr>
        <w:tc>
          <w:tcPr>
            <w:tcW w:w="1406" w:type="dxa"/>
            <w:vMerge w:val="restart"/>
            <w:tcBorders>
              <w:bottom w:val="single" w:sz="4" w:space="0" w:color="BCBEC0"/>
            </w:tcBorders>
          </w:tcPr>
          <w:p w14:paraId="54AAD939" w14:textId="77777777" w:rsidR="002D336D" w:rsidRPr="00C978B9" w:rsidRDefault="002D336D" w:rsidP="008408F9">
            <w:r w:rsidRPr="00C978B9">
              <w:rPr>
                <w:noProof/>
                <w:lang w:eastAsia="en-AU"/>
              </w:rPr>
              <w:drawing>
                <wp:inline distT="0" distB="0" distL="0" distR="0" wp14:anchorId="438FB904" wp14:editId="7BB9A05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95C501A" w14:textId="77777777" w:rsidR="002D336D" w:rsidRPr="00A8226F" w:rsidRDefault="002D336D" w:rsidP="008408F9">
            <w:pPr>
              <w:pStyle w:val="TableText"/>
              <w:rPr>
                <w:b/>
              </w:rPr>
            </w:pPr>
            <w:r>
              <w:rPr>
                <w:b/>
              </w:rPr>
              <w:t>Act with Integrity</w:t>
            </w:r>
          </w:p>
          <w:p w14:paraId="2579BA9B" w14:textId="77777777" w:rsidR="002D336D" w:rsidRPr="00AA57E3" w:rsidRDefault="002D336D" w:rsidP="008408F9">
            <w:pPr>
              <w:pStyle w:val="TableText"/>
            </w:pPr>
            <w:r>
              <w:t>Be ethical and professional, and uphold and promote the public sector values</w:t>
            </w:r>
          </w:p>
        </w:tc>
        <w:tc>
          <w:tcPr>
            <w:tcW w:w="4770" w:type="dxa"/>
            <w:tcBorders>
              <w:bottom w:val="single" w:sz="4" w:space="0" w:color="BCBEC0"/>
            </w:tcBorders>
          </w:tcPr>
          <w:p w14:paraId="49F898E3" w14:textId="77777777" w:rsidR="002D336D" w:rsidRPr="00AA57E3" w:rsidRDefault="002D336D" w:rsidP="008408F9">
            <w:pPr>
              <w:pStyle w:val="TableBullet"/>
            </w:pPr>
            <w:r>
              <w:t>Represent the organisation in an honest, ethical and professional way and encourage others to do so</w:t>
            </w:r>
          </w:p>
          <w:p w14:paraId="610E085E" w14:textId="77777777" w:rsidR="002D336D" w:rsidRPr="00AA57E3" w:rsidRDefault="002D336D" w:rsidP="008408F9">
            <w:pPr>
              <w:pStyle w:val="TableBullet"/>
            </w:pPr>
            <w:r>
              <w:t>Act professionally and support a culture of integrity</w:t>
            </w:r>
          </w:p>
          <w:p w14:paraId="7263D80F" w14:textId="77777777" w:rsidR="002D336D" w:rsidRPr="00AA57E3" w:rsidRDefault="002D336D" w:rsidP="008408F9">
            <w:pPr>
              <w:pStyle w:val="TableBullet"/>
            </w:pPr>
            <w:r>
              <w:t>Identify and explain ethical issues and set an example for others to follow</w:t>
            </w:r>
          </w:p>
          <w:p w14:paraId="7B64B673" w14:textId="77777777" w:rsidR="002D336D" w:rsidRPr="00AA57E3" w:rsidRDefault="002D336D" w:rsidP="008408F9">
            <w:pPr>
              <w:pStyle w:val="TableBullet"/>
            </w:pPr>
            <w:r>
              <w:t>Ensure that others are aware of and understand the legislation and policy framework within which they operate</w:t>
            </w:r>
          </w:p>
          <w:p w14:paraId="61B8557B" w14:textId="77777777" w:rsidR="002D336D" w:rsidRPr="00AA57E3" w:rsidRDefault="002D336D" w:rsidP="008408F9">
            <w:pPr>
              <w:pStyle w:val="TableBullet"/>
            </w:pPr>
            <w:r>
              <w:t>Act to prevent and report misconduct and illegal and inappropriate behaviour</w:t>
            </w:r>
          </w:p>
        </w:tc>
        <w:tc>
          <w:tcPr>
            <w:tcW w:w="1606" w:type="dxa"/>
            <w:tcBorders>
              <w:bottom w:val="single" w:sz="4" w:space="0" w:color="BCBEC0"/>
            </w:tcBorders>
          </w:tcPr>
          <w:p w14:paraId="77B44BB0" w14:textId="77777777" w:rsidR="002D336D" w:rsidRDefault="00F15669" w:rsidP="008408F9">
            <w:pPr>
              <w:pStyle w:val="TableBullet"/>
              <w:numPr>
                <w:ilvl w:val="0"/>
                <w:numId w:val="0"/>
              </w:numPr>
              <w:jc w:val="both"/>
            </w:pPr>
            <w:r>
              <w:t>Adept</w:t>
            </w:r>
          </w:p>
        </w:tc>
      </w:tr>
      <w:tr w:rsidR="002D336D" w:rsidRPr="00C978B9" w14:paraId="29A4F641" w14:textId="77777777" w:rsidTr="00EF7F74">
        <w:trPr>
          <w:cantSplit/>
        </w:trPr>
        <w:tc>
          <w:tcPr>
            <w:tcW w:w="1406" w:type="dxa"/>
            <w:tcBorders>
              <w:bottom w:val="single" w:sz="4" w:space="0" w:color="BCBEC0"/>
            </w:tcBorders>
          </w:tcPr>
          <w:p w14:paraId="4E89576B" w14:textId="77777777" w:rsidR="002D336D" w:rsidRPr="00C978B9" w:rsidRDefault="002D336D" w:rsidP="008408F9">
            <w:r w:rsidRPr="00C978B9">
              <w:rPr>
                <w:noProof/>
                <w:lang w:eastAsia="en-AU"/>
              </w:rPr>
              <w:lastRenderedPageBreak/>
              <w:drawing>
                <wp:inline distT="0" distB="0" distL="0" distR="0" wp14:anchorId="287FE793" wp14:editId="4DE3B3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5EB9325" w14:textId="77777777" w:rsidR="002D336D" w:rsidRPr="00A8226F" w:rsidRDefault="002D336D" w:rsidP="008408F9">
            <w:pPr>
              <w:pStyle w:val="TableText"/>
              <w:rPr>
                <w:b/>
              </w:rPr>
            </w:pPr>
            <w:r>
              <w:rPr>
                <w:b/>
              </w:rPr>
              <w:t>Communicate Effectively</w:t>
            </w:r>
          </w:p>
          <w:p w14:paraId="39789BCD" w14:textId="77777777" w:rsidR="002D336D" w:rsidRPr="00AA57E3" w:rsidRDefault="002D336D" w:rsidP="008408F9">
            <w:pPr>
              <w:pStyle w:val="TableText"/>
            </w:pPr>
            <w:r>
              <w:t>Communicate clearly, actively listen to others, and respond with understanding and respect</w:t>
            </w:r>
          </w:p>
        </w:tc>
        <w:tc>
          <w:tcPr>
            <w:tcW w:w="4770" w:type="dxa"/>
            <w:tcBorders>
              <w:bottom w:val="single" w:sz="4" w:space="0" w:color="BCBEC0"/>
            </w:tcBorders>
          </w:tcPr>
          <w:p w14:paraId="62FDEB80" w14:textId="77777777" w:rsidR="002D336D" w:rsidRPr="00AA57E3" w:rsidRDefault="002D336D" w:rsidP="008408F9">
            <w:pPr>
              <w:pStyle w:val="TableBullet"/>
            </w:pPr>
            <w:r>
              <w:t>Tailor communication to diverse audiences</w:t>
            </w:r>
          </w:p>
          <w:p w14:paraId="42407A25" w14:textId="77777777" w:rsidR="002D336D" w:rsidRPr="00AA57E3" w:rsidRDefault="002D336D" w:rsidP="008408F9">
            <w:pPr>
              <w:pStyle w:val="TableBullet"/>
            </w:pPr>
            <w:r>
              <w:t>Clearly explain complex concepts and arguments to individuals and groups</w:t>
            </w:r>
          </w:p>
          <w:p w14:paraId="3E9AC5D1" w14:textId="77777777" w:rsidR="002D336D" w:rsidRPr="00AA57E3" w:rsidRDefault="002D336D" w:rsidP="008408F9">
            <w:pPr>
              <w:pStyle w:val="TableBullet"/>
            </w:pPr>
            <w:r>
              <w:t>Create opportunities for others to be heard, listen attentively and encourage them to express their views</w:t>
            </w:r>
          </w:p>
          <w:p w14:paraId="52A3BDBD" w14:textId="77777777" w:rsidR="002D336D" w:rsidRPr="00AA57E3" w:rsidRDefault="002D336D" w:rsidP="008408F9">
            <w:pPr>
              <w:pStyle w:val="TableBullet"/>
            </w:pPr>
            <w:r>
              <w:t>Share information across teams and units to enable informed decision making</w:t>
            </w:r>
          </w:p>
          <w:p w14:paraId="6EB2DB31" w14:textId="77777777" w:rsidR="002D336D" w:rsidRPr="00AA57E3" w:rsidRDefault="002D336D" w:rsidP="008408F9">
            <w:pPr>
              <w:pStyle w:val="TableBullet"/>
            </w:pPr>
            <w:r>
              <w:t>Write fluently in plain English and in a range of styles and formats</w:t>
            </w:r>
          </w:p>
          <w:p w14:paraId="5E8FD757" w14:textId="77777777" w:rsidR="002D336D" w:rsidRPr="00AA57E3" w:rsidRDefault="002D336D" w:rsidP="008408F9">
            <w:pPr>
              <w:pStyle w:val="TableBullet"/>
            </w:pPr>
            <w:r>
              <w:t>Use contemporary communication channels to share information, engage and interact with diverse audiences</w:t>
            </w:r>
          </w:p>
        </w:tc>
        <w:tc>
          <w:tcPr>
            <w:tcW w:w="1606" w:type="dxa"/>
            <w:tcBorders>
              <w:bottom w:val="single" w:sz="4" w:space="0" w:color="BCBEC0"/>
            </w:tcBorders>
          </w:tcPr>
          <w:p w14:paraId="4F451E37" w14:textId="77777777" w:rsidR="002D336D" w:rsidRDefault="00F15669" w:rsidP="008408F9">
            <w:pPr>
              <w:pStyle w:val="TableBullet"/>
              <w:numPr>
                <w:ilvl w:val="0"/>
                <w:numId w:val="0"/>
              </w:numPr>
              <w:jc w:val="both"/>
            </w:pPr>
            <w:r>
              <w:t>Adept</w:t>
            </w:r>
          </w:p>
        </w:tc>
      </w:tr>
      <w:tr w:rsidR="002D336D" w:rsidRPr="00C978B9" w14:paraId="6F7BA8B8" w14:textId="77777777" w:rsidTr="00EF7F74">
        <w:trPr>
          <w:cantSplit/>
        </w:trPr>
        <w:tc>
          <w:tcPr>
            <w:tcW w:w="1406" w:type="dxa"/>
            <w:tcBorders>
              <w:bottom w:val="single" w:sz="4" w:space="0" w:color="BCBEC0"/>
            </w:tcBorders>
          </w:tcPr>
          <w:p w14:paraId="3887E006" w14:textId="25B21E41" w:rsidR="002D336D" w:rsidRDefault="00EF7F74" w:rsidP="008408F9">
            <w:pPr>
              <w:rPr>
                <w:noProof/>
                <w:lang w:eastAsia="en-AU"/>
              </w:rPr>
            </w:pPr>
            <w:r w:rsidRPr="00C978B9">
              <w:rPr>
                <w:noProof/>
                <w:lang w:eastAsia="en-AU"/>
              </w:rPr>
              <w:drawing>
                <wp:inline distT="0" distB="0" distL="0" distR="0" wp14:anchorId="3D3F7117" wp14:editId="45E25227">
                  <wp:extent cx="854016" cy="854016"/>
                  <wp:effectExtent l="0" t="0" r="3810" b="3810"/>
                  <wp:docPr id="787190546"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FAA19CD" w14:textId="77777777" w:rsidR="000411F6" w:rsidRPr="00A8226F" w:rsidRDefault="000411F6" w:rsidP="008408F9">
            <w:pPr>
              <w:pStyle w:val="TableText"/>
              <w:rPr>
                <w:b/>
              </w:rPr>
            </w:pPr>
            <w:r>
              <w:rPr>
                <w:b/>
              </w:rPr>
              <w:t>Commit to Customer Service</w:t>
            </w:r>
          </w:p>
          <w:p w14:paraId="4BAC9C39" w14:textId="77777777" w:rsidR="002D336D" w:rsidRPr="00A8226F" w:rsidRDefault="000411F6" w:rsidP="008408F9">
            <w:pPr>
              <w:pStyle w:val="TableText"/>
              <w:rPr>
                <w:b/>
              </w:rPr>
            </w:pPr>
            <w:r>
              <w:t>Provide customer-focused services in line with public sector and organisational objectives</w:t>
            </w:r>
          </w:p>
        </w:tc>
        <w:tc>
          <w:tcPr>
            <w:tcW w:w="4770" w:type="dxa"/>
            <w:tcBorders>
              <w:bottom w:val="single" w:sz="4" w:space="0" w:color="BCBEC0"/>
            </w:tcBorders>
          </w:tcPr>
          <w:p w14:paraId="5BE4C2DE" w14:textId="77777777" w:rsidR="002D336D" w:rsidRDefault="002D336D" w:rsidP="008408F9">
            <w:pPr>
              <w:pStyle w:val="TableBullet"/>
            </w:pPr>
            <w:r>
              <w:t>Take responsibility for delivering high-quality customer-focused services</w:t>
            </w:r>
          </w:p>
          <w:p w14:paraId="7214A227" w14:textId="77777777" w:rsidR="002D336D" w:rsidRDefault="002D336D" w:rsidP="008408F9">
            <w:pPr>
              <w:pStyle w:val="TableBullet"/>
            </w:pPr>
            <w:r>
              <w:t>Design processes and policies based on the customer’s point of view and needs</w:t>
            </w:r>
          </w:p>
          <w:p w14:paraId="1C9D9467" w14:textId="77777777" w:rsidR="002D336D" w:rsidRDefault="002D336D" w:rsidP="008408F9">
            <w:pPr>
              <w:pStyle w:val="TableBullet"/>
            </w:pPr>
            <w:r>
              <w:t>Understand and measure what is important to customers</w:t>
            </w:r>
          </w:p>
          <w:p w14:paraId="6452EBFD" w14:textId="77777777" w:rsidR="002D336D" w:rsidRDefault="002D336D" w:rsidP="008408F9">
            <w:pPr>
              <w:pStyle w:val="TableBullet"/>
            </w:pPr>
            <w:r>
              <w:t>Use data and information to monitor and improve customer service delivery</w:t>
            </w:r>
          </w:p>
          <w:p w14:paraId="5C342811" w14:textId="77777777" w:rsidR="002D336D" w:rsidRDefault="002D336D" w:rsidP="008408F9">
            <w:pPr>
              <w:pStyle w:val="TableBullet"/>
            </w:pPr>
            <w:r>
              <w:t>Find opportunities to cooperate with internal and external stakeholders to improve outcomes for customers</w:t>
            </w:r>
          </w:p>
          <w:p w14:paraId="57F2083D" w14:textId="77777777" w:rsidR="002D336D" w:rsidRDefault="002D336D" w:rsidP="008408F9">
            <w:pPr>
              <w:pStyle w:val="TableBullet"/>
            </w:pPr>
            <w:r>
              <w:t>Maintain relationships with key customers in area of expertise</w:t>
            </w:r>
          </w:p>
          <w:p w14:paraId="7B32F3DC" w14:textId="77777777" w:rsidR="002D336D" w:rsidRDefault="002D336D" w:rsidP="008408F9">
            <w:pPr>
              <w:pStyle w:val="TableBullet"/>
            </w:pPr>
            <w:r>
              <w:t>Connect and collaborate with relevant customers within the community</w:t>
            </w:r>
          </w:p>
        </w:tc>
        <w:tc>
          <w:tcPr>
            <w:tcW w:w="1606" w:type="dxa"/>
            <w:tcBorders>
              <w:bottom w:val="single" w:sz="4" w:space="0" w:color="BCBEC0"/>
            </w:tcBorders>
          </w:tcPr>
          <w:p w14:paraId="6CC227BF" w14:textId="77777777" w:rsidR="002D336D" w:rsidRDefault="007C0486" w:rsidP="008408F9">
            <w:pPr>
              <w:pStyle w:val="TableBullet"/>
              <w:numPr>
                <w:ilvl w:val="0"/>
                <w:numId w:val="0"/>
              </w:numPr>
              <w:jc w:val="both"/>
            </w:pPr>
            <w:r>
              <w:t>Adept</w:t>
            </w:r>
          </w:p>
        </w:tc>
      </w:tr>
      <w:tr w:rsidR="002D336D" w:rsidRPr="00C978B9" w14:paraId="714982E6" w14:textId="77777777" w:rsidTr="00EF7F74">
        <w:trPr>
          <w:cantSplit/>
        </w:trPr>
        <w:tc>
          <w:tcPr>
            <w:tcW w:w="1406" w:type="dxa"/>
            <w:tcBorders>
              <w:bottom w:val="single" w:sz="4" w:space="0" w:color="BCBEC0"/>
            </w:tcBorders>
          </w:tcPr>
          <w:p w14:paraId="27F101CD" w14:textId="77777777" w:rsidR="002D336D" w:rsidRPr="00C978B9" w:rsidRDefault="002D336D" w:rsidP="008408F9">
            <w:r w:rsidRPr="00C978B9">
              <w:rPr>
                <w:noProof/>
                <w:lang w:eastAsia="en-AU"/>
              </w:rPr>
              <w:drawing>
                <wp:inline distT="0" distB="0" distL="0" distR="0" wp14:anchorId="3376225B" wp14:editId="5610D73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3DED6BC" w14:textId="77777777" w:rsidR="002D336D" w:rsidRPr="00A8226F" w:rsidRDefault="002D336D" w:rsidP="008408F9">
            <w:pPr>
              <w:pStyle w:val="TableText"/>
              <w:rPr>
                <w:b/>
              </w:rPr>
            </w:pPr>
            <w:r>
              <w:rPr>
                <w:b/>
              </w:rPr>
              <w:t>Deliver Results</w:t>
            </w:r>
          </w:p>
          <w:p w14:paraId="76E0CC26" w14:textId="77777777" w:rsidR="002D336D" w:rsidRPr="00AA57E3" w:rsidRDefault="002D336D" w:rsidP="008408F9">
            <w:pPr>
              <w:pStyle w:val="TableText"/>
            </w:pPr>
            <w:r>
              <w:t>Achieve results through the efficient use of resources and a commitment to quality outcomes</w:t>
            </w:r>
          </w:p>
        </w:tc>
        <w:tc>
          <w:tcPr>
            <w:tcW w:w="4770" w:type="dxa"/>
            <w:tcBorders>
              <w:bottom w:val="single" w:sz="4" w:space="0" w:color="BCBEC0"/>
            </w:tcBorders>
          </w:tcPr>
          <w:p w14:paraId="2904D68D" w14:textId="77777777" w:rsidR="002D336D" w:rsidRPr="00AA57E3" w:rsidRDefault="002D336D" w:rsidP="008408F9">
            <w:pPr>
              <w:pStyle w:val="TableBullet"/>
            </w:pPr>
            <w:r>
              <w:t>Seek and apply specialist advice when required</w:t>
            </w:r>
          </w:p>
          <w:p w14:paraId="39A7A5BB" w14:textId="77777777" w:rsidR="002D336D" w:rsidRPr="00AA57E3" w:rsidRDefault="002D336D" w:rsidP="008408F9">
            <w:pPr>
              <w:pStyle w:val="TableBullet"/>
            </w:pPr>
            <w:r>
              <w:t>Complete work tasks within set budgets, timeframes and standards</w:t>
            </w:r>
          </w:p>
          <w:p w14:paraId="6F8DCDD9" w14:textId="77777777" w:rsidR="002D336D" w:rsidRPr="00AA57E3" w:rsidRDefault="002D336D" w:rsidP="008408F9">
            <w:pPr>
              <w:pStyle w:val="TableBullet"/>
            </w:pPr>
            <w:r>
              <w:t>Take the initiative to progress and deliver own work and that of the team or unit</w:t>
            </w:r>
          </w:p>
          <w:p w14:paraId="2E1EF2A6" w14:textId="77777777" w:rsidR="002D336D" w:rsidRPr="00AA57E3" w:rsidRDefault="002D336D" w:rsidP="008408F9">
            <w:pPr>
              <w:pStyle w:val="TableBullet"/>
            </w:pPr>
            <w:r>
              <w:t>Contribute to allocating responsibilities and resources to ensure the team or unit achieves goals</w:t>
            </w:r>
          </w:p>
          <w:p w14:paraId="744F84AC" w14:textId="77777777" w:rsidR="002D336D" w:rsidRPr="00AA57E3" w:rsidRDefault="002D336D" w:rsidP="008408F9">
            <w:pPr>
              <w:pStyle w:val="TableBullet"/>
            </w:pPr>
            <w:r>
              <w:t>Identify any barriers to achieving results and resolve these where possible</w:t>
            </w:r>
          </w:p>
          <w:p w14:paraId="29A1A76F" w14:textId="77777777" w:rsidR="002D336D" w:rsidRPr="00AA57E3" w:rsidRDefault="002D336D" w:rsidP="008408F9">
            <w:pPr>
              <w:pStyle w:val="TableBullet"/>
            </w:pPr>
            <w:r>
              <w:t>Proactively change or adjust plans when needed</w:t>
            </w:r>
          </w:p>
        </w:tc>
        <w:tc>
          <w:tcPr>
            <w:tcW w:w="1606" w:type="dxa"/>
            <w:tcBorders>
              <w:bottom w:val="single" w:sz="4" w:space="0" w:color="BCBEC0"/>
            </w:tcBorders>
          </w:tcPr>
          <w:p w14:paraId="39A104FF" w14:textId="77777777" w:rsidR="002D336D" w:rsidRDefault="00F15669" w:rsidP="008408F9">
            <w:pPr>
              <w:pStyle w:val="TableBullet"/>
              <w:numPr>
                <w:ilvl w:val="0"/>
                <w:numId w:val="0"/>
              </w:numPr>
              <w:jc w:val="both"/>
            </w:pPr>
            <w:r>
              <w:t>Intermediate</w:t>
            </w:r>
          </w:p>
        </w:tc>
      </w:tr>
      <w:tr w:rsidR="002D336D" w:rsidRPr="00C978B9" w14:paraId="696E30F4" w14:textId="77777777" w:rsidTr="00EF7F74">
        <w:trPr>
          <w:cantSplit/>
        </w:trPr>
        <w:tc>
          <w:tcPr>
            <w:tcW w:w="1406" w:type="dxa"/>
            <w:tcBorders>
              <w:bottom w:val="single" w:sz="4" w:space="0" w:color="BCBEC0"/>
            </w:tcBorders>
          </w:tcPr>
          <w:p w14:paraId="2C2FB0B6" w14:textId="06681956" w:rsidR="002D336D" w:rsidRDefault="00EF7F74" w:rsidP="008408F9">
            <w:pPr>
              <w:rPr>
                <w:noProof/>
                <w:lang w:eastAsia="en-AU"/>
              </w:rPr>
            </w:pPr>
            <w:r w:rsidRPr="00C978B9">
              <w:rPr>
                <w:noProof/>
                <w:lang w:eastAsia="en-AU"/>
              </w:rPr>
              <w:lastRenderedPageBreak/>
              <w:drawing>
                <wp:inline distT="0" distB="0" distL="0" distR="0" wp14:anchorId="62A0B42F" wp14:editId="4A2D54E7">
                  <wp:extent cx="854015" cy="854015"/>
                  <wp:effectExtent l="0" t="0" r="3810" b="3810"/>
                  <wp:docPr id="1946427919"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C9AF309" w14:textId="77777777" w:rsidR="000411F6" w:rsidRPr="00A8226F" w:rsidRDefault="000411F6" w:rsidP="008408F9">
            <w:pPr>
              <w:pStyle w:val="TableText"/>
              <w:rPr>
                <w:b/>
              </w:rPr>
            </w:pPr>
            <w:r>
              <w:rPr>
                <w:b/>
              </w:rPr>
              <w:t>Think and Solve Problems</w:t>
            </w:r>
          </w:p>
          <w:p w14:paraId="1F6A6D99" w14:textId="77777777" w:rsidR="002D336D" w:rsidRPr="00A8226F" w:rsidRDefault="000411F6" w:rsidP="008408F9">
            <w:pPr>
              <w:pStyle w:val="TableText"/>
              <w:rPr>
                <w:b/>
              </w:rPr>
            </w:pPr>
            <w:r>
              <w:t>Think, analyse and consider the broader context to develop practical solutions</w:t>
            </w:r>
          </w:p>
        </w:tc>
        <w:tc>
          <w:tcPr>
            <w:tcW w:w="4770" w:type="dxa"/>
            <w:tcBorders>
              <w:bottom w:val="single" w:sz="4" w:space="0" w:color="BCBEC0"/>
            </w:tcBorders>
          </w:tcPr>
          <w:p w14:paraId="538A051E" w14:textId="77777777" w:rsidR="002D336D" w:rsidRDefault="002D336D" w:rsidP="008408F9">
            <w:pPr>
              <w:pStyle w:val="TableBullet"/>
            </w:pPr>
            <w:r>
              <w:t>Research and apply critical-thinking techniques in analysing information, identify interrelationships and make recommendations based on relevant evidence</w:t>
            </w:r>
          </w:p>
          <w:p w14:paraId="70F32C48" w14:textId="77777777" w:rsidR="002D336D" w:rsidRDefault="002D336D" w:rsidP="008408F9">
            <w:pPr>
              <w:pStyle w:val="TableBullet"/>
            </w:pPr>
            <w:r>
              <w:t>Anticipate, identify and address issues and potential problems that may have an impact on organisational objectives and the user experience</w:t>
            </w:r>
          </w:p>
          <w:p w14:paraId="3BF6C4EF" w14:textId="77777777" w:rsidR="002D336D" w:rsidRDefault="002D336D" w:rsidP="008408F9">
            <w:pPr>
              <w:pStyle w:val="TableBullet"/>
            </w:pPr>
            <w:r>
              <w:t>Apply creative-thinking techniques to generate new ideas and options to address issues and improve the user experience</w:t>
            </w:r>
          </w:p>
          <w:p w14:paraId="04EDEB8E" w14:textId="77777777" w:rsidR="002D336D" w:rsidRDefault="002D336D" w:rsidP="008408F9">
            <w:pPr>
              <w:pStyle w:val="TableBullet"/>
            </w:pPr>
            <w:r>
              <w:t>Seek contributions and ideas from people with diverse backgrounds and experience</w:t>
            </w:r>
          </w:p>
          <w:p w14:paraId="36725B30" w14:textId="77777777" w:rsidR="002D336D" w:rsidRDefault="002D336D" w:rsidP="008408F9">
            <w:pPr>
              <w:pStyle w:val="TableBullet"/>
            </w:pPr>
            <w:r>
              <w:t>Participate in and contribute to team or unit initiatives to resolve common issues or barriers to effectiveness</w:t>
            </w:r>
          </w:p>
          <w:p w14:paraId="5C21078B" w14:textId="77777777" w:rsidR="002D336D" w:rsidRDefault="002D336D" w:rsidP="008408F9">
            <w:pPr>
              <w:pStyle w:val="TableBullet"/>
            </w:pPr>
            <w:r>
              <w:t>Identify and share business process improvements to enhance effectiveness</w:t>
            </w:r>
          </w:p>
        </w:tc>
        <w:tc>
          <w:tcPr>
            <w:tcW w:w="1606" w:type="dxa"/>
            <w:tcBorders>
              <w:bottom w:val="single" w:sz="4" w:space="0" w:color="BCBEC0"/>
            </w:tcBorders>
          </w:tcPr>
          <w:p w14:paraId="7A2B47CB" w14:textId="77777777" w:rsidR="002D336D" w:rsidRDefault="007C0486" w:rsidP="008408F9">
            <w:pPr>
              <w:pStyle w:val="TableBullet"/>
              <w:numPr>
                <w:ilvl w:val="0"/>
                <w:numId w:val="0"/>
              </w:numPr>
              <w:jc w:val="both"/>
            </w:pPr>
            <w:r>
              <w:t>Adept</w:t>
            </w:r>
          </w:p>
        </w:tc>
      </w:tr>
      <w:tr w:rsidR="002D336D" w:rsidRPr="00C978B9" w14:paraId="72187990" w14:textId="77777777" w:rsidTr="00EF7F74">
        <w:trPr>
          <w:cantSplit/>
        </w:trPr>
        <w:tc>
          <w:tcPr>
            <w:tcW w:w="1406" w:type="dxa"/>
            <w:tcBorders>
              <w:bottom w:val="single" w:sz="4" w:space="0" w:color="BCBEC0"/>
            </w:tcBorders>
          </w:tcPr>
          <w:p w14:paraId="443DE149" w14:textId="77777777" w:rsidR="002D336D" w:rsidRPr="00C978B9" w:rsidRDefault="002D336D" w:rsidP="008408F9">
            <w:r w:rsidRPr="00C978B9">
              <w:rPr>
                <w:noProof/>
                <w:lang w:eastAsia="en-AU"/>
              </w:rPr>
              <w:drawing>
                <wp:inline distT="0" distB="0" distL="0" distR="0" wp14:anchorId="70636C28" wp14:editId="31392C6C">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4F88005" w14:textId="77777777" w:rsidR="002D336D" w:rsidRPr="00A8226F" w:rsidRDefault="002D336D" w:rsidP="008408F9">
            <w:pPr>
              <w:pStyle w:val="TableText"/>
              <w:rPr>
                <w:b/>
              </w:rPr>
            </w:pPr>
            <w:r>
              <w:rPr>
                <w:b/>
              </w:rPr>
              <w:t>Technology</w:t>
            </w:r>
          </w:p>
          <w:p w14:paraId="1C53F2C5" w14:textId="77777777" w:rsidR="002D336D" w:rsidRPr="00AA57E3" w:rsidRDefault="002D336D" w:rsidP="008408F9">
            <w:pPr>
              <w:pStyle w:val="TableText"/>
            </w:pPr>
            <w:r>
              <w:t>Understand and use available technologies to maximise efficiencies and effectiveness</w:t>
            </w:r>
          </w:p>
        </w:tc>
        <w:tc>
          <w:tcPr>
            <w:tcW w:w="4770" w:type="dxa"/>
            <w:tcBorders>
              <w:bottom w:val="single" w:sz="4" w:space="0" w:color="BCBEC0"/>
            </w:tcBorders>
          </w:tcPr>
          <w:p w14:paraId="5B9536D2" w14:textId="77777777" w:rsidR="002D336D" w:rsidRPr="00AA57E3" w:rsidRDefault="002D336D" w:rsidP="008408F9">
            <w:pPr>
              <w:pStyle w:val="TableBullet"/>
            </w:pPr>
            <w:r>
              <w:t>Demonstrate a sound understanding of technology relevant to the work unit, and identify and select the most appropriate technology for assigned tasks</w:t>
            </w:r>
          </w:p>
          <w:p w14:paraId="06650C88" w14:textId="77777777" w:rsidR="002D336D" w:rsidRPr="00AA57E3" w:rsidRDefault="002D336D" w:rsidP="008408F9">
            <w:pPr>
              <w:pStyle w:val="TableBullet"/>
            </w:pPr>
            <w:r>
              <w:t>Use available technology to improve individual performance and effectiveness</w:t>
            </w:r>
          </w:p>
          <w:p w14:paraId="6D9E62A5" w14:textId="77777777" w:rsidR="002D336D" w:rsidRPr="00AA57E3" w:rsidRDefault="002D336D" w:rsidP="008408F9">
            <w:pPr>
              <w:pStyle w:val="TableBullet"/>
            </w:pPr>
            <w:r>
              <w:t>Make effective use of records, information and knowledge management functions and systems</w:t>
            </w:r>
          </w:p>
          <w:p w14:paraId="703B3858" w14:textId="77777777" w:rsidR="002D336D" w:rsidRPr="00AA57E3" w:rsidRDefault="002D336D" w:rsidP="008408F9">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2AED7118" w14:textId="77777777" w:rsidR="002D336D" w:rsidRDefault="00F15669" w:rsidP="008408F9">
            <w:pPr>
              <w:pStyle w:val="TableBullet"/>
              <w:numPr>
                <w:ilvl w:val="0"/>
                <w:numId w:val="0"/>
              </w:numPr>
              <w:jc w:val="both"/>
            </w:pPr>
            <w:r>
              <w:t>Intermediate</w:t>
            </w:r>
          </w:p>
        </w:tc>
      </w:tr>
      <w:tr w:rsidR="002D336D" w:rsidRPr="00C978B9" w14:paraId="21D8AE59" w14:textId="77777777" w:rsidTr="00EF7F74">
        <w:trPr>
          <w:cantSplit/>
        </w:trPr>
        <w:tc>
          <w:tcPr>
            <w:tcW w:w="1406" w:type="dxa"/>
            <w:tcBorders>
              <w:bottom w:val="single" w:sz="4" w:space="0" w:color="BCBEC0"/>
            </w:tcBorders>
          </w:tcPr>
          <w:p w14:paraId="2FFC6CF8" w14:textId="4B33B065" w:rsidR="002D336D" w:rsidRDefault="00EF7F74" w:rsidP="008408F9">
            <w:pPr>
              <w:rPr>
                <w:noProof/>
                <w:lang w:eastAsia="en-AU"/>
              </w:rPr>
            </w:pPr>
            <w:r w:rsidRPr="00C978B9">
              <w:rPr>
                <w:noProof/>
                <w:lang w:eastAsia="en-AU"/>
              </w:rPr>
              <w:drawing>
                <wp:inline distT="0" distB="0" distL="0" distR="0" wp14:anchorId="1902EB8F" wp14:editId="201390C3">
                  <wp:extent cx="845388" cy="845388"/>
                  <wp:effectExtent l="0" t="0" r="0" b="0"/>
                  <wp:docPr id="102939054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1ED300D" w14:textId="77777777" w:rsidR="000411F6" w:rsidRPr="00A8226F" w:rsidRDefault="000411F6" w:rsidP="008408F9">
            <w:pPr>
              <w:pStyle w:val="TableText"/>
              <w:rPr>
                <w:b/>
              </w:rPr>
            </w:pPr>
            <w:r>
              <w:rPr>
                <w:b/>
              </w:rPr>
              <w:t>Project Management</w:t>
            </w:r>
          </w:p>
          <w:p w14:paraId="035920EB" w14:textId="77777777" w:rsidR="002D336D" w:rsidRPr="00A8226F" w:rsidRDefault="000411F6" w:rsidP="008408F9">
            <w:pPr>
              <w:pStyle w:val="TableText"/>
              <w:rPr>
                <w:b/>
              </w:rPr>
            </w:pPr>
            <w:r>
              <w:t>Understand and apply effective planning, coordination and control methods</w:t>
            </w:r>
          </w:p>
        </w:tc>
        <w:tc>
          <w:tcPr>
            <w:tcW w:w="4770" w:type="dxa"/>
            <w:tcBorders>
              <w:bottom w:val="single" w:sz="4" w:space="0" w:color="BCBEC0"/>
            </w:tcBorders>
          </w:tcPr>
          <w:p w14:paraId="648CDF46" w14:textId="77777777" w:rsidR="002D336D" w:rsidRDefault="002D336D" w:rsidP="008408F9">
            <w:pPr>
              <w:pStyle w:val="TableBullet"/>
            </w:pPr>
            <w:r>
              <w:t>Understand all components of the project management process, including the need to consider change management to realise business benefits</w:t>
            </w:r>
          </w:p>
          <w:p w14:paraId="0B5E6BE9" w14:textId="77777777" w:rsidR="002D336D" w:rsidRDefault="002D336D" w:rsidP="008408F9">
            <w:pPr>
              <w:pStyle w:val="TableBullet"/>
            </w:pPr>
            <w:r>
              <w:t>Prepare clear project proposals and accurate estimates of required costs and resources</w:t>
            </w:r>
          </w:p>
          <w:p w14:paraId="405E704F" w14:textId="77777777" w:rsidR="002D336D" w:rsidRDefault="002D336D" w:rsidP="008408F9">
            <w:pPr>
              <w:pStyle w:val="TableBullet"/>
            </w:pPr>
            <w:r>
              <w:t>Establish performance outcomes and measures for key project goals, and define monitoring, reporting and communication requirements</w:t>
            </w:r>
          </w:p>
          <w:p w14:paraId="0207560D" w14:textId="77777777" w:rsidR="002D336D" w:rsidRDefault="002D336D" w:rsidP="008408F9">
            <w:pPr>
              <w:pStyle w:val="TableBullet"/>
            </w:pPr>
            <w:r>
              <w:t>Identify and evaluate risks associated with the project and develop mitigation strategies</w:t>
            </w:r>
          </w:p>
          <w:p w14:paraId="6E7CF1E8" w14:textId="77777777" w:rsidR="002D336D" w:rsidRDefault="002D336D" w:rsidP="008408F9">
            <w:pPr>
              <w:pStyle w:val="TableBullet"/>
            </w:pPr>
            <w:r>
              <w:t>Identify and consult stakeholders to inform the project strategy</w:t>
            </w:r>
          </w:p>
          <w:p w14:paraId="4A595289" w14:textId="77777777" w:rsidR="002D336D" w:rsidRDefault="002D336D" w:rsidP="008408F9">
            <w:pPr>
              <w:pStyle w:val="TableBullet"/>
            </w:pPr>
            <w:r>
              <w:t>Communicate the project’s objectives and its expected benefits</w:t>
            </w:r>
          </w:p>
          <w:p w14:paraId="5FC028E9" w14:textId="77777777" w:rsidR="002D336D" w:rsidRDefault="002D336D" w:rsidP="008408F9">
            <w:pPr>
              <w:pStyle w:val="TableBullet"/>
            </w:pPr>
            <w:r>
              <w:t>Monitor the completion of project milestones against goals and take necessary action</w:t>
            </w:r>
          </w:p>
          <w:p w14:paraId="69EE55FF" w14:textId="77777777" w:rsidR="002D336D" w:rsidRDefault="002D336D" w:rsidP="008408F9">
            <w:pPr>
              <w:pStyle w:val="TableBullet"/>
            </w:pPr>
            <w:r>
              <w:t>Evaluate progress and identify improvements to inform future projects</w:t>
            </w:r>
          </w:p>
        </w:tc>
        <w:tc>
          <w:tcPr>
            <w:tcW w:w="1606" w:type="dxa"/>
            <w:tcBorders>
              <w:bottom w:val="single" w:sz="4" w:space="0" w:color="BCBEC0"/>
            </w:tcBorders>
          </w:tcPr>
          <w:p w14:paraId="7766124B" w14:textId="77777777" w:rsidR="002D336D" w:rsidRDefault="007C0486" w:rsidP="008408F9">
            <w:pPr>
              <w:pStyle w:val="TableBullet"/>
              <w:numPr>
                <w:ilvl w:val="0"/>
                <w:numId w:val="0"/>
              </w:numPr>
              <w:jc w:val="both"/>
            </w:pPr>
            <w:r>
              <w:t>Adept</w:t>
            </w:r>
          </w:p>
        </w:tc>
      </w:tr>
    </w:tbl>
    <w:p w14:paraId="10A563C7" w14:textId="77777777" w:rsidR="003927AE" w:rsidRDefault="003927AE" w:rsidP="003927AE"/>
    <w:p w14:paraId="33F17BCC" w14:textId="77777777" w:rsidR="003927AE" w:rsidRDefault="003927AE" w:rsidP="003927AE">
      <w:pPr>
        <w:pStyle w:val="Heading1"/>
      </w:pPr>
      <w:r>
        <w:t>Complementary capabilities</w:t>
      </w:r>
    </w:p>
    <w:p w14:paraId="522704EB"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DF493F9"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ADD80CF"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C978B9" w14:paraId="1F6DF52F" w14:textId="77777777" w:rsidTr="00EF7F74">
        <w:trPr>
          <w:cnfStyle w:val="100000000000" w:firstRow="1" w:lastRow="0" w:firstColumn="0" w:lastColumn="0" w:oddVBand="0" w:evenVBand="0" w:oddHBand="0" w:evenHBand="0" w:firstRowFirstColumn="0" w:firstRowLastColumn="0" w:lastRowFirstColumn="0" w:lastRowLastColumn="0"/>
          <w:cantSplit/>
          <w:tblHeader/>
        </w:trPr>
        <w:tc>
          <w:tcPr>
            <w:tcW w:w="1406" w:type="dxa"/>
            <w:tcBorders>
              <w:bottom w:val="single" w:sz="12" w:space="0" w:color="auto"/>
            </w:tcBorders>
            <w:shd w:val="clear" w:color="auto" w:fill="BCBEC0"/>
            <w:vAlign w:val="center"/>
          </w:tcPr>
          <w:p w14:paraId="02194539" w14:textId="77777777" w:rsidR="002B5704" w:rsidRPr="00C978B9" w:rsidRDefault="002B5704" w:rsidP="00EF7F74">
            <w:pPr>
              <w:pStyle w:val="TableText"/>
              <w:rPr>
                <w:b/>
                <w:sz w:val="24"/>
                <w:szCs w:val="24"/>
              </w:rPr>
            </w:pPr>
            <w:r>
              <w:rPr>
                <w:b/>
              </w:rPr>
              <w:t>Capability group/sets</w:t>
            </w:r>
          </w:p>
        </w:tc>
        <w:tc>
          <w:tcPr>
            <w:tcW w:w="2881" w:type="dxa"/>
            <w:tcBorders>
              <w:bottom w:val="single" w:sz="12" w:space="0" w:color="auto"/>
            </w:tcBorders>
            <w:shd w:val="clear" w:color="auto" w:fill="BCBEC0"/>
          </w:tcPr>
          <w:p w14:paraId="1E814080" w14:textId="77777777" w:rsidR="002B5704" w:rsidRPr="00C978B9" w:rsidRDefault="002B5704" w:rsidP="00EF7F74">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F942918" w14:textId="77777777" w:rsidR="002B5704" w:rsidRDefault="002B5704" w:rsidP="00EF7F74">
            <w:pPr>
              <w:pStyle w:val="TableText"/>
              <w:rPr>
                <w:b/>
              </w:rPr>
            </w:pPr>
          </w:p>
        </w:tc>
        <w:tc>
          <w:tcPr>
            <w:tcW w:w="4770" w:type="dxa"/>
            <w:tcBorders>
              <w:bottom w:val="single" w:sz="12" w:space="0" w:color="auto"/>
            </w:tcBorders>
            <w:shd w:val="clear" w:color="auto" w:fill="BCBEC0"/>
          </w:tcPr>
          <w:p w14:paraId="51F97035" w14:textId="77777777" w:rsidR="002B5704" w:rsidRDefault="002B5704" w:rsidP="00EF7F74">
            <w:pPr>
              <w:pStyle w:val="TableText"/>
              <w:rPr>
                <w:b/>
              </w:rPr>
            </w:pPr>
            <w:r>
              <w:rPr>
                <w:b/>
              </w:rPr>
              <w:t>Description</w:t>
            </w:r>
          </w:p>
        </w:tc>
        <w:tc>
          <w:tcPr>
            <w:tcW w:w="1606" w:type="dxa"/>
            <w:tcBorders>
              <w:bottom w:val="single" w:sz="12" w:space="0" w:color="auto"/>
            </w:tcBorders>
            <w:shd w:val="clear" w:color="auto" w:fill="BCBEC0"/>
          </w:tcPr>
          <w:p w14:paraId="69529012" w14:textId="77777777" w:rsidR="002B5704" w:rsidRDefault="002B5704" w:rsidP="00EF7F74">
            <w:pPr>
              <w:pStyle w:val="TableText"/>
              <w:jc w:val="both"/>
              <w:rPr>
                <w:b/>
              </w:rPr>
            </w:pPr>
            <w:r>
              <w:rPr>
                <w:b/>
              </w:rPr>
              <w:t xml:space="preserve">Level </w:t>
            </w:r>
          </w:p>
        </w:tc>
      </w:tr>
      <w:tr w:rsidR="002B5704" w:rsidRPr="00C978B9" w14:paraId="6ED5D0D7" w14:textId="77777777" w:rsidTr="00EF7F74">
        <w:trPr>
          <w:cantSplit/>
        </w:trPr>
        <w:tc>
          <w:tcPr>
            <w:tcW w:w="1406" w:type="dxa"/>
            <w:tcBorders>
              <w:bottom w:val="single" w:sz="4" w:space="0" w:color="BCBEC0"/>
            </w:tcBorders>
          </w:tcPr>
          <w:p w14:paraId="05341BD9" w14:textId="77777777" w:rsidR="002B5704" w:rsidRPr="00C978B9" w:rsidRDefault="002B5704" w:rsidP="00EF7F74">
            <w:r w:rsidRPr="00C978B9">
              <w:rPr>
                <w:noProof/>
                <w:lang w:eastAsia="en-AU"/>
              </w:rPr>
              <w:drawing>
                <wp:inline distT="0" distB="0" distL="0" distR="0" wp14:anchorId="438FB904" wp14:editId="7443CE30">
                  <wp:extent cx="417600" cy="417600"/>
                  <wp:effectExtent l="0" t="0" r="1905" b="190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B1D049C" w14:textId="77777777" w:rsidR="002B5704" w:rsidRPr="00AA57E3" w:rsidRDefault="002B5704" w:rsidP="00EF7F74">
            <w:r>
              <w:t>Display Resilience and Courage</w:t>
            </w:r>
          </w:p>
        </w:tc>
        <w:tc>
          <w:tcPr>
            <w:tcW w:w="4770" w:type="dxa"/>
            <w:tcBorders>
              <w:bottom w:val="single" w:sz="4" w:space="0" w:color="BCBEC0"/>
            </w:tcBorders>
          </w:tcPr>
          <w:p w14:paraId="6346B806" w14:textId="77777777" w:rsidR="002B5704" w:rsidRPr="00AA57E3" w:rsidRDefault="002B5704" w:rsidP="00EF7F74">
            <w:r>
              <w:t>Be open and honest, prepared to express your views, and willing to accept and commit to change</w:t>
            </w:r>
          </w:p>
        </w:tc>
        <w:tc>
          <w:tcPr>
            <w:tcW w:w="1606" w:type="dxa"/>
            <w:tcBorders>
              <w:bottom w:val="single" w:sz="4" w:space="0" w:color="BCBEC0"/>
            </w:tcBorders>
          </w:tcPr>
          <w:p w14:paraId="2B0EB8D7" w14:textId="0A43BDBE" w:rsidR="002B5704" w:rsidRDefault="0044227D" w:rsidP="00EF7F74">
            <w:pPr>
              <w:pStyle w:val="TableBullet"/>
              <w:numPr>
                <w:ilvl w:val="0"/>
                <w:numId w:val="0"/>
              </w:numPr>
              <w:jc w:val="both"/>
            </w:pPr>
            <w:r>
              <w:t>Intermediate</w:t>
            </w:r>
          </w:p>
        </w:tc>
      </w:tr>
      <w:tr w:rsidR="002B5704" w:rsidRPr="00C978B9" w14:paraId="4B2A04AA" w14:textId="77777777" w:rsidTr="00EF7F74">
        <w:trPr>
          <w:cantSplit/>
        </w:trPr>
        <w:tc>
          <w:tcPr>
            <w:tcW w:w="1406" w:type="dxa"/>
            <w:tcBorders>
              <w:bottom w:val="single" w:sz="4" w:space="0" w:color="BCBEC0"/>
            </w:tcBorders>
          </w:tcPr>
          <w:p w14:paraId="1BB9C5EA" w14:textId="13DAE43A" w:rsidR="002B5704" w:rsidRDefault="00EF7F74" w:rsidP="00EF7F74">
            <w:pPr>
              <w:rPr>
                <w:noProof/>
                <w:lang w:eastAsia="en-AU"/>
              </w:rPr>
            </w:pPr>
            <w:r w:rsidRPr="00C978B9">
              <w:rPr>
                <w:noProof/>
                <w:lang w:eastAsia="en-AU"/>
              </w:rPr>
              <w:drawing>
                <wp:inline distT="0" distB="0" distL="0" distR="0" wp14:anchorId="4F723EEA" wp14:editId="696C213B">
                  <wp:extent cx="417600" cy="417600"/>
                  <wp:effectExtent l="0" t="0" r="1905" b="1905"/>
                  <wp:docPr id="60866708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40EA5496" w14:textId="77777777" w:rsidR="002B5704" w:rsidRPr="00A8226F" w:rsidRDefault="002B5704" w:rsidP="00EF7F74">
            <w:r>
              <w:t>Manage Self</w:t>
            </w:r>
          </w:p>
        </w:tc>
        <w:tc>
          <w:tcPr>
            <w:tcW w:w="4770" w:type="dxa"/>
            <w:tcBorders>
              <w:bottom w:val="single" w:sz="4" w:space="0" w:color="BCBEC0"/>
            </w:tcBorders>
          </w:tcPr>
          <w:p w14:paraId="78BBC944" w14:textId="77777777" w:rsidR="002B5704" w:rsidRDefault="002B5704" w:rsidP="00EF7F74">
            <w:r>
              <w:t>Show drive and motivation, an ability to self-reflect and a commitment to learning</w:t>
            </w:r>
          </w:p>
        </w:tc>
        <w:tc>
          <w:tcPr>
            <w:tcW w:w="1606" w:type="dxa"/>
            <w:tcBorders>
              <w:bottom w:val="single" w:sz="4" w:space="0" w:color="BCBEC0"/>
            </w:tcBorders>
          </w:tcPr>
          <w:p w14:paraId="5725408B" w14:textId="77777777" w:rsidR="002B5704" w:rsidRDefault="002B5704" w:rsidP="00EF7F74">
            <w:pPr>
              <w:pStyle w:val="TableBullet"/>
              <w:numPr>
                <w:ilvl w:val="0"/>
                <w:numId w:val="0"/>
              </w:numPr>
              <w:jc w:val="both"/>
            </w:pPr>
            <w:r>
              <w:t>Adept</w:t>
            </w:r>
          </w:p>
        </w:tc>
      </w:tr>
      <w:tr w:rsidR="002B5704" w:rsidRPr="00C978B9" w14:paraId="59B2A4BD" w14:textId="77777777" w:rsidTr="00EF7F74">
        <w:trPr>
          <w:cantSplit/>
        </w:trPr>
        <w:tc>
          <w:tcPr>
            <w:tcW w:w="1406" w:type="dxa"/>
            <w:tcBorders>
              <w:bottom w:val="single" w:sz="4" w:space="0" w:color="BCBEC0"/>
            </w:tcBorders>
          </w:tcPr>
          <w:p w14:paraId="2601C460" w14:textId="7900AE02" w:rsidR="002B5704" w:rsidRDefault="00EF7F74" w:rsidP="00EF7F74">
            <w:pPr>
              <w:rPr>
                <w:noProof/>
                <w:lang w:eastAsia="en-AU"/>
              </w:rPr>
            </w:pPr>
            <w:r w:rsidRPr="00C978B9">
              <w:rPr>
                <w:noProof/>
                <w:lang w:eastAsia="en-AU"/>
              </w:rPr>
              <w:drawing>
                <wp:inline distT="0" distB="0" distL="0" distR="0" wp14:anchorId="2A208DF2" wp14:editId="695B2A21">
                  <wp:extent cx="417600" cy="417600"/>
                  <wp:effectExtent l="0" t="0" r="1905" b="1905"/>
                  <wp:docPr id="152658159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CD76FD1" w14:textId="77777777" w:rsidR="002B5704" w:rsidRPr="00A8226F" w:rsidRDefault="002B5704" w:rsidP="00EF7F74">
            <w:r>
              <w:t>Value Diversity and Inclusion</w:t>
            </w:r>
          </w:p>
        </w:tc>
        <w:tc>
          <w:tcPr>
            <w:tcW w:w="4770" w:type="dxa"/>
            <w:tcBorders>
              <w:bottom w:val="single" w:sz="4" w:space="0" w:color="BCBEC0"/>
            </w:tcBorders>
          </w:tcPr>
          <w:p w14:paraId="5FE96FB4" w14:textId="77777777" w:rsidR="002B5704" w:rsidRDefault="002B5704" w:rsidP="00EF7F74">
            <w:r>
              <w:t>Demonstrate inclusive behaviour and show respect for diverse backgrounds, experiences and perspectives</w:t>
            </w:r>
          </w:p>
        </w:tc>
        <w:tc>
          <w:tcPr>
            <w:tcW w:w="1606" w:type="dxa"/>
            <w:tcBorders>
              <w:bottom w:val="single" w:sz="4" w:space="0" w:color="BCBEC0"/>
            </w:tcBorders>
          </w:tcPr>
          <w:p w14:paraId="196F30DF" w14:textId="77777777" w:rsidR="002B5704" w:rsidRDefault="002B5704" w:rsidP="00EF7F74">
            <w:pPr>
              <w:pStyle w:val="TableBullet"/>
              <w:numPr>
                <w:ilvl w:val="0"/>
                <w:numId w:val="0"/>
              </w:numPr>
              <w:jc w:val="both"/>
            </w:pPr>
            <w:r>
              <w:t>Intermediate</w:t>
            </w:r>
          </w:p>
        </w:tc>
      </w:tr>
      <w:tr w:rsidR="002B5704" w:rsidRPr="00C978B9" w14:paraId="700C7053" w14:textId="77777777" w:rsidTr="00EF7F74">
        <w:trPr>
          <w:cantSplit/>
        </w:trPr>
        <w:tc>
          <w:tcPr>
            <w:tcW w:w="1406" w:type="dxa"/>
            <w:tcBorders>
              <w:bottom w:val="single" w:sz="4" w:space="0" w:color="BCBEC0"/>
            </w:tcBorders>
          </w:tcPr>
          <w:p w14:paraId="462C8F8C" w14:textId="77777777" w:rsidR="002B5704" w:rsidRPr="00C978B9" w:rsidRDefault="002B5704" w:rsidP="00EF7F74">
            <w:r w:rsidRPr="00C978B9">
              <w:rPr>
                <w:noProof/>
                <w:lang w:eastAsia="en-AU"/>
              </w:rPr>
              <w:drawing>
                <wp:inline distT="0" distB="0" distL="0" distR="0" wp14:anchorId="287FE793" wp14:editId="2797105B">
                  <wp:extent cx="417600" cy="417600"/>
                  <wp:effectExtent l="0" t="0" r="1905" b="1905"/>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68BB844" w14:textId="77777777" w:rsidR="002B5704" w:rsidRPr="00AA57E3" w:rsidRDefault="002B5704" w:rsidP="00EF7F74">
            <w:r>
              <w:t>Work Collaboratively</w:t>
            </w:r>
          </w:p>
        </w:tc>
        <w:tc>
          <w:tcPr>
            <w:tcW w:w="4770" w:type="dxa"/>
            <w:tcBorders>
              <w:bottom w:val="single" w:sz="4" w:space="0" w:color="BCBEC0"/>
            </w:tcBorders>
          </w:tcPr>
          <w:p w14:paraId="2928CA58" w14:textId="77777777" w:rsidR="002B5704" w:rsidRPr="00AA57E3" w:rsidRDefault="002B5704" w:rsidP="00EF7F74">
            <w:r>
              <w:t>Collaborate with others and value their contribution</w:t>
            </w:r>
          </w:p>
        </w:tc>
        <w:tc>
          <w:tcPr>
            <w:tcW w:w="1606" w:type="dxa"/>
            <w:tcBorders>
              <w:bottom w:val="single" w:sz="4" w:space="0" w:color="BCBEC0"/>
            </w:tcBorders>
          </w:tcPr>
          <w:p w14:paraId="1CE749F1" w14:textId="77777777" w:rsidR="002B5704" w:rsidRDefault="002B5704" w:rsidP="00EF7F74">
            <w:pPr>
              <w:pStyle w:val="TableBullet"/>
              <w:numPr>
                <w:ilvl w:val="0"/>
                <w:numId w:val="0"/>
              </w:numPr>
              <w:jc w:val="both"/>
            </w:pPr>
            <w:r>
              <w:t>Intermediate</w:t>
            </w:r>
          </w:p>
        </w:tc>
      </w:tr>
      <w:tr w:rsidR="002B5704" w:rsidRPr="00C978B9" w14:paraId="2F38C9ED" w14:textId="77777777" w:rsidTr="00EF7F74">
        <w:trPr>
          <w:cantSplit/>
        </w:trPr>
        <w:tc>
          <w:tcPr>
            <w:tcW w:w="1406" w:type="dxa"/>
            <w:tcBorders>
              <w:bottom w:val="single" w:sz="4" w:space="0" w:color="BCBEC0"/>
            </w:tcBorders>
          </w:tcPr>
          <w:p w14:paraId="283E0ED3" w14:textId="1AECFC89" w:rsidR="002B5704" w:rsidRDefault="00EF7F74" w:rsidP="00EF7F74">
            <w:pPr>
              <w:rPr>
                <w:noProof/>
                <w:lang w:eastAsia="en-AU"/>
              </w:rPr>
            </w:pPr>
            <w:r w:rsidRPr="00C978B9">
              <w:rPr>
                <w:noProof/>
                <w:lang w:eastAsia="en-AU"/>
              </w:rPr>
              <w:drawing>
                <wp:inline distT="0" distB="0" distL="0" distR="0" wp14:anchorId="10A0D6FC" wp14:editId="7DDD2310">
                  <wp:extent cx="417600" cy="417600"/>
                  <wp:effectExtent l="0" t="0" r="1905" b="1905"/>
                  <wp:docPr id="1901873991"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FCB7311" w14:textId="77777777" w:rsidR="002B5704" w:rsidRPr="00A8226F" w:rsidRDefault="002B5704" w:rsidP="00EF7F74">
            <w:r>
              <w:t>Influence and Negotiate</w:t>
            </w:r>
          </w:p>
        </w:tc>
        <w:tc>
          <w:tcPr>
            <w:tcW w:w="4770" w:type="dxa"/>
            <w:tcBorders>
              <w:bottom w:val="single" w:sz="4" w:space="0" w:color="BCBEC0"/>
            </w:tcBorders>
          </w:tcPr>
          <w:p w14:paraId="6B0A38C7" w14:textId="77777777" w:rsidR="002B5704" w:rsidRDefault="002B5704" w:rsidP="00EF7F74">
            <w:r>
              <w:t>Gain consensus and commitment from others, and resolve issues and conflicts</w:t>
            </w:r>
          </w:p>
        </w:tc>
        <w:tc>
          <w:tcPr>
            <w:tcW w:w="1606" w:type="dxa"/>
            <w:tcBorders>
              <w:bottom w:val="single" w:sz="4" w:space="0" w:color="BCBEC0"/>
            </w:tcBorders>
          </w:tcPr>
          <w:p w14:paraId="02310FD3" w14:textId="77777777" w:rsidR="002B5704" w:rsidRDefault="002B5704" w:rsidP="00EF7F74">
            <w:pPr>
              <w:pStyle w:val="TableBullet"/>
              <w:numPr>
                <w:ilvl w:val="0"/>
                <w:numId w:val="0"/>
              </w:numPr>
              <w:jc w:val="both"/>
            </w:pPr>
            <w:r>
              <w:t>Intermediate</w:t>
            </w:r>
          </w:p>
        </w:tc>
      </w:tr>
      <w:tr w:rsidR="002B5704" w:rsidRPr="00C978B9" w14:paraId="56C62860" w14:textId="77777777" w:rsidTr="00EF7F74">
        <w:trPr>
          <w:cantSplit/>
        </w:trPr>
        <w:tc>
          <w:tcPr>
            <w:tcW w:w="1406" w:type="dxa"/>
            <w:tcBorders>
              <w:bottom w:val="single" w:sz="4" w:space="0" w:color="BCBEC0"/>
            </w:tcBorders>
          </w:tcPr>
          <w:p w14:paraId="1D2A40CB" w14:textId="77777777" w:rsidR="002B5704" w:rsidRPr="00C978B9" w:rsidRDefault="002B5704" w:rsidP="00EF7F74">
            <w:r w:rsidRPr="00C978B9">
              <w:rPr>
                <w:noProof/>
                <w:lang w:eastAsia="en-AU"/>
              </w:rPr>
              <w:drawing>
                <wp:inline distT="0" distB="0" distL="0" distR="0" wp14:anchorId="3376225B" wp14:editId="4CB2AE7F">
                  <wp:extent cx="417600" cy="417600"/>
                  <wp:effectExtent l="0" t="0" r="1905" b="1905"/>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9046284" w14:textId="77777777" w:rsidR="002B5704" w:rsidRPr="00AA57E3" w:rsidRDefault="002B5704" w:rsidP="00EF7F74">
            <w:r>
              <w:t>Plan and Prioritise</w:t>
            </w:r>
          </w:p>
        </w:tc>
        <w:tc>
          <w:tcPr>
            <w:tcW w:w="4770" w:type="dxa"/>
            <w:tcBorders>
              <w:bottom w:val="single" w:sz="4" w:space="0" w:color="BCBEC0"/>
            </w:tcBorders>
          </w:tcPr>
          <w:p w14:paraId="384459B0" w14:textId="77777777" w:rsidR="002B5704" w:rsidRPr="00AA57E3" w:rsidRDefault="002B5704" w:rsidP="00EF7F74">
            <w:r>
              <w:t>Plan to achieve priority outcomes and respond flexibly to changing circumstances</w:t>
            </w:r>
          </w:p>
        </w:tc>
        <w:tc>
          <w:tcPr>
            <w:tcW w:w="1606" w:type="dxa"/>
            <w:tcBorders>
              <w:bottom w:val="single" w:sz="4" w:space="0" w:color="BCBEC0"/>
            </w:tcBorders>
          </w:tcPr>
          <w:p w14:paraId="313198F8" w14:textId="77777777" w:rsidR="002B5704" w:rsidRDefault="002B5704" w:rsidP="00EF7F74">
            <w:pPr>
              <w:pStyle w:val="TableBullet"/>
              <w:numPr>
                <w:ilvl w:val="0"/>
                <w:numId w:val="0"/>
              </w:numPr>
              <w:jc w:val="both"/>
            </w:pPr>
            <w:r>
              <w:t>Intermediate</w:t>
            </w:r>
          </w:p>
        </w:tc>
      </w:tr>
      <w:tr w:rsidR="002B5704" w:rsidRPr="00C978B9" w14:paraId="6214BEAF" w14:textId="77777777" w:rsidTr="00EF7F74">
        <w:trPr>
          <w:cantSplit/>
        </w:trPr>
        <w:tc>
          <w:tcPr>
            <w:tcW w:w="1406" w:type="dxa"/>
            <w:tcBorders>
              <w:bottom w:val="single" w:sz="4" w:space="0" w:color="BCBEC0"/>
            </w:tcBorders>
          </w:tcPr>
          <w:p w14:paraId="0B07D341" w14:textId="009B5E24" w:rsidR="002B5704" w:rsidRDefault="00EF7F74" w:rsidP="00EF7F74">
            <w:pPr>
              <w:rPr>
                <w:noProof/>
                <w:lang w:eastAsia="en-AU"/>
              </w:rPr>
            </w:pPr>
            <w:r w:rsidRPr="00C978B9">
              <w:rPr>
                <w:noProof/>
                <w:lang w:eastAsia="en-AU"/>
              </w:rPr>
              <w:drawing>
                <wp:inline distT="0" distB="0" distL="0" distR="0" wp14:anchorId="63774AC4" wp14:editId="590C6CB1">
                  <wp:extent cx="417600" cy="417600"/>
                  <wp:effectExtent l="0" t="0" r="1905" b="1905"/>
                  <wp:docPr id="2006550277"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46401910" w14:textId="77777777" w:rsidR="002B5704" w:rsidRPr="00A8226F" w:rsidRDefault="002B5704" w:rsidP="00EF7F74">
            <w:r>
              <w:t>Demonstrate Accountability</w:t>
            </w:r>
          </w:p>
        </w:tc>
        <w:tc>
          <w:tcPr>
            <w:tcW w:w="4770" w:type="dxa"/>
            <w:tcBorders>
              <w:bottom w:val="single" w:sz="4" w:space="0" w:color="BCBEC0"/>
            </w:tcBorders>
          </w:tcPr>
          <w:p w14:paraId="240E5A59" w14:textId="77777777" w:rsidR="002B5704" w:rsidRDefault="002B5704" w:rsidP="00EF7F74">
            <w:r>
              <w:t>Be proactive and responsible for own actions, and adhere to legislation, policy and guidelines</w:t>
            </w:r>
          </w:p>
        </w:tc>
        <w:tc>
          <w:tcPr>
            <w:tcW w:w="1606" w:type="dxa"/>
            <w:tcBorders>
              <w:bottom w:val="single" w:sz="4" w:space="0" w:color="BCBEC0"/>
            </w:tcBorders>
          </w:tcPr>
          <w:p w14:paraId="55ACD283" w14:textId="77777777" w:rsidR="002B5704" w:rsidRDefault="002B5704" w:rsidP="00EF7F74">
            <w:pPr>
              <w:pStyle w:val="TableBullet"/>
              <w:numPr>
                <w:ilvl w:val="0"/>
                <w:numId w:val="0"/>
              </w:numPr>
              <w:jc w:val="both"/>
            </w:pPr>
            <w:r>
              <w:t>Intermediate</w:t>
            </w:r>
          </w:p>
        </w:tc>
      </w:tr>
      <w:tr w:rsidR="002B5704" w:rsidRPr="00C978B9" w14:paraId="151E2217" w14:textId="77777777" w:rsidTr="00EF7F74">
        <w:trPr>
          <w:cantSplit/>
        </w:trPr>
        <w:tc>
          <w:tcPr>
            <w:tcW w:w="1406" w:type="dxa"/>
            <w:tcBorders>
              <w:bottom w:val="single" w:sz="4" w:space="0" w:color="BCBEC0"/>
            </w:tcBorders>
          </w:tcPr>
          <w:p w14:paraId="5C368C14" w14:textId="77777777" w:rsidR="002B5704" w:rsidRPr="00C978B9" w:rsidRDefault="002B5704" w:rsidP="00EF7F74">
            <w:r w:rsidRPr="00C978B9">
              <w:rPr>
                <w:noProof/>
                <w:lang w:eastAsia="en-AU"/>
              </w:rPr>
              <w:drawing>
                <wp:inline distT="0" distB="0" distL="0" distR="0" wp14:anchorId="70636C28" wp14:editId="56F6E718">
                  <wp:extent cx="417600" cy="417600"/>
                  <wp:effectExtent l="0" t="0" r="1905" b="1905"/>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3A8D480" w14:textId="77777777" w:rsidR="002B5704" w:rsidRPr="00AA57E3" w:rsidRDefault="002B5704" w:rsidP="00EF7F74">
            <w:r>
              <w:t>Finance</w:t>
            </w:r>
          </w:p>
        </w:tc>
        <w:tc>
          <w:tcPr>
            <w:tcW w:w="4770" w:type="dxa"/>
            <w:tcBorders>
              <w:bottom w:val="single" w:sz="4" w:space="0" w:color="BCBEC0"/>
            </w:tcBorders>
          </w:tcPr>
          <w:p w14:paraId="6EED084A" w14:textId="77777777" w:rsidR="002B5704" w:rsidRPr="00AA57E3" w:rsidRDefault="002B5704" w:rsidP="00EF7F74">
            <w:r>
              <w:t>Understand and apply financial processes to achieve value for money and minimise financial risk</w:t>
            </w:r>
          </w:p>
        </w:tc>
        <w:tc>
          <w:tcPr>
            <w:tcW w:w="1606" w:type="dxa"/>
            <w:tcBorders>
              <w:bottom w:val="single" w:sz="4" w:space="0" w:color="BCBEC0"/>
            </w:tcBorders>
          </w:tcPr>
          <w:p w14:paraId="1663FE44" w14:textId="77777777" w:rsidR="002B5704" w:rsidRDefault="002B5704" w:rsidP="00EF7F74">
            <w:pPr>
              <w:pStyle w:val="TableBullet"/>
              <w:numPr>
                <w:ilvl w:val="0"/>
                <w:numId w:val="0"/>
              </w:numPr>
              <w:jc w:val="both"/>
            </w:pPr>
            <w:r>
              <w:t>Foundational</w:t>
            </w:r>
          </w:p>
        </w:tc>
      </w:tr>
      <w:tr w:rsidR="002B5704" w:rsidRPr="00C978B9" w14:paraId="5F628FB2" w14:textId="77777777" w:rsidTr="00EF7F74">
        <w:trPr>
          <w:cantSplit/>
        </w:trPr>
        <w:tc>
          <w:tcPr>
            <w:tcW w:w="1406" w:type="dxa"/>
            <w:tcBorders>
              <w:bottom w:val="single" w:sz="4" w:space="0" w:color="BCBEC0"/>
            </w:tcBorders>
          </w:tcPr>
          <w:p w14:paraId="400E865A" w14:textId="6E6CA7A2" w:rsidR="002B5704" w:rsidRDefault="00EF7F74" w:rsidP="00EF7F74">
            <w:pPr>
              <w:rPr>
                <w:noProof/>
                <w:lang w:eastAsia="en-AU"/>
              </w:rPr>
            </w:pPr>
            <w:r w:rsidRPr="00C978B9">
              <w:rPr>
                <w:noProof/>
                <w:lang w:eastAsia="en-AU"/>
              </w:rPr>
              <w:drawing>
                <wp:inline distT="0" distB="0" distL="0" distR="0" wp14:anchorId="5967F37A" wp14:editId="55847E87">
                  <wp:extent cx="417600" cy="417600"/>
                  <wp:effectExtent l="0" t="0" r="1905" b="1905"/>
                  <wp:docPr id="183578015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844F4CE" w14:textId="77777777" w:rsidR="002B5704" w:rsidRPr="00A8226F" w:rsidRDefault="002B5704" w:rsidP="00EF7F74">
            <w:r>
              <w:t>Procurement and Contract Management</w:t>
            </w:r>
          </w:p>
        </w:tc>
        <w:tc>
          <w:tcPr>
            <w:tcW w:w="4770" w:type="dxa"/>
            <w:tcBorders>
              <w:bottom w:val="single" w:sz="4" w:space="0" w:color="BCBEC0"/>
            </w:tcBorders>
          </w:tcPr>
          <w:p w14:paraId="58702899" w14:textId="77777777" w:rsidR="002B5704" w:rsidRDefault="002B5704" w:rsidP="00EF7F74">
            <w:r>
              <w:t>Understand and apply procurement processes to ensure effective purchasing and contract performance</w:t>
            </w:r>
          </w:p>
        </w:tc>
        <w:tc>
          <w:tcPr>
            <w:tcW w:w="1606" w:type="dxa"/>
            <w:tcBorders>
              <w:bottom w:val="single" w:sz="4" w:space="0" w:color="BCBEC0"/>
            </w:tcBorders>
          </w:tcPr>
          <w:p w14:paraId="61D26466" w14:textId="77777777" w:rsidR="002B5704" w:rsidRDefault="002B5704" w:rsidP="00EF7F74">
            <w:pPr>
              <w:pStyle w:val="TableBullet"/>
              <w:numPr>
                <w:ilvl w:val="0"/>
                <w:numId w:val="0"/>
              </w:numPr>
              <w:jc w:val="both"/>
            </w:pPr>
            <w:r>
              <w:t>Foundational</w:t>
            </w:r>
          </w:p>
        </w:tc>
      </w:tr>
    </w:tbl>
    <w:p w14:paraId="632F760E" w14:textId="77777777" w:rsidR="004D15E4" w:rsidRPr="003927AE" w:rsidRDefault="004D15E4" w:rsidP="003927AE"/>
    <w:sectPr w:rsidR="004D15E4" w:rsidRPr="003927AE" w:rsidSect="009D747B">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5CC23" w14:textId="77777777" w:rsidR="00AB128D" w:rsidRDefault="00AB128D" w:rsidP="00BB532F">
      <w:pPr>
        <w:spacing w:after="0" w:line="240" w:lineRule="auto"/>
      </w:pPr>
      <w:r>
        <w:separator/>
      </w:r>
    </w:p>
  </w:endnote>
  <w:endnote w:type="continuationSeparator" w:id="0">
    <w:p w14:paraId="5901FB3E" w14:textId="77777777" w:rsidR="00AB128D" w:rsidRDefault="00AB128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D6D7" w14:textId="77777777" w:rsidR="000E6D4D" w:rsidRDefault="000E6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1D827CF" w14:textId="77777777" w:rsidTr="008C28EE">
      <w:trPr>
        <w:trHeight w:val="567"/>
      </w:trPr>
      <w:tc>
        <w:tcPr>
          <w:tcW w:w="2250" w:type="pct"/>
          <w:vAlign w:val="center"/>
        </w:tcPr>
        <w:p w14:paraId="1E672931" w14:textId="31CE61E8" w:rsidR="00C03AFD" w:rsidRDefault="00C03AFD" w:rsidP="009109D6">
          <w:pPr>
            <w:pStyle w:val="Footer"/>
          </w:pPr>
          <w:r w:rsidRPr="00C03AFD">
            <w:rPr>
              <w:color w:val="928B81"/>
              <w:sz w:val="18"/>
            </w:rPr>
            <w:t>Role Description</w:t>
          </w:r>
          <w:r w:rsidR="00443BCB">
            <w:rPr>
              <w:color w:val="928B81"/>
              <w:sz w:val="18"/>
            </w:rPr>
            <w:t xml:space="preserve"> </w:t>
          </w:r>
          <w:r w:rsidR="009109D6">
            <w:rPr>
              <w:color w:val="928B81"/>
              <w:sz w:val="18"/>
            </w:rPr>
            <w:t>Talent Acquisition</w:t>
          </w:r>
          <w:r w:rsidR="00443BCB" w:rsidRPr="008C28EE">
            <w:rPr>
              <w:color w:val="928B81"/>
              <w:sz w:val="18"/>
            </w:rPr>
            <w:t xml:space="preserve"> Specialist</w:t>
          </w:r>
        </w:p>
      </w:tc>
      <w:tc>
        <w:tcPr>
          <w:tcW w:w="250" w:type="pct"/>
          <w:vAlign w:val="center"/>
        </w:tcPr>
        <w:p w14:paraId="76A3F9CA"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109D6">
            <w:rPr>
              <w:noProof/>
              <w:color w:val="928B81"/>
              <w:sz w:val="18"/>
              <w:lang w:eastAsia="en-AU"/>
            </w:rPr>
            <w:t>3</w:t>
          </w:r>
          <w:r w:rsidRPr="00C03AFD">
            <w:rPr>
              <w:noProof/>
              <w:color w:val="928B81"/>
              <w:sz w:val="18"/>
              <w:lang w:eastAsia="en-AU"/>
            </w:rPr>
            <w:fldChar w:fldCharType="end"/>
          </w:r>
        </w:p>
      </w:tc>
      <w:tc>
        <w:tcPr>
          <w:tcW w:w="2350" w:type="pct"/>
        </w:tcPr>
        <w:p w14:paraId="0BB2B50B" w14:textId="77777777" w:rsidR="00C03AFD" w:rsidRDefault="00C03AFD" w:rsidP="00C03AFD">
          <w:pPr>
            <w:pStyle w:val="Footer"/>
            <w:jc w:val="right"/>
          </w:pPr>
        </w:p>
      </w:tc>
    </w:tr>
  </w:tbl>
  <w:p w14:paraId="3C7C0E9C"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9BBB362" w14:textId="77777777" w:rsidTr="0047547E">
      <w:trPr>
        <w:trHeight w:val="811"/>
      </w:trPr>
      <w:tc>
        <w:tcPr>
          <w:tcW w:w="10005" w:type="dxa"/>
          <w:vAlign w:val="bottom"/>
        </w:tcPr>
        <w:p w14:paraId="398D2C57" w14:textId="77777777" w:rsidR="00BB532F" w:rsidRPr="00051237" w:rsidRDefault="009C12FA" w:rsidP="00BD7BA7">
          <w:pPr>
            <w:pStyle w:val="Footer"/>
            <w:tabs>
              <w:tab w:val="center" w:pos="5315"/>
            </w:tabs>
          </w:pPr>
          <w:r>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9109D6">
            <w:rPr>
              <w:noProof/>
              <w:lang w:eastAsia="en-AU"/>
            </w:rPr>
            <w:t>1</w:t>
          </w:r>
          <w:r w:rsidR="00BB532F">
            <w:rPr>
              <w:noProof/>
              <w:lang w:eastAsia="en-AU"/>
            </w:rPr>
            <w:fldChar w:fldCharType="end"/>
          </w:r>
        </w:p>
      </w:tc>
      <w:tc>
        <w:tcPr>
          <w:tcW w:w="875" w:type="dxa"/>
        </w:tcPr>
        <w:p w14:paraId="77EAE763" w14:textId="77777777" w:rsidR="00BB532F" w:rsidRDefault="00BB532F" w:rsidP="00BD7BA7">
          <w:pPr>
            <w:pStyle w:val="Footer"/>
            <w:jc w:val="right"/>
          </w:pPr>
        </w:p>
      </w:tc>
    </w:tr>
  </w:tbl>
  <w:p w14:paraId="00DD782B"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C597A" w14:textId="77777777" w:rsidR="00AB128D" w:rsidRDefault="00AB128D" w:rsidP="00BB532F">
      <w:pPr>
        <w:spacing w:after="0" w:line="240" w:lineRule="auto"/>
      </w:pPr>
      <w:r>
        <w:separator/>
      </w:r>
    </w:p>
  </w:footnote>
  <w:footnote w:type="continuationSeparator" w:id="0">
    <w:p w14:paraId="0F93A5BA" w14:textId="77777777" w:rsidR="00AB128D" w:rsidRDefault="00AB128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0C61C" w14:textId="77777777" w:rsidR="000E6D4D" w:rsidRDefault="000E6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2A6B" w14:textId="77777777" w:rsidR="000E6D4D" w:rsidRDefault="000E6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6D475D7C" w14:textId="77777777" w:rsidTr="00894A73">
      <w:trPr>
        <w:trHeight w:val="813"/>
      </w:trPr>
      <w:tc>
        <w:tcPr>
          <w:tcW w:w="7082" w:type="dxa"/>
        </w:tcPr>
        <w:p w14:paraId="5CDF0C0E"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0E725328" w14:textId="77777777" w:rsidR="00935EE2" w:rsidRDefault="009109D6" w:rsidP="001C2248">
          <w:pPr>
            <w:pStyle w:val="TitleSub"/>
            <w:spacing w:after="0"/>
            <w:rPr>
              <w:rFonts w:ascii="Arial" w:hAnsi="Arial" w:cs="Arial"/>
              <w:b/>
            </w:rPr>
          </w:pPr>
          <w:r>
            <w:rPr>
              <w:rFonts w:ascii="Arial" w:hAnsi="Arial" w:cs="Arial"/>
              <w:b/>
            </w:rPr>
            <w:t>Talent Acquisition</w:t>
          </w:r>
          <w:r w:rsidR="00935EE2" w:rsidRPr="00935EE2">
            <w:rPr>
              <w:rFonts w:ascii="Arial" w:hAnsi="Arial" w:cs="Arial"/>
              <w:b/>
            </w:rPr>
            <w:t xml:space="preserve"> Specialist</w:t>
          </w:r>
        </w:p>
        <w:p w14:paraId="62E0B850" w14:textId="77777777" w:rsidR="000E6D4D" w:rsidRDefault="000E6D4D" w:rsidP="001C2248">
          <w:pPr>
            <w:pStyle w:val="TitleSub"/>
            <w:spacing w:after="0"/>
            <w:rPr>
              <w:rFonts w:ascii="Arial" w:hAnsi="Arial" w:cs="Arial"/>
              <w:b/>
            </w:rPr>
          </w:pPr>
        </w:p>
        <w:p w14:paraId="73DE5A50" w14:textId="77777777" w:rsidR="000E6D4D" w:rsidRPr="00935EE2" w:rsidRDefault="000E6D4D" w:rsidP="001C2248">
          <w:pPr>
            <w:pStyle w:val="TitleSub"/>
            <w:spacing w:after="0"/>
            <w:rPr>
              <w:rFonts w:ascii="Arial" w:hAnsi="Arial" w:cs="Arial"/>
              <w:b/>
            </w:rPr>
          </w:pPr>
        </w:p>
      </w:tc>
      <w:tc>
        <w:tcPr>
          <w:tcW w:w="3688" w:type="dxa"/>
        </w:tcPr>
        <w:p w14:paraId="343B981D" w14:textId="7C6F3CF3" w:rsidR="000477E1" w:rsidRPr="000477E1" w:rsidRDefault="0044227D" w:rsidP="00030565">
          <w:pPr>
            <w:jc w:val="right"/>
          </w:pPr>
          <w:r>
            <w:rPr>
              <w:noProof/>
            </w:rPr>
            <w:drawing>
              <wp:anchor distT="0" distB="0" distL="114300" distR="114300" simplePos="0" relativeHeight="251661312" behindDoc="1" locked="0" layoutInCell="1" allowOverlap="1" wp14:anchorId="52824384" wp14:editId="09DF357F">
                <wp:simplePos x="0" y="0"/>
                <wp:positionH relativeFrom="column">
                  <wp:posOffset>608330</wp:posOffset>
                </wp:positionH>
                <wp:positionV relativeFrom="paragraph">
                  <wp:posOffset>0</wp:posOffset>
                </wp:positionV>
                <wp:extent cx="1019175" cy="1082040"/>
                <wp:effectExtent l="0" t="0" r="9525" b="3810"/>
                <wp:wrapTight wrapText="bothSides">
                  <wp:wrapPolygon edited="0">
                    <wp:start x="0" y="0"/>
                    <wp:lineTo x="0" y="21296"/>
                    <wp:lineTo x="21398" y="21296"/>
                    <wp:lineTo x="213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82040"/>
                        </a:xfrm>
                        <a:prstGeom prst="rect">
                          <a:avLst/>
                        </a:prstGeom>
                        <a:noFill/>
                        <a:ln>
                          <a:noFill/>
                        </a:ln>
                      </pic:spPr>
                    </pic:pic>
                  </a:graphicData>
                </a:graphic>
              </wp:anchor>
            </w:drawing>
          </w:r>
        </w:p>
      </w:tc>
    </w:tr>
  </w:tbl>
  <w:p w14:paraId="65DA4CCA"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94DA5"/>
    <w:multiLevelType w:val="hybridMultilevel"/>
    <w:tmpl w:val="F3580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BD3B0A"/>
    <w:multiLevelType w:val="hybridMultilevel"/>
    <w:tmpl w:val="6A38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7A74B8"/>
    <w:multiLevelType w:val="hybridMultilevel"/>
    <w:tmpl w:val="1CC62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2917619">
    <w:abstractNumId w:val="0"/>
  </w:num>
  <w:num w:numId="2" w16cid:durableId="1718507120">
    <w:abstractNumId w:val="2"/>
  </w:num>
  <w:num w:numId="3" w16cid:durableId="1641180948">
    <w:abstractNumId w:val="3"/>
  </w:num>
  <w:num w:numId="4" w16cid:durableId="2101018888">
    <w:abstractNumId w:val="4"/>
  </w:num>
  <w:num w:numId="5" w16cid:durableId="833296824">
    <w:abstractNumId w:val="0"/>
  </w:num>
  <w:num w:numId="6" w16cid:durableId="2117631679">
    <w:abstractNumId w:val="0"/>
  </w:num>
  <w:num w:numId="7" w16cid:durableId="700669826">
    <w:abstractNumId w:val="0"/>
  </w:num>
  <w:num w:numId="8" w16cid:durableId="887452823">
    <w:abstractNumId w:val="0"/>
  </w:num>
  <w:num w:numId="9" w16cid:durableId="857962776">
    <w:abstractNumId w:val="0"/>
  </w:num>
  <w:num w:numId="10" w16cid:durableId="419326801">
    <w:abstractNumId w:val="1"/>
  </w:num>
  <w:num w:numId="11" w16cid:durableId="1387947084">
    <w:abstractNumId w:val="5"/>
  </w:num>
  <w:num w:numId="12" w16cid:durableId="24184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E6D4D"/>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27D"/>
    <w:rsid w:val="00442732"/>
    <w:rsid w:val="00443BCB"/>
    <w:rsid w:val="0045299A"/>
    <w:rsid w:val="00466287"/>
    <w:rsid w:val="0047547E"/>
    <w:rsid w:val="00477EB1"/>
    <w:rsid w:val="004827F7"/>
    <w:rsid w:val="00487B60"/>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12A83"/>
    <w:rsid w:val="00521D19"/>
    <w:rsid w:val="00523CFF"/>
    <w:rsid w:val="00527FCF"/>
    <w:rsid w:val="005307BA"/>
    <w:rsid w:val="005408B1"/>
    <w:rsid w:val="00545AC6"/>
    <w:rsid w:val="00551038"/>
    <w:rsid w:val="0058605B"/>
    <w:rsid w:val="0059035B"/>
    <w:rsid w:val="005A397B"/>
    <w:rsid w:val="005B10E1"/>
    <w:rsid w:val="005B5053"/>
    <w:rsid w:val="005C551C"/>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065E"/>
    <w:rsid w:val="007C21C8"/>
    <w:rsid w:val="007D0E2E"/>
    <w:rsid w:val="007D6CF9"/>
    <w:rsid w:val="007E2FB7"/>
    <w:rsid w:val="007E77DC"/>
    <w:rsid w:val="00801E41"/>
    <w:rsid w:val="008044BB"/>
    <w:rsid w:val="00805561"/>
    <w:rsid w:val="00806FE1"/>
    <w:rsid w:val="00807ED1"/>
    <w:rsid w:val="00817B11"/>
    <w:rsid w:val="008203EE"/>
    <w:rsid w:val="008267A0"/>
    <w:rsid w:val="008308A7"/>
    <w:rsid w:val="0083547C"/>
    <w:rsid w:val="008408F9"/>
    <w:rsid w:val="00843197"/>
    <w:rsid w:val="008476E6"/>
    <w:rsid w:val="0085706D"/>
    <w:rsid w:val="00860904"/>
    <w:rsid w:val="00861804"/>
    <w:rsid w:val="00894A73"/>
    <w:rsid w:val="00895190"/>
    <w:rsid w:val="008A0EBB"/>
    <w:rsid w:val="008A13AC"/>
    <w:rsid w:val="008B2BE2"/>
    <w:rsid w:val="008B74C1"/>
    <w:rsid w:val="008C0B4D"/>
    <w:rsid w:val="008C28EE"/>
    <w:rsid w:val="008C37C8"/>
    <w:rsid w:val="008D7766"/>
    <w:rsid w:val="008E08E3"/>
    <w:rsid w:val="008F23E9"/>
    <w:rsid w:val="00902EC0"/>
    <w:rsid w:val="009077E2"/>
    <w:rsid w:val="009109D6"/>
    <w:rsid w:val="00910F45"/>
    <w:rsid w:val="00911725"/>
    <w:rsid w:val="00917E5E"/>
    <w:rsid w:val="00926AD1"/>
    <w:rsid w:val="009351E9"/>
    <w:rsid w:val="00935EE2"/>
    <w:rsid w:val="009364E8"/>
    <w:rsid w:val="00940C04"/>
    <w:rsid w:val="00940EB9"/>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B34"/>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128D"/>
    <w:rsid w:val="00AB50E4"/>
    <w:rsid w:val="00AC04D7"/>
    <w:rsid w:val="00AC1AF9"/>
    <w:rsid w:val="00AC742D"/>
    <w:rsid w:val="00AC7DC9"/>
    <w:rsid w:val="00AD6D53"/>
    <w:rsid w:val="00AE14D7"/>
    <w:rsid w:val="00AF01AC"/>
    <w:rsid w:val="00AF3FE7"/>
    <w:rsid w:val="00AF7D0C"/>
    <w:rsid w:val="00B0574B"/>
    <w:rsid w:val="00B10AB7"/>
    <w:rsid w:val="00B2037F"/>
    <w:rsid w:val="00B22024"/>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5A3F"/>
    <w:rsid w:val="00C271F9"/>
    <w:rsid w:val="00C470CB"/>
    <w:rsid w:val="00C517B6"/>
    <w:rsid w:val="00C51CE1"/>
    <w:rsid w:val="00C547B6"/>
    <w:rsid w:val="00C63F0F"/>
    <w:rsid w:val="00C70636"/>
    <w:rsid w:val="00C70842"/>
    <w:rsid w:val="00C740FF"/>
    <w:rsid w:val="00C8478F"/>
    <w:rsid w:val="00C8578E"/>
    <w:rsid w:val="00C861F7"/>
    <w:rsid w:val="00CA3DE5"/>
    <w:rsid w:val="00CA76B5"/>
    <w:rsid w:val="00CC76F2"/>
    <w:rsid w:val="00CD323E"/>
    <w:rsid w:val="00CE105E"/>
    <w:rsid w:val="00CE1E5E"/>
    <w:rsid w:val="00CF2A85"/>
    <w:rsid w:val="00D1372C"/>
    <w:rsid w:val="00D312DA"/>
    <w:rsid w:val="00D3235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96F19"/>
    <w:rsid w:val="00EA7A67"/>
    <w:rsid w:val="00EB0741"/>
    <w:rsid w:val="00EC0899"/>
    <w:rsid w:val="00EC0B04"/>
    <w:rsid w:val="00EC4A51"/>
    <w:rsid w:val="00EC5C1D"/>
    <w:rsid w:val="00ED176B"/>
    <w:rsid w:val="00ED5CC6"/>
    <w:rsid w:val="00ED7943"/>
    <w:rsid w:val="00EF159C"/>
    <w:rsid w:val="00EF7F74"/>
    <w:rsid w:val="00F07C69"/>
    <w:rsid w:val="00F15669"/>
    <w:rsid w:val="00F31B35"/>
    <w:rsid w:val="00F339CD"/>
    <w:rsid w:val="00F33A43"/>
    <w:rsid w:val="00F41650"/>
    <w:rsid w:val="00F47143"/>
    <w:rsid w:val="00F83D95"/>
    <w:rsid w:val="00F9569D"/>
    <w:rsid w:val="00FA6710"/>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5111"/>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da42bc-af69-4135-8b87-8c400485f4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0A6F73001C64C829388F843C69377" ma:contentTypeVersion="6" ma:contentTypeDescription="Create a new document." ma:contentTypeScope="" ma:versionID="2928b16371a1281d4aca25bb33f6e0d9">
  <xsd:schema xmlns:xsd="http://www.w3.org/2001/XMLSchema" xmlns:xs="http://www.w3.org/2001/XMLSchema" xmlns:p="http://schemas.microsoft.com/office/2006/metadata/properties" xmlns:ns3="b6da42bc-af69-4135-8b87-8c400485f477" targetNamespace="http://schemas.microsoft.com/office/2006/metadata/properties" ma:root="true" ma:fieldsID="bb9164741c802a5e9796f47331397a7a" ns3:_="">
    <xsd:import namespace="b6da42bc-af69-4135-8b87-8c400485f47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42bc-af69-4135-8b87-8c400485f47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33C5-0A9A-4292-BCA0-D2974A19F530}">
  <ds:schemaRefs>
    <ds:schemaRef ds:uri="http://schemas.microsoft.com/office/2006/metadata/properties"/>
    <ds:schemaRef ds:uri="http://schemas.microsoft.com/office/infopath/2007/PartnerControls"/>
    <ds:schemaRef ds:uri="b6da42bc-af69-4135-8b87-8c400485f477"/>
  </ds:schemaRefs>
</ds:datastoreItem>
</file>

<file path=customXml/itemProps2.xml><?xml version="1.0" encoding="utf-8"?>
<ds:datastoreItem xmlns:ds="http://schemas.openxmlformats.org/officeDocument/2006/customXml" ds:itemID="{C147B37D-DBA6-4BF1-8B13-3125A5E2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42bc-af69-4135-8b87-8c400485f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B7FB9-787E-4A61-B734-1199933B2BEE}">
  <ds:schemaRefs>
    <ds:schemaRef ds:uri="http://schemas.microsoft.com/sharepoint/v3/contenttype/forms"/>
  </ds:schemaRefs>
</ds:datastoreItem>
</file>

<file path=customXml/itemProps4.xml><?xml version="1.0" encoding="utf-8"?>
<ds:datastoreItem xmlns:ds="http://schemas.openxmlformats.org/officeDocument/2006/customXml" ds:itemID="{02B76A75-4BFD-4B05-A135-46EF7D09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21</TotalTime>
  <Pages>6</Pages>
  <Words>1581</Words>
  <Characters>10277</Characters>
  <Application>Microsoft Office Word</Application>
  <DocSecurity>0</DocSecurity>
  <Lines>318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 Penwill</cp:lastModifiedBy>
  <cp:revision>8</cp:revision>
  <dcterms:created xsi:type="dcterms:W3CDTF">2024-10-16T22:49:00Z</dcterms:created>
  <dcterms:modified xsi:type="dcterms:W3CDTF">2024-10-16T23:17:00Z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0x010100B0F0A6F73001C64C829388F843C69377</vt:lpwstr>
  </property>
</Properties>
</file>