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2F0A05" w:rsidRPr="00A0054D" w14:paraId="2538C86D" w14:textId="77777777" w:rsidTr="00E63192">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1C3661B" w14:textId="77777777" w:rsidR="002F0A05" w:rsidRPr="00DC0173" w:rsidRDefault="002F0A05" w:rsidP="00E63192">
            <w:pPr>
              <w:pStyle w:val="TableTextWhite0"/>
            </w:pPr>
            <w:bookmarkStart w:id="0" w:name="OLE_LINK5"/>
            <w:bookmarkStart w:id="1" w:name="OLE_LINK4"/>
            <w:bookmarkStart w:id="2" w:name="OLE_LINK26"/>
            <w:bookmarkStart w:id="3" w:name="OLE_LINK20"/>
            <w:bookmarkStart w:id="4" w:name="OLE_LINK17"/>
            <w:bookmarkStart w:id="5" w:name="OLE_LINK15"/>
            <w:bookmarkStart w:id="6" w:name="OLE_LINK12"/>
            <w:bookmarkStart w:id="7" w:name="OLE_LINK9"/>
            <w:bookmarkStart w:id="8" w:name="OLE_LINK8"/>
            <w:r>
              <w:t>Cluster</w:t>
            </w:r>
          </w:p>
        </w:tc>
        <w:tc>
          <w:tcPr>
            <w:tcW w:w="6561" w:type="dxa"/>
          </w:tcPr>
          <w:p w14:paraId="70310FD1" w14:textId="01F71678" w:rsidR="002F0A05" w:rsidRPr="006134D8" w:rsidRDefault="00F7140E" w:rsidP="00E63192">
            <w:pPr>
              <w:pStyle w:val="TableTextWhite"/>
              <w:rPr>
                <w:b/>
                <w:bCs/>
              </w:rPr>
            </w:pPr>
            <w:r w:rsidRPr="006134D8">
              <w:rPr>
                <w:b/>
                <w:bCs/>
              </w:rPr>
              <w:t>Climate Change, Energy, the Environment and Water</w:t>
            </w:r>
          </w:p>
        </w:tc>
      </w:tr>
      <w:tr w:rsidR="002F0A05" w:rsidRPr="00632C12" w14:paraId="6FE2100E" w14:textId="77777777" w:rsidTr="00E63192">
        <w:tc>
          <w:tcPr>
            <w:tcW w:w="4026" w:type="dxa"/>
            <w:vAlign w:val="center"/>
          </w:tcPr>
          <w:p w14:paraId="0E6DCF0C" w14:textId="77777777" w:rsidR="002F0A05" w:rsidRPr="00DC0173" w:rsidRDefault="002F0A05" w:rsidP="00E63192">
            <w:pPr>
              <w:pStyle w:val="TableTextWhite"/>
              <w:rPr>
                <w:b/>
              </w:rPr>
            </w:pPr>
            <w:r>
              <w:rPr>
                <w:b/>
              </w:rPr>
              <w:t>Agency</w:t>
            </w:r>
          </w:p>
        </w:tc>
        <w:tc>
          <w:tcPr>
            <w:tcW w:w="6561" w:type="dxa"/>
          </w:tcPr>
          <w:p w14:paraId="25ACC3D9" w14:textId="382BEA1E" w:rsidR="002F0A05" w:rsidRPr="007A4365" w:rsidRDefault="008327B2" w:rsidP="00E63192">
            <w:pPr>
              <w:pStyle w:val="TableTextWhite0"/>
              <w:rPr>
                <w:bCs/>
              </w:rPr>
            </w:pPr>
            <w:r w:rsidRPr="008327B2">
              <w:rPr>
                <w:bCs/>
                <w:lang w:val="en-US"/>
              </w:rPr>
              <w:t>Energy Corporation of NSW</w:t>
            </w:r>
          </w:p>
        </w:tc>
      </w:tr>
      <w:tr w:rsidR="00BF0D00" w14:paraId="2D794F17" w14:textId="77777777" w:rsidTr="00E63192">
        <w:tc>
          <w:tcPr>
            <w:tcW w:w="4026" w:type="dxa"/>
            <w:vAlign w:val="center"/>
          </w:tcPr>
          <w:p w14:paraId="6FCE2D7A" w14:textId="4363172C" w:rsidR="00BF0D00" w:rsidRDefault="0011179E" w:rsidP="00E63192">
            <w:pPr>
              <w:pStyle w:val="TableTextWhite"/>
              <w:rPr>
                <w:b/>
              </w:rPr>
            </w:pPr>
            <w:r w:rsidRPr="0011179E">
              <w:rPr>
                <w:b/>
                <w:lang w:val="en-US"/>
              </w:rPr>
              <w:t>Division/Branch/Unit</w:t>
            </w:r>
          </w:p>
        </w:tc>
        <w:tc>
          <w:tcPr>
            <w:tcW w:w="6561" w:type="dxa"/>
          </w:tcPr>
          <w:p w14:paraId="53B3A2CC" w14:textId="30C5A1C3" w:rsidR="00BF0D00" w:rsidRPr="007A4365" w:rsidRDefault="00596A6E" w:rsidP="00E63192">
            <w:pPr>
              <w:pStyle w:val="TableTextWhite"/>
              <w:rPr>
                <w:b/>
                <w:bCs/>
              </w:rPr>
            </w:pPr>
            <w:r>
              <w:rPr>
                <w:b/>
                <w:bCs/>
              </w:rPr>
              <w:t>Finance &amp; Operations</w:t>
            </w:r>
          </w:p>
        </w:tc>
      </w:tr>
      <w:tr w:rsidR="002F0A05" w14:paraId="14A5622C" w14:textId="77777777" w:rsidTr="00E63192">
        <w:tc>
          <w:tcPr>
            <w:tcW w:w="4026" w:type="dxa"/>
            <w:vAlign w:val="center"/>
          </w:tcPr>
          <w:p w14:paraId="4E8EDA14" w14:textId="77777777" w:rsidR="002F0A05" w:rsidRDefault="002F0A05" w:rsidP="00E63192">
            <w:pPr>
              <w:pStyle w:val="TableTextWhite"/>
              <w:rPr>
                <w:b/>
              </w:rPr>
            </w:pPr>
            <w:r>
              <w:rPr>
                <w:b/>
              </w:rPr>
              <w:t>Location</w:t>
            </w:r>
          </w:p>
        </w:tc>
        <w:tc>
          <w:tcPr>
            <w:tcW w:w="6561" w:type="dxa"/>
          </w:tcPr>
          <w:p w14:paraId="595107CE" w14:textId="77777777" w:rsidR="002F0A05" w:rsidRPr="007A4365" w:rsidRDefault="002F0A05" w:rsidP="00E63192">
            <w:pPr>
              <w:pStyle w:val="TableTextWhite"/>
              <w:rPr>
                <w:b/>
                <w:bCs/>
              </w:rPr>
            </w:pPr>
            <w:r w:rsidRPr="007A4365">
              <w:rPr>
                <w:b/>
                <w:bCs/>
              </w:rPr>
              <w:t>Sydney CBD</w:t>
            </w:r>
          </w:p>
        </w:tc>
      </w:tr>
      <w:tr w:rsidR="002F0A05" w:rsidRPr="00DC0173" w14:paraId="7C313880" w14:textId="77777777" w:rsidTr="00E63192">
        <w:tc>
          <w:tcPr>
            <w:tcW w:w="4026" w:type="dxa"/>
            <w:vAlign w:val="center"/>
          </w:tcPr>
          <w:p w14:paraId="27B400E3" w14:textId="77777777" w:rsidR="002F0A05" w:rsidRPr="00DC0173" w:rsidRDefault="002F0A05" w:rsidP="00E63192">
            <w:pPr>
              <w:pStyle w:val="TableTextWhite"/>
              <w:rPr>
                <w:b/>
              </w:rPr>
            </w:pPr>
            <w:r>
              <w:rPr>
                <w:b/>
              </w:rPr>
              <w:t>Classification/Grade/Band</w:t>
            </w:r>
          </w:p>
        </w:tc>
        <w:tc>
          <w:tcPr>
            <w:tcW w:w="6561" w:type="dxa"/>
          </w:tcPr>
          <w:p w14:paraId="3F92C235" w14:textId="4FFF403A" w:rsidR="002F0A05" w:rsidRPr="007A4365" w:rsidRDefault="00CF06CE" w:rsidP="00E63192">
            <w:pPr>
              <w:pStyle w:val="TableTextWhite"/>
              <w:rPr>
                <w:b/>
                <w:bCs/>
              </w:rPr>
            </w:pPr>
            <w:r>
              <w:rPr>
                <w:b/>
                <w:bCs/>
              </w:rPr>
              <w:t xml:space="preserve">Environmental Officer </w:t>
            </w:r>
            <w:r w:rsidR="006F792C">
              <w:rPr>
                <w:b/>
                <w:bCs/>
              </w:rPr>
              <w:t>(</w:t>
            </w:r>
            <w:r>
              <w:rPr>
                <w:b/>
                <w:bCs/>
              </w:rPr>
              <w:t>EO14)</w:t>
            </w:r>
          </w:p>
        </w:tc>
      </w:tr>
      <w:tr w:rsidR="002F0A05" w:rsidRPr="00DC0173" w14:paraId="29D772BF" w14:textId="77777777" w:rsidTr="00E63192">
        <w:tc>
          <w:tcPr>
            <w:tcW w:w="4026" w:type="dxa"/>
          </w:tcPr>
          <w:p w14:paraId="0751911F" w14:textId="77777777" w:rsidR="002F0A05" w:rsidRPr="001F3230" w:rsidRDefault="002F0A05" w:rsidP="00E63192">
            <w:pPr>
              <w:pStyle w:val="TableTextWhite"/>
              <w:rPr>
                <w:b/>
              </w:rPr>
            </w:pPr>
            <w:r w:rsidRPr="001F3230">
              <w:rPr>
                <w:b/>
              </w:rPr>
              <w:t>ANZSCO Code</w:t>
            </w:r>
          </w:p>
        </w:tc>
        <w:tc>
          <w:tcPr>
            <w:tcW w:w="6561" w:type="dxa"/>
          </w:tcPr>
          <w:p w14:paraId="5F39073C" w14:textId="79CEC9AE" w:rsidR="002F0A05" w:rsidRPr="00A22066" w:rsidRDefault="002D2EF3" w:rsidP="00E63192">
            <w:pPr>
              <w:pStyle w:val="TableTextWhite"/>
              <w:rPr>
                <w:b/>
                <w:bCs/>
              </w:rPr>
            </w:pPr>
            <w:r w:rsidRPr="00A22066">
              <w:rPr>
                <w:b/>
                <w:bCs/>
              </w:rPr>
              <w:t>271111</w:t>
            </w:r>
          </w:p>
        </w:tc>
      </w:tr>
      <w:tr w:rsidR="002F0A05" w:rsidRPr="00DC0173" w14:paraId="21E1DC61" w14:textId="77777777" w:rsidTr="00E63192">
        <w:tc>
          <w:tcPr>
            <w:tcW w:w="4026" w:type="dxa"/>
          </w:tcPr>
          <w:p w14:paraId="4959DD15" w14:textId="77777777" w:rsidR="002F0A05" w:rsidRPr="001F3230" w:rsidRDefault="002F0A05" w:rsidP="00E63192">
            <w:pPr>
              <w:pStyle w:val="TableTextWhite"/>
              <w:rPr>
                <w:b/>
              </w:rPr>
            </w:pPr>
            <w:r w:rsidRPr="001F3230">
              <w:rPr>
                <w:b/>
              </w:rPr>
              <w:t>PCAT Code</w:t>
            </w:r>
          </w:p>
        </w:tc>
        <w:tc>
          <w:tcPr>
            <w:tcW w:w="6561" w:type="dxa"/>
          </w:tcPr>
          <w:p w14:paraId="1783445A" w14:textId="7434B547" w:rsidR="002F0A05" w:rsidRPr="00A22066" w:rsidRDefault="00CE4662" w:rsidP="00E63192">
            <w:pPr>
              <w:pStyle w:val="TableTextWhite"/>
              <w:rPr>
                <w:b/>
                <w:bCs/>
              </w:rPr>
            </w:pPr>
            <w:r w:rsidRPr="00A22066">
              <w:rPr>
                <w:b/>
                <w:bCs/>
              </w:rPr>
              <w:t>1138192</w:t>
            </w:r>
          </w:p>
        </w:tc>
      </w:tr>
      <w:tr w:rsidR="002F0A05" w:rsidRPr="00DC0173" w14:paraId="431C7B72" w14:textId="77777777" w:rsidTr="00E63192">
        <w:tc>
          <w:tcPr>
            <w:tcW w:w="4026" w:type="dxa"/>
          </w:tcPr>
          <w:p w14:paraId="70D04B1A" w14:textId="77777777" w:rsidR="002F0A05" w:rsidRPr="001F3230" w:rsidRDefault="002F0A05" w:rsidP="00E63192">
            <w:pPr>
              <w:pStyle w:val="TableTextWhite"/>
              <w:rPr>
                <w:b/>
              </w:rPr>
            </w:pPr>
            <w:r w:rsidRPr="001F3230">
              <w:rPr>
                <w:b/>
              </w:rPr>
              <w:t>Date of Approval</w:t>
            </w:r>
          </w:p>
        </w:tc>
        <w:tc>
          <w:tcPr>
            <w:tcW w:w="6561" w:type="dxa"/>
          </w:tcPr>
          <w:p w14:paraId="01DE2ACC" w14:textId="40EE58CA" w:rsidR="002F0A05" w:rsidRPr="007A4365" w:rsidRDefault="00AD43CB" w:rsidP="00E63192">
            <w:pPr>
              <w:pStyle w:val="TableTextWhite"/>
              <w:rPr>
                <w:b/>
                <w:bCs/>
              </w:rPr>
            </w:pPr>
            <w:r>
              <w:rPr>
                <w:b/>
                <w:bCs/>
              </w:rPr>
              <w:t>September</w:t>
            </w:r>
            <w:r w:rsidR="00C46668">
              <w:rPr>
                <w:b/>
                <w:bCs/>
              </w:rPr>
              <w:t xml:space="preserve"> 2024</w:t>
            </w:r>
          </w:p>
        </w:tc>
      </w:tr>
      <w:tr w:rsidR="002F0A05" w:rsidRPr="00C2166A" w14:paraId="2572C8FB" w14:textId="77777777" w:rsidTr="00E63192">
        <w:tc>
          <w:tcPr>
            <w:tcW w:w="4026" w:type="dxa"/>
            <w:vAlign w:val="center"/>
          </w:tcPr>
          <w:p w14:paraId="36B8AC1E" w14:textId="77777777" w:rsidR="002F0A05" w:rsidRPr="001F3230" w:rsidRDefault="002F0A05" w:rsidP="00E63192">
            <w:pPr>
              <w:pStyle w:val="TableTextWhite"/>
              <w:rPr>
                <w:b/>
              </w:rPr>
            </w:pPr>
            <w:r>
              <w:rPr>
                <w:b/>
              </w:rPr>
              <w:t>Agency Website</w:t>
            </w:r>
          </w:p>
        </w:tc>
        <w:tc>
          <w:tcPr>
            <w:tcW w:w="6561" w:type="dxa"/>
          </w:tcPr>
          <w:p w14:paraId="65AFD45C" w14:textId="7A678F01" w:rsidR="002F0A05" w:rsidRPr="007A4365" w:rsidRDefault="00A22066" w:rsidP="00E63192">
            <w:pPr>
              <w:pStyle w:val="TableTextWhite"/>
              <w:rPr>
                <w:b/>
                <w:bCs/>
              </w:rPr>
            </w:pPr>
            <w:r w:rsidRPr="00A22066">
              <w:rPr>
                <w:b/>
                <w:bCs/>
                <w:lang w:val="en-US"/>
              </w:rPr>
              <w:t>www.energyco.nsw.gov.au</w:t>
            </w:r>
          </w:p>
        </w:tc>
      </w:tr>
    </w:tbl>
    <w:p w14:paraId="6432B52D" w14:textId="77777777" w:rsidR="00972A1A" w:rsidRDefault="00972A1A" w:rsidP="00972A1A">
      <w:pPr>
        <w:tabs>
          <w:tab w:val="left" w:pos="2925"/>
        </w:tabs>
      </w:pPr>
    </w:p>
    <w:p w14:paraId="041E6225" w14:textId="05F08C12" w:rsidR="00B432BF" w:rsidRPr="00B432BF" w:rsidRDefault="00B432BF" w:rsidP="2DD5F5A5">
      <w:pPr>
        <w:spacing w:before="240"/>
        <w:rPr>
          <w:rFonts w:eastAsia="Arial" w:cs="Arial"/>
          <w:b/>
          <w:bCs/>
          <w:color w:val="000000" w:themeColor="text1"/>
          <w:sz w:val="26"/>
          <w:szCs w:val="26"/>
        </w:rPr>
      </w:pPr>
      <w:r w:rsidRPr="00B432BF">
        <w:rPr>
          <w:rFonts w:eastAsia="Arial" w:cs="Arial"/>
          <w:b/>
          <w:bCs/>
          <w:color w:val="000000" w:themeColor="text1"/>
          <w:sz w:val="26"/>
          <w:szCs w:val="26"/>
        </w:rPr>
        <w:t>Who we are</w:t>
      </w:r>
    </w:p>
    <w:p w14:paraId="2B9C80F8" w14:textId="4BFB55FB" w:rsidR="00AC6B1A" w:rsidRDefault="2FDC6C52" w:rsidP="2DD5F5A5">
      <w:pPr>
        <w:spacing w:before="240"/>
      </w:pPr>
      <w:r w:rsidRPr="2DD5F5A5">
        <w:rPr>
          <w:rFonts w:eastAsia="Arial" w:cs="Arial"/>
          <w:color w:val="000000" w:themeColor="text1"/>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agency related to the Department of Climate Change, Energy, the Environment and Water (DCCEEW). </w:t>
      </w:r>
    </w:p>
    <w:p w14:paraId="6C32299C" w14:textId="47F2CE99" w:rsidR="00AC6B1A" w:rsidRDefault="2FDC6C52" w:rsidP="2DD5F5A5">
      <w:pPr>
        <w:rPr>
          <w:rFonts w:eastAsia="Times New Roman" w:cs="Arial"/>
          <w:color w:val="111111"/>
        </w:rPr>
      </w:pPr>
      <w:r w:rsidRPr="2DD5F5A5">
        <w:rPr>
          <w:rFonts w:eastAsia="Arial" w:cs="Arial"/>
          <w:color w:val="000000" w:themeColor="text1"/>
        </w:rPr>
        <w:t>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Orana, New England, South West, Hunter-Central Coast, and Illawarra regions. We work closely with communities, investors, and industry to investigate, plan, recommend and coordinate generation, storage and network infrastructure projects</w:t>
      </w:r>
      <w:r w:rsidR="00AC6B1A" w:rsidRPr="2DD5F5A5">
        <w:rPr>
          <w:rFonts w:eastAsia="Times New Roman" w:cs="Arial"/>
          <w:color w:val="111111"/>
        </w:rPr>
        <w:t xml:space="preserve">  </w:t>
      </w:r>
    </w:p>
    <w:p w14:paraId="037F9323" w14:textId="496DEC6F" w:rsidR="003254AD" w:rsidRDefault="003254AD" w:rsidP="003254AD">
      <w:pPr>
        <w:tabs>
          <w:tab w:val="left" w:pos="2925"/>
        </w:tabs>
        <w:rPr>
          <w:rStyle w:val="Heading1Char"/>
        </w:rPr>
      </w:pPr>
      <w:r>
        <w:rPr>
          <w:rStyle w:val="Heading1Char"/>
        </w:rPr>
        <w:t xml:space="preserve">About </w:t>
      </w:r>
      <w:r w:rsidR="005C4374">
        <w:rPr>
          <w:rStyle w:val="Heading1Char"/>
        </w:rPr>
        <w:t xml:space="preserve">the </w:t>
      </w:r>
      <w:r>
        <w:rPr>
          <w:rStyle w:val="Heading1Char"/>
        </w:rPr>
        <w:t>T</w:t>
      </w:r>
      <w:r w:rsidR="002E7200">
        <w:rPr>
          <w:rStyle w:val="Heading1Char"/>
        </w:rPr>
        <w:t xml:space="preserve">ransmission </w:t>
      </w:r>
      <w:r>
        <w:rPr>
          <w:rStyle w:val="Heading1Char"/>
        </w:rPr>
        <w:t>A</w:t>
      </w:r>
      <w:r w:rsidR="002E7200">
        <w:rPr>
          <w:rStyle w:val="Heading1Char"/>
        </w:rPr>
        <w:t xml:space="preserve">cceleration </w:t>
      </w:r>
      <w:r>
        <w:rPr>
          <w:rStyle w:val="Heading1Char"/>
        </w:rPr>
        <w:t>F</w:t>
      </w:r>
      <w:r w:rsidR="002E7200">
        <w:rPr>
          <w:rStyle w:val="Heading1Char"/>
        </w:rPr>
        <w:t>acility (TAF)</w:t>
      </w:r>
    </w:p>
    <w:p w14:paraId="625B0231" w14:textId="77777777" w:rsidR="00FD5FF1" w:rsidRDefault="00FD5FF1" w:rsidP="00FD5FF1">
      <w:pPr>
        <w:spacing w:after="160"/>
      </w:pPr>
      <w:r>
        <w:t>The TAF is a revolving capital facility with the purpose of accelerating the development of transmission infrastructure and other enabling projects required to meet the Roadmap objectives for affordable and reliable supply of energy. The TAF operates to bridge the gap between when costs are incurred by EnergyCo and when they are recovered from network operators.</w:t>
      </w:r>
    </w:p>
    <w:p w14:paraId="1E794C86" w14:textId="468C9C68" w:rsidR="003254AD" w:rsidRPr="00FD5FF1" w:rsidRDefault="00FD5FF1" w:rsidP="00FD5FF1">
      <w:pPr>
        <w:spacing w:after="160"/>
      </w:pPr>
      <w:r>
        <w:t xml:space="preserve">TAF, governed by the TAF Investment Committee, is a $1.2-2 billion financing facility established to enable fast tracking and de-risking the delivery of critical transmission infrastructure by providing revenue certainty for projects and investors. </w:t>
      </w:r>
    </w:p>
    <w:p w14:paraId="424E1127" w14:textId="6CE7E189" w:rsidR="00972A1A" w:rsidRDefault="00972A1A" w:rsidP="00972A1A">
      <w:pPr>
        <w:tabs>
          <w:tab w:val="left" w:pos="2925"/>
        </w:tabs>
        <w:rPr>
          <w:rStyle w:val="Heading1Char"/>
        </w:rPr>
      </w:pPr>
      <w:r w:rsidRPr="00614552">
        <w:rPr>
          <w:rStyle w:val="Heading1Char"/>
        </w:rPr>
        <w:t>Primary purpose of the role</w:t>
      </w:r>
    </w:p>
    <w:p w14:paraId="4BA72B2D" w14:textId="0F86F58C" w:rsidR="007C2FF1" w:rsidRDefault="007C2FF1" w:rsidP="007C2FF1">
      <w:pPr>
        <w:spacing w:after="160"/>
      </w:pPr>
      <w:r w:rsidRPr="003C20E4">
        <w:t>The</w:t>
      </w:r>
      <w:r>
        <w:t xml:space="preserve"> </w:t>
      </w:r>
      <w:bookmarkStart w:id="9" w:name="_Hlk159689100"/>
      <w:r>
        <w:t xml:space="preserve">Senior Manager TAF and Regulatory </w:t>
      </w:r>
      <w:bookmarkEnd w:id="9"/>
      <w:r>
        <w:t xml:space="preserve">supports the Chief Financial Officer to manage and oversee the TAF including managing EnergyCo’s regulatory submissions (including the annual Contribution Determination) ensuring the provision of timely and accurate information and expert advice. </w:t>
      </w:r>
    </w:p>
    <w:p w14:paraId="307621FB" w14:textId="770E4027" w:rsidR="00596A6E" w:rsidRPr="007C2FF1" w:rsidRDefault="007C2FF1" w:rsidP="007C2FF1">
      <w:pPr>
        <w:rPr>
          <w:rStyle w:val="Heading1Char"/>
          <w:rFonts w:eastAsiaTheme="minorEastAsia" w:cstheme="minorBidi"/>
          <w:b w:val="0"/>
          <w:bCs w:val="0"/>
          <w:kern w:val="0"/>
          <w:sz w:val="22"/>
          <w:szCs w:val="22"/>
          <w:lang w:val="en-US"/>
        </w:rPr>
      </w:pPr>
      <w:r>
        <w:lastRenderedPageBreak/>
        <w:t>This role is a trusted advisor to EnergyCo’s Chief Financial Officer and the leadership team on project funding and assurance to support delivery of project and policy outcomes. The role has a critical function in ensuring compliant yet effective use of the TAF which is the key funding mechanism for EnergyCo’s major project development costs.</w:t>
      </w:r>
    </w:p>
    <w:p w14:paraId="23C036ED" w14:textId="41E5D141" w:rsidR="00D87020" w:rsidRPr="005D542C" w:rsidRDefault="00972A1A" w:rsidP="005D542C">
      <w:pPr>
        <w:pStyle w:val="Heading1"/>
      </w:pPr>
      <w:r w:rsidRPr="00A14A03">
        <w:t>Key accountabilities</w:t>
      </w:r>
    </w:p>
    <w:p w14:paraId="7D0EF722" w14:textId="77777777" w:rsidR="005D542C" w:rsidRDefault="005D542C" w:rsidP="005D542C">
      <w:pPr>
        <w:numPr>
          <w:ilvl w:val="0"/>
          <w:numId w:val="38"/>
        </w:numPr>
        <w:shd w:val="clear" w:color="auto" w:fill="FFFFFF"/>
        <w:tabs>
          <w:tab w:val="left" w:pos="2925"/>
        </w:tabs>
        <w:spacing w:after="0"/>
        <w:rPr>
          <w:color w:val="2D2D2D"/>
          <w:lang w:bidi="th-TH"/>
        </w:rPr>
      </w:pPr>
      <w:r>
        <w:rPr>
          <w:color w:val="2D2D2D"/>
          <w:lang w:bidi="th-TH"/>
        </w:rPr>
        <w:t>Responsible for management of the TAF model including maintenance, scenario analysis and ensuring the model is accurate and fit for purpose.</w:t>
      </w:r>
    </w:p>
    <w:p w14:paraId="422BBCED" w14:textId="77777777" w:rsidR="005D542C" w:rsidRDefault="005D542C" w:rsidP="005D542C">
      <w:pPr>
        <w:numPr>
          <w:ilvl w:val="0"/>
          <w:numId w:val="38"/>
        </w:numPr>
        <w:shd w:val="clear" w:color="auto" w:fill="FFFFFF"/>
        <w:tabs>
          <w:tab w:val="left" w:pos="2925"/>
        </w:tabs>
        <w:spacing w:after="0"/>
        <w:rPr>
          <w:color w:val="2D2D2D"/>
          <w:lang w:bidi="th-TH"/>
        </w:rPr>
      </w:pPr>
      <w:r>
        <w:rPr>
          <w:color w:val="2D2D2D"/>
          <w:lang w:bidi="th-TH"/>
        </w:rPr>
        <w:t>Preparation of monthly reports to the TAF Investment Committee and EnergyCo Advisory Committee including actual status, forecasts and scenario analysis related to identified risks and opportunities in the projects.</w:t>
      </w:r>
    </w:p>
    <w:p w14:paraId="22FBB2EE" w14:textId="77777777" w:rsidR="005D542C" w:rsidRDefault="005D542C" w:rsidP="005D542C">
      <w:pPr>
        <w:numPr>
          <w:ilvl w:val="0"/>
          <w:numId w:val="38"/>
        </w:numPr>
        <w:shd w:val="clear" w:color="auto" w:fill="FFFFFF"/>
        <w:tabs>
          <w:tab w:val="left" w:pos="2925"/>
        </w:tabs>
        <w:spacing w:after="0"/>
        <w:rPr>
          <w:color w:val="2D2D2D"/>
          <w:lang w:bidi="th-TH"/>
        </w:rPr>
      </w:pPr>
      <w:r>
        <w:rPr>
          <w:color w:val="2D2D2D"/>
          <w:lang w:bidi="th-TH"/>
        </w:rPr>
        <w:t>Responsible for preparation of budget proposals including supporting documentation and justification for any extensions, increases or other amendments required to the TAF across the ten-year budget projections.</w:t>
      </w:r>
    </w:p>
    <w:p w14:paraId="2D0C1E57" w14:textId="77777777" w:rsidR="005D542C" w:rsidRDefault="005D542C" w:rsidP="005D542C">
      <w:pPr>
        <w:numPr>
          <w:ilvl w:val="0"/>
          <w:numId w:val="38"/>
        </w:numPr>
        <w:shd w:val="clear" w:color="auto" w:fill="FFFFFF"/>
        <w:tabs>
          <w:tab w:val="left" w:pos="2925"/>
        </w:tabs>
        <w:spacing w:after="0"/>
        <w:rPr>
          <w:color w:val="2D2D2D"/>
          <w:lang w:bidi="th-TH"/>
        </w:rPr>
      </w:pPr>
      <w:r>
        <w:rPr>
          <w:color w:val="2D2D2D"/>
          <w:lang w:bidi="th-TH"/>
        </w:rPr>
        <w:t>Responsible for overall EnergyCo cash flow (and debt, if required) management to ensure sufficient cashflows to meet forecast payments, timely updates to Treasury cash flow forecasts, accurate fund source reporting and monitoring, managing Special Deposit Account obligations, and that EnergyCo is compliant with all financial asset and liability management requirements.</w:t>
      </w:r>
    </w:p>
    <w:p w14:paraId="44F4CD31" w14:textId="77777777" w:rsidR="005D542C" w:rsidRDefault="005D542C" w:rsidP="005D542C">
      <w:pPr>
        <w:numPr>
          <w:ilvl w:val="0"/>
          <w:numId w:val="38"/>
        </w:numPr>
        <w:shd w:val="clear" w:color="auto" w:fill="FFFFFF"/>
        <w:tabs>
          <w:tab w:val="left" w:pos="2925"/>
        </w:tabs>
        <w:spacing w:after="0"/>
        <w:rPr>
          <w:color w:val="2D2D2D"/>
          <w:lang w:bidi="th-TH"/>
        </w:rPr>
      </w:pPr>
      <w:r>
        <w:rPr>
          <w:color w:val="2D2D2D"/>
          <w:lang w:bidi="th-TH"/>
        </w:rPr>
        <w:t>Co-ordination and collation of project and cost centre information for incorporation into the annual contribution determination submission to the Australian Energy Regulator.</w:t>
      </w:r>
    </w:p>
    <w:p w14:paraId="7E70A59E" w14:textId="77777777" w:rsidR="005D542C" w:rsidRDefault="005D542C" w:rsidP="005D542C">
      <w:pPr>
        <w:numPr>
          <w:ilvl w:val="0"/>
          <w:numId w:val="38"/>
        </w:numPr>
        <w:shd w:val="clear" w:color="auto" w:fill="FFFFFF"/>
        <w:tabs>
          <w:tab w:val="left" w:pos="2925"/>
        </w:tabs>
        <w:spacing w:after="0"/>
        <w:rPr>
          <w:color w:val="2D2D2D"/>
          <w:lang w:bidi="th-TH"/>
        </w:rPr>
      </w:pPr>
      <w:r>
        <w:rPr>
          <w:color w:val="2D2D2D"/>
          <w:lang w:bidi="th-TH"/>
        </w:rPr>
        <w:t xml:space="preserve">Responsible for advice on and modelling of scenarios and options for regulatory submissions to ensure balancing consumer impacts and commercial considerations. </w:t>
      </w:r>
    </w:p>
    <w:p w14:paraId="428E8FEA" w14:textId="77777777" w:rsidR="005D542C" w:rsidRPr="006157CD" w:rsidRDefault="005D542C" w:rsidP="005D542C">
      <w:pPr>
        <w:numPr>
          <w:ilvl w:val="0"/>
          <w:numId w:val="38"/>
        </w:numPr>
        <w:shd w:val="clear" w:color="auto" w:fill="FFFFFF"/>
        <w:tabs>
          <w:tab w:val="left" w:pos="2925"/>
        </w:tabs>
        <w:spacing w:after="0"/>
        <w:rPr>
          <w:color w:val="2D2D2D"/>
          <w:lang w:bidi="th-TH"/>
        </w:rPr>
      </w:pPr>
      <w:r>
        <w:rPr>
          <w:color w:val="2D2D2D"/>
          <w:lang w:bidi="th-TH"/>
        </w:rPr>
        <w:t>Liaison with key external stakeholders including NSW Treasury, the Australian Energy Regulator, the Consumer Trustee and the Audit Office of NSW.</w:t>
      </w:r>
    </w:p>
    <w:p w14:paraId="683A0B0C" w14:textId="417D8D35" w:rsidR="007C2FF1" w:rsidRPr="0019203F" w:rsidRDefault="005D542C" w:rsidP="0019203F">
      <w:pPr>
        <w:pStyle w:val="ListParagraph"/>
        <w:numPr>
          <w:ilvl w:val="0"/>
          <w:numId w:val="38"/>
        </w:numPr>
        <w:tabs>
          <w:tab w:val="left" w:pos="2925"/>
        </w:tabs>
        <w:rPr>
          <w:rStyle w:val="Heading1Char"/>
          <w:rFonts w:eastAsiaTheme="minorEastAsia" w:cstheme="minorBidi"/>
          <w:b w:val="0"/>
          <w:bCs w:val="0"/>
          <w:kern w:val="0"/>
          <w:sz w:val="22"/>
          <w:szCs w:val="22"/>
          <w:lang w:val="en-US"/>
        </w:rPr>
      </w:pPr>
      <w:r>
        <w:t>Work collaboratively with key internal stakeholders (including the Leadership Team, EnergyCo Advisory Committee and TAF Investment Committee) and other Finance team members and contributing to a high performing team culture.</w:t>
      </w:r>
    </w:p>
    <w:p w14:paraId="5E4F1589" w14:textId="0B77E2F4" w:rsidR="00972A1A" w:rsidRDefault="00972A1A" w:rsidP="002E3CFC">
      <w:pPr>
        <w:tabs>
          <w:tab w:val="left" w:pos="2925"/>
        </w:tabs>
        <w:rPr>
          <w:rStyle w:val="Heading1Char"/>
        </w:rPr>
      </w:pPr>
      <w:r w:rsidRPr="00614552">
        <w:rPr>
          <w:rStyle w:val="Heading1Char"/>
        </w:rPr>
        <w:t>Key challenges</w:t>
      </w:r>
    </w:p>
    <w:p w14:paraId="62919B96" w14:textId="77777777" w:rsidR="00D21E7C" w:rsidRDefault="00D21E7C" w:rsidP="00D21E7C">
      <w:pPr>
        <w:pStyle w:val="ListParagraph"/>
        <w:numPr>
          <w:ilvl w:val="0"/>
          <w:numId w:val="40"/>
        </w:numPr>
        <w:tabs>
          <w:tab w:val="left" w:pos="2925"/>
        </w:tabs>
      </w:pPr>
      <w:r>
        <w:t>Deliver financial management advice and services that are supportive of rapid organisational growth and changing operating environment while upholding ethical and professional standards and ensuring robust financial governance.</w:t>
      </w:r>
    </w:p>
    <w:p w14:paraId="070AAFB3" w14:textId="77777777" w:rsidR="00D21E7C" w:rsidRPr="00D21E7C" w:rsidRDefault="00D21E7C" w:rsidP="00D21E7C">
      <w:pPr>
        <w:pStyle w:val="ListParagraph"/>
        <w:numPr>
          <w:ilvl w:val="0"/>
          <w:numId w:val="40"/>
        </w:numPr>
        <w:tabs>
          <w:tab w:val="left" w:pos="426"/>
          <w:tab w:val="left" w:pos="2925"/>
        </w:tabs>
        <w:rPr>
          <w:rFonts w:ascii="Georgia" w:hAnsi="Georgia"/>
        </w:rPr>
      </w:pPr>
      <w:r w:rsidRPr="005D35E3">
        <w:t>Build</w:t>
      </w:r>
      <w:r w:rsidRPr="00D21E7C">
        <w:rPr>
          <w:spacing w:val="-5"/>
        </w:rPr>
        <w:t xml:space="preserve"> </w:t>
      </w:r>
      <w:r w:rsidRPr="005D35E3">
        <w:t>the</w:t>
      </w:r>
      <w:r w:rsidRPr="00D21E7C">
        <w:rPr>
          <w:spacing w:val="-1"/>
        </w:rPr>
        <w:t xml:space="preserve"> </w:t>
      </w:r>
      <w:r w:rsidRPr="005D35E3">
        <w:t>confidence</w:t>
      </w:r>
      <w:r w:rsidRPr="00D21E7C">
        <w:rPr>
          <w:spacing w:val="-5"/>
        </w:rPr>
        <w:t xml:space="preserve"> </w:t>
      </w:r>
      <w:r w:rsidRPr="005D35E3">
        <w:t>and</w:t>
      </w:r>
      <w:r w:rsidRPr="00D21E7C">
        <w:rPr>
          <w:spacing w:val="-1"/>
        </w:rPr>
        <w:t xml:space="preserve"> </w:t>
      </w:r>
      <w:r w:rsidRPr="005D35E3">
        <w:t>support</w:t>
      </w:r>
      <w:r w:rsidRPr="00D21E7C">
        <w:rPr>
          <w:spacing w:val="-6"/>
        </w:rPr>
        <w:t xml:space="preserve"> </w:t>
      </w:r>
      <w:r w:rsidRPr="005D35E3">
        <w:t>of</w:t>
      </w:r>
      <w:r w:rsidRPr="00D21E7C">
        <w:rPr>
          <w:spacing w:val="-1"/>
        </w:rPr>
        <w:t xml:space="preserve"> </w:t>
      </w:r>
      <w:r w:rsidRPr="005D35E3">
        <w:t>stakeholders,</w:t>
      </w:r>
      <w:r w:rsidRPr="00D21E7C">
        <w:rPr>
          <w:spacing w:val="-10"/>
        </w:rPr>
        <w:t xml:space="preserve"> </w:t>
      </w:r>
      <w:r w:rsidRPr="005D35E3">
        <w:t>clients</w:t>
      </w:r>
      <w:r w:rsidRPr="00D21E7C">
        <w:rPr>
          <w:spacing w:val="-7"/>
        </w:rPr>
        <w:t xml:space="preserve"> </w:t>
      </w:r>
      <w:r w:rsidRPr="005D35E3">
        <w:t>and</w:t>
      </w:r>
      <w:r w:rsidRPr="00D21E7C">
        <w:rPr>
          <w:spacing w:val="-5"/>
        </w:rPr>
        <w:t xml:space="preserve"> </w:t>
      </w:r>
      <w:r w:rsidRPr="005D35E3">
        <w:t>peers</w:t>
      </w:r>
      <w:r w:rsidRPr="00D21E7C">
        <w:rPr>
          <w:spacing w:val="-2"/>
        </w:rPr>
        <w:t xml:space="preserve"> </w:t>
      </w:r>
      <w:r w:rsidRPr="005D35E3">
        <w:t>to</w:t>
      </w:r>
      <w:r w:rsidRPr="00D21E7C">
        <w:rPr>
          <w:spacing w:val="-1"/>
        </w:rPr>
        <w:t xml:space="preserve"> </w:t>
      </w:r>
      <w:r w:rsidRPr="005D35E3">
        <w:t>manage</w:t>
      </w:r>
      <w:r w:rsidRPr="00D21E7C">
        <w:rPr>
          <w:spacing w:val="-5"/>
        </w:rPr>
        <w:t xml:space="preserve"> </w:t>
      </w:r>
      <w:r w:rsidRPr="005D35E3">
        <w:t>diverse</w:t>
      </w:r>
      <w:r w:rsidRPr="00D21E7C">
        <w:rPr>
          <w:spacing w:val="-5"/>
        </w:rPr>
        <w:t xml:space="preserve"> </w:t>
      </w:r>
      <w:r w:rsidRPr="005D35E3">
        <w:t>and</w:t>
      </w:r>
      <w:r w:rsidRPr="00D21E7C">
        <w:rPr>
          <w:spacing w:val="-13"/>
        </w:rPr>
        <w:t xml:space="preserve"> </w:t>
      </w:r>
      <w:r w:rsidRPr="005D35E3">
        <w:t>frequently urgent</w:t>
      </w:r>
      <w:r w:rsidRPr="00D21E7C">
        <w:rPr>
          <w:spacing w:val="-7"/>
        </w:rPr>
        <w:t xml:space="preserve"> </w:t>
      </w:r>
      <w:r w:rsidRPr="005D35E3">
        <w:t>and</w:t>
      </w:r>
      <w:r w:rsidRPr="00D21E7C">
        <w:rPr>
          <w:spacing w:val="-3"/>
        </w:rPr>
        <w:t xml:space="preserve"> </w:t>
      </w:r>
      <w:r w:rsidRPr="005D35E3">
        <w:t>competing</w:t>
      </w:r>
      <w:r w:rsidRPr="00D21E7C">
        <w:rPr>
          <w:spacing w:val="-3"/>
        </w:rPr>
        <w:t xml:space="preserve"> </w:t>
      </w:r>
      <w:r w:rsidRPr="005D35E3">
        <w:t>business</w:t>
      </w:r>
      <w:r w:rsidRPr="00D21E7C">
        <w:rPr>
          <w:spacing w:val="-3"/>
        </w:rPr>
        <w:t xml:space="preserve"> </w:t>
      </w:r>
      <w:r w:rsidRPr="005D35E3">
        <w:t>requests</w:t>
      </w:r>
      <w:r w:rsidRPr="00D21E7C">
        <w:rPr>
          <w:spacing w:val="-3"/>
        </w:rPr>
        <w:t xml:space="preserve"> </w:t>
      </w:r>
      <w:r w:rsidRPr="005D35E3">
        <w:t>and</w:t>
      </w:r>
      <w:r w:rsidRPr="00D21E7C">
        <w:rPr>
          <w:spacing w:val="-6"/>
        </w:rPr>
        <w:t xml:space="preserve"> </w:t>
      </w:r>
      <w:r w:rsidRPr="005D35E3">
        <w:t>demand</w:t>
      </w:r>
      <w:r w:rsidRPr="00D21E7C">
        <w:rPr>
          <w:spacing w:val="-3"/>
        </w:rPr>
        <w:t xml:space="preserve"> </w:t>
      </w:r>
      <w:r w:rsidRPr="005D35E3">
        <w:t>deadlines</w:t>
      </w:r>
      <w:r w:rsidRPr="00D21E7C">
        <w:rPr>
          <w:spacing w:val="-3"/>
        </w:rPr>
        <w:t xml:space="preserve"> </w:t>
      </w:r>
      <w:r w:rsidRPr="005D35E3">
        <w:t>in</w:t>
      </w:r>
      <w:r w:rsidRPr="00D21E7C">
        <w:rPr>
          <w:spacing w:val="-6"/>
        </w:rPr>
        <w:t xml:space="preserve"> </w:t>
      </w:r>
      <w:r w:rsidRPr="005D35E3">
        <w:t>a</w:t>
      </w:r>
      <w:r w:rsidRPr="00D21E7C">
        <w:rPr>
          <w:spacing w:val="-3"/>
        </w:rPr>
        <w:t xml:space="preserve"> </w:t>
      </w:r>
      <w:r w:rsidRPr="005D35E3">
        <w:t>complex,</w:t>
      </w:r>
      <w:r w:rsidRPr="00D21E7C">
        <w:rPr>
          <w:spacing w:val="-7"/>
        </w:rPr>
        <w:t xml:space="preserve"> </w:t>
      </w:r>
      <w:r w:rsidRPr="005D35E3">
        <w:t>demanding</w:t>
      </w:r>
      <w:r w:rsidRPr="00D21E7C">
        <w:rPr>
          <w:spacing w:val="-16"/>
        </w:rPr>
        <w:t xml:space="preserve"> </w:t>
      </w:r>
      <w:r w:rsidRPr="005D35E3">
        <w:t>environment of significant</w:t>
      </w:r>
      <w:r w:rsidRPr="00D21E7C">
        <w:rPr>
          <w:spacing w:val="9"/>
        </w:rPr>
        <w:t xml:space="preserve"> </w:t>
      </w:r>
      <w:r w:rsidRPr="005D35E3">
        <w:t>change</w:t>
      </w:r>
      <w:r w:rsidRPr="00D21E7C">
        <w:rPr>
          <w:sz w:val="24"/>
          <w:szCs w:val="24"/>
        </w:rPr>
        <w:t>.</w:t>
      </w:r>
      <w:r w:rsidRPr="00452487">
        <w:t xml:space="preserve"> </w:t>
      </w:r>
    </w:p>
    <w:p w14:paraId="40031036" w14:textId="77777777" w:rsidR="00D21E7C" w:rsidRPr="00D21E7C" w:rsidRDefault="00D21E7C" w:rsidP="00D21E7C">
      <w:pPr>
        <w:pStyle w:val="ListParagraph"/>
        <w:numPr>
          <w:ilvl w:val="0"/>
          <w:numId w:val="40"/>
        </w:numPr>
        <w:tabs>
          <w:tab w:val="left" w:pos="2925"/>
        </w:tabs>
        <w:rPr>
          <w:rFonts w:ascii="Georgia" w:hAnsi="Georgia"/>
        </w:rPr>
      </w:pPr>
      <w:r>
        <w:t>Understanding and responding to the complex regulatory and commercial environment in which EnergyCo operates and identifying and responding to potential risks and opportunities</w:t>
      </w:r>
      <w:r w:rsidRPr="00614552">
        <w:t xml:space="preserve">. </w:t>
      </w:r>
    </w:p>
    <w:p w14:paraId="539ADAAF" w14:textId="60DFDF81" w:rsidR="00FE082C" w:rsidRPr="00FE082C" w:rsidRDefault="00CB6D4F" w:rsidP="00FE082C">
      <w:pPr>
        <w:pStyle w:val="Heading1"/>
        <w:spacing w:before="187" w:after="13"/>
      </w:pPr>
      <w:r>
        <w:t>Key</w:t>
      </w:r>
      <w:r>
        <w:rPr>
          <w:spacing w:val="-13"/>
        </w:rPr>
        <w:t xml:space="preserve"> </w:t>
      </w:r>
      <w:r w:rsidR="00FE082C">
        <w:t>R</w:t>
      </w:r>
      <w:r>
        <w:t>elationships</w:t>
      </w:r>
    </w:p>
    <w:tbl>
      <w:tblPr>
        <w:tblW w:w="0" w:type="auto"/>
        <w:tblInd w:w="123" w:type="dxa"/>
        <w:tblLayout w:type="fixed"/>
        <w:tblCellMar>
          <w:left w:w="0" w:type="dxa"/>
          <w:right w:w="0" w:type="dxa"/>
        </w:tblCellMar>
        <w:tblLook w:val="01E0" w:firstRow="1" w:lastRow="1" w:firstColumn="1" w:lastColumn="1" w:noHBand="0" w:noVBand="0"/>
      </w:tblPr>
      <w:tblGrid>
        <w:gridCol w:w="3730"/>
        <w:gridCol w:w="25"/>
        <w:gridCol w:w="6853"/>
      </w:tblGrid>
      <w:tr w:rsidR="00CB6D4F" w14:paraId="68CDAB7D" w14:textId="77777777" w:rsidTr="00886948">
        <w:trPr>
          <w:trHeight w:val="359"/>
        </w:trPr>
        <w:tc>
          <w:tcPr>
            <w:tcW w:w="3755" w:type="dxa"/>
            <w:gridSpan w:val="2"/>
            <w:tcBorders>
              <w:top w:val="single" w:sz="8" w:space="0" w:color="000000"/>
              <w:bottom w:val="single" w:sz="8" w:space="0" w:color="000000"/>
            </w:tcBorders>
            <w:shd w:val="clear" w:color="auto" w:fill="6C276A"/>
          </w:tcPr>
          <w:p w14:paraId="2AF77A8B" w14:textId="77777777" w:rsidR="00CB6D4F" w:rsidRDefault="00CB6D4F" w:rsidP="00886948">
            <w:pPr>
              <w:pStyle w:val="TableParagraph"/>
              <w:spacing w:before="85"/>
              <w:ind w:left="72"/>
              <w:rPr>
                <w:b/>
                <w:sz w:val="20"/>
              </w:rPr>
            </w:pPr>
            <w:r>
              <w:rPr>
                <w:b/>
                <w:color w:val="FFFFFF"/>
                <w:sz w:val="20"/>
              </w:rPr>
              <w:t>Who</w:t>
            </w:r>
          </w:p>
        </w:tc>
        <w:tc>
          <w:tcPr>
            <w:tcW w:w="6853" w:type="dxa"/>
            <w:tcBorders>
              <w:top w:val="single" w:sz="8" w:space="0" w:color="000000"/>
              <w:bottom w:val="single" w:sz="8" w:space="0" w:color="000000"/>
            </w:tcBorders>
            <w:shd w:val="clear" w:color="auto" w:fill="6C276A"/>
          </w:tcPr>
          <w:p w14:paraId="7324E0B6" w14:textId="77777777" w:rsidR="00CB6D4F" w:rsidRDefault="00CB6D4F" w:rsidP="00886948">
            <w:pPr>
              <w:pStyle w:val="TableParagraph"/>
              <w:spacing w:before="85"/>
              <w:ind w:left="302"/>
              <w:rPr>
                <w:b/>
                <w:sz w:val="20"/>
              </w:rPr>
            </w:pPr>
            <w:r>
              <w:rPr>
                <w:b/>
                <w:color w:val="FFFFFF"/>
                <w:sz w:val="20"/>
              </w:rPr>
              <w:t>Why</w:t>
            </w:r>
          </w:p>
        </w:tc>
      </w:tr>
      <w:tr w:rsidR="00CB6D4F" w14:paraId="5D492931" w14:textId="77777777" w:rsidTr="00886948">
        <w:trPr>
          <w:trHeight w:val="359"/>
        </w:trPr>
        <w:tc>
          <w:tcPr>
            <w:tcW w:w="3755" w:type="dxa"/>
            <w:gridSpan w:val="2"/>
            <w:tcBorders>
              <w:top w:val="single" w:sz="8" w:space="0" w:color="000000"/>
              <w:bottom w:val="single" w:sz="8" w:space="0" w:color="000000"/>
            </w:tcBorders>
            <w:shd w:val="clear" w:color="auto" w:fill="BABCC0"/>
          </w:tcPr>
          <w:p w14:paraId="3538C08A" w14:textId="77777777" w:rsidR="00CB6D4F" w:rsidRDefault="00CB6D4F" w:rsidP="00886948">
            <w:pPr>
              <w:pStyle w:val="TableParagraph"/>
              <w:spacing w:before="81"/>
              <w:ind w:left="72"/>
              <w:rPr>
                <w:b/>
                <w:sz w:val="20"/>
              </w:rPr>
            </w:pPr>
            <w:r>
              <w:rPr>
                <w:b/>
                <w:sz w:val="20"/>
              </w:rPr>
              <w:t>Internal</w:t>
            </w:r>
          </w:p>
        </w:tc>
        <w:tc>
          <w:tcPr>
            <w:tcW w:w="6853" w:type="dxa"/>
            <w:tcBorders>
              <w:top w:val="single" w:sz="8" w:space="0" w:color="000000"/>
              <w:bottom w:val="single" w:sz="8" w:space="0" w:color="000000"/>
            </w:tcBorders>
            <w:shd w:val="clear" w:color="auto" w:fill="BABCC0"/>
          </w:tcPr>
          <w:p w14:paraId="5D3F37B6" w14:textId="77777777" w:rsidR="00CB6D4F" w:rsidRDefault="00CB6D4F" w:rsidP="00886948">
            <w:pPr>
              <w:pStyle w:val="TableParagraph"/>
              <w:ind w:left="0"/>
              <w:rPr>
                <w:rFonts w:ascii="Times New Roman"/>
                <w:sz w:val="20"/>
              </w:rPr>
            </w:pPr>
          </w:p>
        </w:tc>
      </w:tr>
      <w:tr w:rsidR="00CB6D4F" w14:paraId="6F5BBBD3" w14:textId="77777777" w:rsidTr="00886948">
        <w:trPr>
          <w:trHeight w:val="551"/>
        </w:trPr>
        <w:tc>
          <w:tcPr>
            <w:tcW w:w="3755" w:type="dxa"/>
            <w:gridSpan w:val="2"/>
            <w:tcBorders>
              <w:top w:val="single" w:sz="8" w:space="0" w:color="000000"/>
              <w:bottom w:val="single" w:sz="8" w:space="0" w:color="000000"/>
            </w:tcBorders>
          </w:tcPr>
          <w:p w14:paraId="5ABE221A" w14:textId="77777777" w:rsidR="00CB6D4F" w:rsidRPr="002C3DAB" w:rsidRDefault="00CB6D4F" w:rsidP="00886948">
            <w:pPr>
              <w:pStyle w:val="TableParagraph"/>
              <w:spacing w:before="85"/>
              <w:ind w:left="72"/>
              <w:rPr>
                <w:sz w:val="20"/>
              </w:rPr>
            </w:pPr>
            <w:bookmarkStart w:id="10" w:name="_Hlk106122388"/>
            <w:r>
              <w:rPr>
                <w:sz w:val="20"/>
              </w:rPr>
              <w:t>Chief Financial Officer (CFO)</w:t>
            </w:r>
          </w:p>
        </w:tc>
        <w:tc>
          <w:tcPr>
            <w:tcW w:w="6853" w:type="dxa"/>
            <w:tcBorders>
              <w:top w:val="single" w:sz="8" w:space="0" w:color="000000"/>
              <w:bottom w:val="single" w:sz="8" w:space="0" w:color="000000"/>
            </w:tcBorders>
          </w:tcPr>
          <w:p w14:paraId="4B2F2F76" w14:textId="77777777" w:rsidR="00CB6D4F" w:rsidRDefault="00CB6D4F" w:rsidP="00CB6D4F">
            <w:pPr>
              <w:pStyle w:val="TableParagraph"/>
              <w:numPr>
                <w:ilvl w:val="0"/>
                <w:numId w:val="43"/>
              </w:numPr>
              <w:tabs>
                <w:tab w:val="left" w:pos="638"/>
                <w:tab w:val="left" w:pos="639"/>
              </w:tabs>
              <w:spacing w:before="72"/>
              <w:rPr>
                <w:sz w:val="20"/>
              </w:rPr>
            </w:pPr>
            <w:r>
              <w:rPr>
                <w:sz w:val="20"/>
              </w:rPr>
              <w:t>Escalate issues, keep informed, advise and receive instructions.</w:t>
            </w:r>
          </w:p>
          <w:p w14:paraId="6C3CB0E9" w14:textId="77777777" w:rsidR="00CB6D4F" w:rsidRDefault="00CB6D4F" w:rsidP="00CB6D4F">
            <w:pPr>
              <w:pStyle w:val="TableParagraph"/>
              <w:numPr>
                <w:ilvl w:val="0"/>
                <w:numId w:val="43"/>
              </w:numPr>
              <w:tabs>
                <w:tab w:val="left" w:pos="638"/>
                <w:tab w:val="left" w:pos="639"/>
              </w:tabs>
              <w:spacing w:before="71" w:after="60" w:line="230" w:lineRule="exact"/>
              <w:ind w:left="635" w:right="45" w:hanging="357"/>
              <w:rPr>
                <w:sz w:val="20"/>
              </w:rPr>
            </w:pPr>
            <w:r>
              <w:rPr>
                <w:sz w:val="20"/>
              </w:rPr>
              <w:t xml:space="preserve">Provide expert advice, guidance and information as required collectively by the Leadership Team to meet reporting and technical </w:t>
            </w:r>
            <w:r>
              <w:rPr>
                <w:sz w:val="20"/>
              </w:rPr>
              <w:lastRenderedPageBreak/>
              <w:t xml:space="preserve">requirements. </w:t>
            </w:r>
          </w:p>
        </w:tc>
      </w:tr>
      <w:bookmarkEnd w:id="10"/>
      <w:tr w:rsidR="00CB6D4F" w14:paraId="3727E048" w14:textId="77777777" w:rsidTr="00886948">
        <w:trPr>
          <w:trHeight w:val="551"/>
        </w:trPr>
        <w:tc>
          <w:tcPr>
            <w:tcW w:w="3755" w:type="dxa"/>
            <w:gridSpan w:val="2"/>
            <w:tcBorders>
              <w:top w:val="single" w:sz="8" w:space="0" w:color="000000"/>
              <w:bottom w:val="single" w:sz="8" w:space="0" w:color="000000"/>
            </w:tcBorders>
          </w:tcPr>
          <w:p w14:paraId="2D417E1F" w14:textId="77777777" w:rsidR="00CB6D4F" w:rsidRDefault="00CB6D4F" w:rsidP="00886948">
            <w:pPr>
              <w:pStyle w:val="TableParagraph"/>
              <w:spacing w:before="85"/>
              <w:ind w:left="72"/>
              <w:rPr>
                <w:sz w:val="20"/>
              </w:rPr>
            </w:pPr>
            <w:r>
              <w:rPr>
                <w:sz w:val="20"/>
              </w:rPr>
              <w:lastRenderedPageBreak/>
              <w:t xml:space="preserve">Energy Co Leadership </w:t>
            </w:r>
            <w:r w:rsidRPr="002C3DAB">
              <w:rPr>
                <w:sz w:val="20"/>
              </w:rPr>
              <w:t>and Senior Managers</w:t>
            </w:r>
            <w:r w:rsidRPr="002C3DAB" w:rsidDel="002C3DAB">
              <w:rPr>
                <w:sz w:val="20"/>
              </w:rPr>
              <w:t xml:space="preserve"> </w:t>
            </w:r>
          </w:p>
        </w:tc>
        <w:tc>
          <w:tcPr>
            <w:tcW w:w="6853" w:type="dxa"/>
            <w:tcBorders>
              <w:top w:val="single" w:sz="8" w:space="0" w:color="000000"/>
              <w:bottom w:val="single" w:sz="8" w:space="0" w:color="000000"/>
            </w:tcBorders>
          </w:tcPr>
          <w:p w14:paraId="44903777" w14:textId="77777777" w:rsidR="00CB6D4F" w:rsidRDefault="00CB6D4F" w:rsidP="00CB6D4F">
            <w:pPr>
              <w:pStyle w:val="TableParagraph"/>
              <w:numPr>
                <w:ilvl w:val="0"/>
                <w:numId w:val="43"/>
              </w:numPr>
              <w:tabs>
                <w:tab w:val="left" w:pos="638"/>
                <w:tab w:val="left" w:pos="639"/>
              </w:tabs>
              <w:spacing w:before="71" w:line="230" w:lineRule="exact"/>
              <w:ind w:right="43"/>
              <w:rPr>
                <w:sz w:val="20"/>
              </w:rPr>
            </w:pPr>
            <w:r>
              <w:rPr>
                <w:sz w:val="20"/>
              </w:rPr>
              <w:t>Provide</w:t>
            </w:r>
            <w:r>
              <w:rPr>
                <w:spacing w:val="-2"/>
                <w:sz w:val="20"/>
              </w:rPr>
              <w:t xml:space="preserve"> </w:t>
            </w:r>
            <w:r>
              <w:rPr>
                <w:sz w:val="20"/>
              </w:rPr>
              <w:t>reporting</w:t>
            </w:r>
            <w:r>
              <w:rPr>
                <w:spacing w:val="-2"/>
                <w:sz w:val="20"/>
              </w:rPr>
              <w:t xml:space="preserve"> </w:t>
            </w:r>
            <w:r>
              <w:rPr>
                <w:sz w:val="20"/>
              </w:rPr>
              <w:t>and</w:t>
            </w:r>
            <w:r>
              <w:rPr>
                <w:spacing w:val="-2"/>
                <w:sz w:val="20"/>
              </w:rPr>
              <w:t xml:space="preserve"> </w:t>
            </w:r>
            <w:r>
              <w:rPr>
                <w:sz w:val="20"/>
              </w:rPr>
              <w:t>analytical</w:t>
            </w:r>
            <w:r>
              <w:rPr>
                <w:spacing w:val="1"/>
                <w:sz w:val="20"/>
              </w:rPr>
              <w:t xml:space="preserve"> </w:t>
            </w:r>
            <w:r>
              <w:rPr>
                <w:sz w:val="20"/>
              </w:rPr>
              <w:t>support</w:t>
            </w:r>
            <w:r>
              <w:rPr>
                <w:spacing w:val="-1"/>
                <w:sz w:val="20"/>
              </w:rPr>
              <w:t xml:space="preserve"> </w:t>
            </w:r>
            <w:r>
              <w:rPr>
                <w:sz w:val="20"/>
              </w:rPr>
              <w:t>to</w:t>
            </w:r>
            <w:r>
              <w:rPr>
                <w:spacing w:val="-7"/>
                <w:sz w:val="20"/>
              </w:rPr>
              <w:t xml:space="preserve"> </w:t>
            </w:r>
            <w:r>
              <w:rPr>
                <w:sz w:val="20"/>
              </w:rPr>
              <w:t>ensure</w:t>
            </w:r>
            <w:r>
              <w:rPr>
                <w:spacing w:val="-2"/>
                <w:sz w:val="20"/>
              </w:rPr>
              <w:t xml:space="preserve"> </w:t>
            </w:r>
            <w:r>
              <w:rPr>
                <w:sz w:val="20"/>
              </w:rPr>
              <w:t>agency</w:t>
            </w:r>
            <w:r>
              <w:rPr>
                <w:spacing w:val="-52"/>
                <w:sz w:val="20"/>
              </w:rPr>
              <w:t xml:space="preserve"> </w:t>
            </w:r>
            <w:r>
              <w:rPr>
                <w:sz w:val="20"/>
              </w:rPr>
              <w:t>and</w:t>
            </w:r>
            <w:r>
              <w:rPr>
                <w:spacing w:val="-3"/>
                <w:sz w:val="20"/>
              </w:rPr>
              <w:t xml:space="preserve"> </w:t>
            </w:r>
            <w:r>
              <w:rPr>
                <w:sz w:val="20"/>
              </w:rPr>
              <w:t>cluster</w:t>
            </w:r>
            <w:r>
              <w:rPr>
                <w:spacing w:val="-2"/>
                <w:sz w:val="20"/>
              </w:rPr>
              <w:t xml:space="preserve"> </w:t>
            </w:r>
            <w:r>
              <w:rPr>
                <w:sz w:val="20"/>
              </w:rPr>
              <w:t>level</w:t>
            </w:r>
            <w:r>
              <w:rPr>
                <w:spacing w:val="-2"/>
                <w:sz w:val="20"/>
              </w:rPr>
              <w:t xml:space="preserve"> </w:t>
            </w:r>
            <w:r>
              <w:rPr>
                <w:sz w:val="20"/>
              </w:rPr>
              <w:t>internal</w:t>
            </w:r>
            <w:r>
              <w:rPr>
                <w:spacing w:val="1"/>
                <w:sz w:val="20"/>
              </w:rPr>
              <w:t xml:space="preserve"> </w:t>
            </w:r>
            <w:r>
              <w:rPr>
                <w:sz w:val="20"/>
              </w:rPr>
              <w:t>and</w:t>
            </w:r>
            <w:r>
              <w:rPr>
                <w:spacing w:val="-3"/>
                <w:sz w:val="20"/>
              </w:rPr>
              <w:t xml:space="preserve"> </w:t>
            </w:r>
            <w:r>
              <w:rPr>
                <w:sz w:val="20"/>
              </w:rPr>
              <w:t>external</w:t>
            </w:r>
            <w:r>
              <w:rPr>
                <w:spacing w:val="1"/>
                <w:sz w:val="20"/>
              </w:rPr>
              <w:t xml:space="preserve"> </w:t>
            </w:r>
            <w:r>
              <w:rPr>
                <w:sz w:val="20"/>
              </w:rPr>
              <w:t>reporting</w:t>
            </w:r>
            <w:r>
              <w:rPr>
                <w:spacing w:val="-2"/>
                <w:sz w:val="20"/>
              </w:rPr>
              <w:t xml:space="preserve"> </w:t>
            </w:r>
            <w:r>
              <w:rPr>
                <w:sz w:val="20"/>
              </w:rPr>
              <w:t>deliverables</w:t>
            </w:r>
            <w:r>
              <w:rPr>
                <w:spacing w:val="-6"/>
                <w:sz w:val="20"/>
              </w:rPr>
              <w:t xml:space="preserve"> </w:t>
            </w:r>
            <w:r>
              <w:rPr>
                <w:sz w:val="20"/>
              </w:rPr>
              <w:t>are</w:t>
            </w:r>
            <w:r>
              <w:rPr>
                <w:spacing w:val="-2"/>
                <w:sz w:val="20"/>
              </w:rPr>
              <w:t xml:space="preserve"> </w:t>
            </w:r>
            <w:r>
              <w:rPr>
                <w:sz w:val="20"/>
              </w:rPr>
              <w:t>met.</w:t>
            </w:r>
          </w:p>
          <w:p w14:paraId="6BAC9FA7" w14:textId="77777777" w:rsidR="00CB6D4F" w:rsidRDefault="00CB6D4F" w:rsidP="00CB6D4F">
            <w:pPr>
              <w:pStyle w:val="TableParagraph"/>
              <w:numPr>
                <w:ilvl w:val="0"/>
                <w:numId w:val="43"/>
              </w:numPr>
              <w:tabs>
                <w:tab w:val="left" w:pos="638"/>
                <w:tab w:val="left" w:pos="639"/>
              </w:tabs>
              <w:spacing w:before="72"/>
              <w:rPr>
                <w:sz w:val="20"/>
              </w:rPr>
            </w:pPr>
            <w:r>
              <w:rPr>
                <w:sz w:val="20"/>
              </w:rPr>
              <w:t>Develop</w:t>
            </w:r>
            <w:r>
              <w:rPr>
                <w:spacing w:val="-7"/>
                <w:sz w:val="20"/>
              </w:rPr>
              <w:t xml:space="preserve"> </w:t>
            </w:r>
            <w:r>
              <w:rPr>
                <w:sz w:val="20"/>
              </w:rPr>
              <w:t>and</w:t>
            </w:r>
            <w:r>
              <w:rPr>
                <w:spacing w:val="-6"/>
                <w:sz w:val="20"/>
              </w:rPr>
              <w:t xml:space="preserve"> </w:t>
            </w:r>
            <w:r>
              <w:rPr>
                <w:sz w:val="20"/>
              </w:rPr>
              <w:t>maintain</w:t>
            </w:r>
            <w:r>
              <w:rPr>
                <w:spacing w:val="-1"/>
                <w:sz w:val="20"/>
              </w:rPr>
              <w:t xml:space="preserve"> </w:t>
            </w:r>
            <w:r>
              <w:rPr>
                <w:sz w:val="20"/>
              </w:rPr>
              <w:t>effective</w:t>
            </w:r>
            <w:r>
              <w:rPr>
                <w:spacing w:val="-6"/>
                <w:sz w:val="20"/>
              </w:rPr>
              <w:t xml:space="preserve"> </w:t>
            </w:r>
            <w:r>
              <w:rPr>
                <w:sz w:val="20"/>
              </w:rPr>
              <w:t>collaborative</w:t>
            </w:r>
            <w:r>
              <w:rPr>
                <w:spacing w:val="-1"/>
                <w:sz w:val="20"/>
              </w:rPr>
              <w:t xml:space="preserve"> </w:t>
            </w:r>
            <w:r>
              <w:rPr>
                <w:sz w:val="20"/>
              </w:rPr>
              <w:t>relationships.</w:t>
            </w:r>
          </w:p>
          <w:p w14:paraId="5875B830" w14:textId="77777777" w:rsidR="00CB6D4F" w:rsidRPr="00407C80" w:rsidRDefault="00CB6D4F" w:rsidP="00CB6D4F">
            <w:pPr>
              <w:pStyle w:val="TableParagraph"/>
              <w:numPr>
                <w:ilvl w:val="0"/>
                <w:numId w:val="43"/>
              </w:numPr>
              <w:tabs>
                <w:tab w:val="left" w:pos="638"/>
                <w:tab w:val="left" w:pos="639"/>
              </w:tabs>
              <w:spacing w:before="77"/>
              <w:ind w:right="505"/>
              <w:rPr>
                <w:sz w:val="20"/>
              </w:rPr>
            </w:pPr>
            <w:r>
              <w:rPr>
                <w:sz w:val="20"/>
              </w:rPr>
              <w:t>Provide</w:t>
            </w:r>
            <w:r>
              <w:rPr>
                <w:spacing w:val="-2"/>
                <w:sz w:val="20"/>
              </w:rPr>
              <w:t xml:space="preserve"> </w:t>
            </w:r>
            <w:r>
              <w:rPr>
                <w:sz w:val="20"/>
              </w:rPr>
              <w:t>high</w:t>
            </w:r>
            <w:r>
              <w:rPr>
                <w:spacing w:val="-6"/>
                <w:sz w:val="20"/>
              </w:rPr>
              <w:t xml:space="preserve"> </w:t>
            </w:r>
            <w:r>
              <w:rPr>
                <w:sz w:val="20"/>
              </w:rPr>
              <w:t>quality</w:t>
            </w:r>
            <w:r>
              <w:rPr>
                <w:spacing w:val="-4"/>
                <w:sz w:val="20"/>
              </w:rPr>
              <w:t xml:space="preserve"> </w:t>
            </w:r>
            <w:r>
              <w:rPr>
                <w:sz w:val="20"/>
              </w:rPr>
              <w:t>advice</w:t>
            </w:r>
            <w:r>
              <w:rPr>
                <w:spacing w:val="-6"/>
                <w:sz w:val="20"/>
              </w:rPr>
              <w:t xml:space="preserve"> </w:t>
            </w:r>
            <w:r>
              <w:rPr>
                <w:sz w:val="20"/>
              </w:rPr>
              <w:t>and</w:t>
            </w:r>
            <w:r>
              <w:rPr>
                <w:spacing w:val="-1"/>
                <w:sz w:val="20"/>
              </w:rPr>
              <w:t xml:space="preserve"> </w:t>
            </w:r>
            <w:r>
              <w:rPr>
                <w:sz w:val="20"/>
              </w:rPr>
              <w:t>support on financial management and sustainability as it pertains to the TAF, debt and regulatory matters.</w:t>
            </w:r>
          </w:p>
        </w:tc>
      </w:tr>
      <w:tr w:rsidR="00CB6D4F" w14:paraId="69790D7A" w14:textId="77777777" w:rsidTr="00886948">
        <w:trPr>
          <w:trHeight w:val="1420"/>
        </w:trPr>
        <w:tc>
          <w:tcPr>
            <w:tcW w:w="3755" w:type="dxa"/>
            <w:gridSpan w:val="2"/>
            <w:tcBorders>
              <w:top w:val="single" w:sz="8" w:space="0" w:color="000000"/>
              <w:bottom w:val="single" w:sz="8" w:space="0" w:color="000000"/>
            </w:tcBorders>
          </w:tcPr>
          <w:p w14:paraId="0FD3F1A4" w14:textId="77777777" w:rsidR="00CB6D4F" w:rsidRDefault="00CB6D4F" w:rsidP="00886948">
            <w:pPr>
              <w:pStyle w:val="TableParagraph"/>
              <w:spacing w:before="86" w:line="290" w:lineRule="auto"/>
              <w:ind w:left="72" w:right="338"/>
              <w:rPr>
                <w:sz w:val="20"/>
              </w:rPr>
            </w:pPr>
            <w:r>
              <w:rPr>
                <w:sz w:val="20"/>
              </w:rPr>
              <w:t>Corporate and other service teams</w:t>
            </w:r>
            <w:r>
              <w:rPr>
                <w:spacing w:val="-53"/>
                <w:sz w:val="20"/>
              </w:rPr>
              <w:t xml:space="preserve"> </w:t>
            </w:r>
            <w:r>
              <w:rPr>
                <w:sz w:val="20"/>
              </w:rPr>
              <w:t>(e.g.,</w:t>
            </w:r>
            <w:r>
              <w:rPr>
                <w:spacing w:val="2"/>
                <w:sz w:val="20"/>
              </w:rPr>
              <w:t xml:space="preserve"> Business Services /</w:t>
            </w:r>
            <w:r>
              <w:rPr>
                <w:sz w:val="20"/>
              </w:rPr>
              <w:t>Procurement/Governance/Legal)</w:t>
            </w:r>
          </w:p>
        </w:tc>
        <w:tc>
          <w:tcPr>
            <w:tcW w:w="6853" w:type="dxa"/>
            <w:tcBorders>
              <w:top w:val="single" w:sz="8" w:space="0" w:color="000000"/>
              <w:bottom w:val="single" w:sz="8" w:space="0" w:color="000000"/>
            </w:tcBorders>
          </w:tcPr>
          <w:p w14:paraId="50E9DEFE" w14:textId="77777777" w:rsidR="00CB6D4F" w:rsidRDefault="00CB6D4F" w:rsidP="00CB6D4F">
            <w:pPr>
              <w:pStyle w:val="TableParagraph"/>
              <w:numPr>
                <w:ilvl w:val="0"/>
                <w:numId w:val="42"/>
              </w:numPr>
              <w:tabs>
                <w:tab w:val="left" w:pos="638"/>
                <w:tab w:val="left" w:pos="639"/>
              </w:tabs>
              <w:spacing w:before="74" w:line="237" w:lineRule="auto"/>
              <w:ind w:right="442"/>
              <w:rPr>
                <w:sz w:val="20"/>
              </w:rPr>
            </w:pPr>
            <w:r>
              <w:rPr>
                <w:sz w:val="20"/>
              </w:rPr>
              <w:t>Work collaboratively to ensure EnergyCo has sufficient cash flows to meets its obligations including updating Treasury cash flow reporting requirements and accessing cluster fund drawdowns as needed.</w:t>
            </w:r>
          </w:p>
          <w:p w14:paraId="371C9BE1" w14:textId="77777777" w:rsidR="00CB6D4F" w:rsidRDefault="00CB6D4F" w:rsidP="00CB6D4F">
            <w:pPr>
              <w:pStyle w:val="TableParagraph"/>
              <w:numPr>
                <w:ilvl w:val="0"/>
                <w:numId w:val="42"/>
              </w:numPr>
              <w:tabs>
                <w:tab w:val="left" w:pos="638"/>
                <w:tab w:val="left" w:pos="639"/>
              </w:tabs>
              <w:spacing w:before="78"/>
              <w:ind w:hanging="361"/>
              <w:rPr>
                <w:sz w:val="20"/>
              </w:rPr>
            </w:pPr>
            <w:r>
              <w:rPr>
                <w:sz w:val="20"/>
              </w:rPr>
              <w:t>Develop</w:t>
            </w:r>
            <w:r>
              <w:rPr>
                <w:spacing w:val="-6"/>
                <w:sz w:val="20"/>
              </w:rPr>
              <w:t xml:space="preserve"> </w:t>
            </w:r>
            <w:r>
              <w:rPr>
                <w:sz w:val="20"/>
              </w:rPr>
              <w:t>and</w:t>
            </w:r>
            <w:r>
              <w:rPr>
                <w:spacing w:val="-6"/>
                <w:sz w:val="20"/>
              </w:rPr>
              <w:t xml:space="preserve"> </w:t>
            </w:r>
            <w:r>
              <w:rPr>
                <w:sz w:val="20"/>
              </w:rPr>
              <w:t>maintain</w:t>
            </w:r>
            <w:r>
              <w:rPr>
                <w:spacing w:val="-1"/>
                <w:sz w:val="20"/>
              </w:rPr>
              <w:t xml:space="preserve"> </w:t>
            </w:r>
            <w:r>
              <w:rPr>
                <w:sz w:val="20"/>
              </w:rPr>
              <w:t>effective</w:t>
            </w:r>
            <w:r>
              <w:rPr>
                <w:spacing w:val="-5"/>
                <w:sz w:val="20"/>
              </w:rPr>
              <w:t xml:space="preserve"> </w:t>
            </w:r>
            <w:r>
              <w:rPr>
                <w:sz w:val="20"/>
              </w:rPr>
              <w:t>working</w:t>
            </w:r>
            <w:r>
              <w:rPr>
                <w:spacing w:val="-1"/>
                <w:sz w:val="20"/>
              </w:rPr>
              <w:t xml:space="preserve"> </w:t>
            </w:r>
            <w:r>
              <w:rPr>
                <w:sz w:val="20"/>
              </w:rPr>
              <w:t>relationships.</w:t>
            </w:r>
          </w:p>
          <w:p w14:paraId="5F94C5E7" w14:textId="77777777" w:rsidR="00CB6D4F" w:rsidRDefault="00CB6D4F" w:rsidP="00CB6D4F">
            <w:pPr>
              <w:pStyle w:val="TableParagraph"/>
              <w:numPr>
                <w:ilvl w:val="0"/>
                <w:numId w:val="42"/>
              </w:numPr>
              <w:tabs>
                <w:tab w:val="left" w:pos="638"/>
                <w:tab w:val="left" w:pos="639"/>
              </w:tabs>
              <w:spacing w:before="76" w:after="60" w:line="229" w:lineRule="exact"/>
              <w:ind w:left="641" w:hanging="363"/>
              <w:rPr>
                <w:sz w:val="20"/>
              </w:rPr>
            </w:pPr>
            <w:r>
              <w:rPr>
                <w:sz w:val="20"/>
              </w:rPr>
              <w:t>Liaise</w:t>
            </w:r>
            <w:r>
              <w:rPr>
                <w:spacing w:val="-2"/>
                <w:sz w:val="20"/>
              </w:rPr>
              <w:t xml:space="preserve"> </w:t>
            </w:r>
            <w:r>
              <w:rPr>
                <w:sz w:val="20"/>
              </w:rPr>
              <w:t>to</w:t>
            </w:r>
            <w:r>
              <w:rPr>
                <w:spacing w:val="-6"/>
                <w:sz w:val="20"/>
              </w:rPr>
              <w:t xml:space="preserve"> </w:t>
            </w:r>
            <w:r>
              <w:rPr>
                <w:sz w:val="20"/>
              </w:rPr>
              <w:t>maintain</w:t>
            </w:r>
            <w:r>
              <w:rPr>
                <w:spacing w:val="-6"/>
                <w:sz w:val="20"/>
              </w:rPr>
              <w:t xml:space="preserve"> </w:t>
            </w:r>
            <w:r>
              <w:rPr>
                <w:sz w:val="20"/>
              </w:rPr>
              <w:t>financial</w:t>
            </w:r>
            <w:r>
              <w:rPr>
                <w:spacing w:val="-6"/>
                <w:sz w:val="20"/>
              </w:rPr>
              <w:t xml:space="preserve"> </w:t>
            </w:r>
            <w:r>
              <w:rPr>
                <w:sz w:val="20"/>
              </w:rPr>
              <w:t>information</w:t>
            </w:r>
            <w:r>
              <w:rPr>
                <w:spacing w:val="-2"/>
                <w:sz w:val="20"/>
              </w:rPr>
              <w:t xml:space="preserve"> </w:t>
            </w:r>
            <w:r>
              <w:rPr>
                <w:sz w:val="20"/>
              </w:rPr>
              <w:t>and ensuring policy compliance.</w:t>
            </w:r>
          </w:p>
        </w:tc>
      </w:tr>
      <w:tr w:rsidR="00CB6D4F" w14:paraId="140FB42B" w14:textId="77777777" w:rsidTr="00886948">
        <w:trPr>
          <w:trHeight w:val="330"/>
        </w:trPr>
        <w:tc>
          <w:tcPr>
            <w:tcW w:w="3730" w:type="dxa"/>
            <w:tcBorders>
              <w:bottom w:val="single" w:sz="8" w:space="0" w:color="000000"/>
            </w:tcBorders>
            <w:shd w:val="clear" w:color="auto" w:fill="BABCC0"/>
          </w:tcPr>
          <w:p w14:paraId="6406E400" w14:textId="77777777" w:rsidR="00CB6D4F" w:rsidRDefault="00CB6D4F" w:rsidP="00886948">
            <w:pPr>
              <w:pStyle w:val="TableParagraph"/>
              <w:spacing w:before="90" w:line="220" w:lineRule="exact"/>
              <w:ind w:left="71"/>
              <w:rPr>
                <w:b/>
                <w:sz w:val="20"/>
              </w:rPr>
            </w:pPr>
            <w:r>
              <w:rPr>
                <w:b/>
                <w:sz w:val="20"/>
              </w:rPr>
              <w:t>External</w:t>
            </w:r>
          </w:p>
        </w:tc>
        <w:tc>
          <w:tcPr>
            <w:tcW w:w="6878" w:type="dxa"/>
            <w:gridSpan w:val="2"/>
            <w:tcBorders>
              <w:bottom w:val="single" w:sz="8" w:space="0" w:color="000000"/>
            </w:tcBorders>
            <w:shd w:val="clear" w:color="auto" w:fill="BABCC0"/>
          </w:tcPr>
          <w:p w14:paraId="7765B64E" w14:textId="77777777" w:rsidR="00CB6D4F" w:rsidRDefault="00CB6D4F" w:rsidP="00886948">
            <w:pPr>
              <w:pStyle w:val="TableParagraph"/>
              <w:ind w:left="0"/>
              <w:rPr>
                <w:rFonts w:ascii="Times New Roman"/>
                <w:sz w:val="20"/>
              </w:rPr>
            </w:pPr>
          </w:p>
        </w:tc>
      </w:tr>
      <w:tr w:rsidR="00CB6D4F" w14:paraId="717F3AEF" w14:textId="77777777" w:rsidTr="00886948">
        <w:trPr>
          <w:trHeight w:val="1190"/>
        </w:trPr>
        <w:tc>
          <w:tcPr>
            <w:tcW w:w="3730" w:type="dxa"/>
            <w:tcBorders>
              <w:top w:val="single" w:sz="8" w:space="0" w:color="000000"/>
              <w:bottom w:val="single" w:sz="8" w:space="0" w:color="000000"/>
            </w:tcBorders>
          </w:tcPr>
          <w:p w14:paraId="397F8367" w14:textId="77777777" w:rsidR="00CB6D4F" w:rsidRDefault="00CB6D4F" w:rsidP="00886948">
            <w:pPr>
              <w:pStyle w:val="TableParagraph"/>
              <w:spacing w:before="85" w:line="295" w:lineRule="auto"/>
              <w:ind w:left="71" w:right="171"/>
              <w:rPr>
                <w:sz w:val="20"/>
              </w:rPr>
            </w:pPr>
            <w:r>
              <w:rPr>
                <w:sz w:val="20"/>
              </w:rPr>
              <w:t>NSW</w:t>
            </w:r>
            <w:r>
              <w:rPr>
                <w:spacing w:val="-12"/>
                <w:sz w:val="20"/>
              </w:rPr>
              <w:t xml:space="preserve"> </w:t>
            </w:r>
            <w:r>
              <w:rPr>
                <w:sz w:val="20"/>
              </w:rPr>
              <w:t>Treasury, the Australian Energy Regulator and other agencies</w:t>
            </w:r>
            <w:r>
              <w:rPr>
                <w:spacing w:val="7"/>
                <w:sz w:val="20"/>
              </w:rPr>
              <w:t xml:space="preserve"> </w:t>
            </w:r>
          </w:p>
        </w:tc>
        <w:tc>
          <w:tcPr>
            <w:tcW w:w="6878" w:type="dxa"/>
            <w:gridSpan w:val="2"/>
            <w:tcBorders>
              <w:top w:val="single" w:sz="8" w:space="0" w:color="000000"/>
              <w:bottom w:val="single" w:sz="8" w:space="0" w:color="000000"/>
            </w:tcBorders>
          </w:tcPr>
          <w:p w14:paraId="6BE0DF95" w14:textId="77777777" w:rsidR="00CB6D4F" w:rsidRDefault="00CB6D4F" w:rsidP="00CB6D4F">
            <w:pPr>
              <w:pStyle w:val="TableParagraph"/>
              <w:numPr>
                <w:ilvl w:val="0"/>
                <w:numId w:val="41"/>
              </w:numPr>
              <w:tabs>
                <w:tab w:val="left" w:pos="662"/>
                <w:tab w:val="left" w:pos="664"/>
              </w:tabs>
              <w:spacing w:before="72"/>
              <w:ind w:right="256"/>
              <w:rPr>
                <w:sz w:val="20"/>
              </w:rPr>
            </w:pPr>
            <w:r>
              <w:rPr>
                <w:sz w:val="20"/>
              </w:rPr>
              <w:t>Support</w:t>
            </w:r>
            <w:r>
              <w:rPr>
                <w:spacing w:val="1"/>
                <w:sz w:val="20"/>
              </w:rPr>
              <w:t xml:space="preserve"> </w:t>
            </w:r>
            <w:r>
              <w:rPr>
                <w:sz w:val="20"/>
              </w:rPr>
              <w:t>the Chief Financial Officer to</w:t>
            </w:r>
            <w:r>
              <w:rPr>
                <w:spacing w:val="-6"/>
                <w:sz w:val="20"/>
              </w:rPr>
              <w:t xml:space="preserve"> </w:t>
            </w:r>
            <w:r>
              <w:rPr>
                <w:sz w:val="20"/>
              </w:rPr>
              <w:t>maintain</w:t>
            </w:r>
            <w:r>
              <w:rPr>
                <w:spacing w:val="-1"/>
                <w:sz w:val="20"/>
              </w:rPr>
              <w:t xml:space="preserve"> </w:t>
            </w:r>
            <w:r>
              <w:rPr>
                <w:sz w:val="20"/>
              </w:rPr>
              <w:t>effective</w:t>
            </w:r>
            <w:r>
              <w:rPr>
                <w:spacing w:val="-6"/>
                <w:sz w:val="20"/>
              </w:rPr>
              <w:t xml:space="preserve"> </w:t>
            </w:r>
            <w:r>
              <w:rPr>
                <w:sz w:val="20"/>
              </w:rPr>
              <w:t>working</w:t>
            </w:r>
            <w:r>
              <w:rPr>
                <w:spacing w:val="-3"/>
                <w:sz w:val="20"/>
              </w:rPr>
              <w:t xml:space="preserve"> </w:t>
            </w:r>
            <w:r>
              <w:rPr>
                <w:sz w:val="20"/>
              </w:rPr>
              <w:t>relationships</w:t>
            </w:r>
            <w:r>
              <w:rPr>
                <w:spacing w:val="-4"/>
                <w:sz w:val="20"/>
              </w:rPr>
              <w:t xml:space="preserve"> </w:t>
            </w:r>
            <w:r>
              <w:rPr>
                <w:sz w:val="20"/>
              </w:rPr>
              <w:t>with all relevant financial partners, including NSW</w:t>
            </w:r>
            <w:r>
              <w:rPr>
                <w:spacing w:val="3"/>
                <w:sz w:val="20"/>
              </w:rPr>
              <w:t xml:space="preserve"> </w:t>
            </w:r>
            <w:r>
              <w:rPr>
                <w:sz w:val="20"/>
              </w:rPr>
              <w:t>Treasury and the AER.</w:t>
            </w:r>
          </w:p>
          <w:p w14:paraId="2CEE36D0" w14:textId="77777777" w:rsidR="00CB6D4F" w:rsidRDefault="00CB6D4F" w:rsidP="00CB6D4F">
            <w:pPr>
              <w:pStyle w:val="TableParagraph"/>
              <w:numPr>
                <w:ilvl w:val="0"/>
                <w:numId w:val="41"/>
              </w:numPr>
              <w:tabs>
                <w:tab w:val="left" w:pos="662"/>
                <w:tab w:val="left" w:pos="664"/>
              </w:tabs>
              <w:spacing w:before="72"/>
              <w:ind w:right="256"/>
              <w:rPr>
                <w:sz w:val="20"/>
              </w:rPr>
            </w:pPr>
            <w:r>
              <w:rPr>
                <w:sz w:val="20"/>
              </w:rPr>
              <w:t xml:space="preserve">Prepare business cases, briefs or other documentation in support of Treasury or regulatory submissions. </w:t>
            </w:r>
          </w:p>
          <w:p w14:paraId="49B9A1C1" w14:textId="77777777" w:rsidR="00CB6D4F" w:rsidRDefault="00CB6D4F" w:rsidP="00CB6D4F">
            <w:pPr>
              <w:pStyle w:val="TableParagraph"/>
              <w:numPr>
                <w:ilvl w:val="0"/>
                <w:numId w:val="41"/>
              </w:numPr>
              <w:tabs>
                <w:tab w:val="left" w:pos="662"/>
                <w:tab w:val="left" w:pos="664"/>
              </w:tabs>
              <w:spacing w:before="48" w:line="270" w:lineRule="atLeast"/>
              <w:ind w:right="448"/>
              <w:rPr>
                <w:sz w:val="20"/>
              </w:rPr>
            </w:pPr>
            <w:r>
              <w:rPr>
                <w:spacing w:val="-1"/>
                <w:sz w:val="20"/>
              </w:rPr>
              <w:t xml:space="preserve">Consult and liaise on preparation </w:t>
            </w:r>
            <w:r>
              <w:rPr>
                <w:sz w:val="20"/>
              </w:rPr>
              <w:t>of responses to information and</w:t>
            </w:r>
            <w:r>
              <w:rPr>
                <w:spacing w:val="-53"/>
                <w:sz w:val="20"/>
              </w:rPr>
              <w:t xml:space="preserve"> </w:t>
            </w:r>
            <w:r>
              <w:rPr>
                <w:sz w:val="20"/>
              </w:rPr>
              <w:t>report</w:t>
            </w:r>
            <w:r>
              <w:rPr>
                <w:spacing w:val="2"/>
                <w:sz w:val="20"/>
              </w:rPr>
              <w:t xml:space="preserve"> </w:t>
            </w:r>
            <w:r>
              <w:rPr>
                <w:sz w:val="20"/>
              </w:rPr>
              <w:t>requests.</w:t>
            </w:r>
          </w:p>
        </w:tc>
      </w:tr>
    </w:tbl>
    <w:p w14:paraId="3904CA27" w14:textId="77777777" w:rsidR="00CB6D4F" w:rsidRDefault="00CB6D4F" w:rsidP="00CB6D4F">
      <w:pPr>
        <w:pStyle w:val="BodyText"/>
        <w:rPr>
          <w:b/>
          <w:sz w:val="20"/>
        </w:rPr>
      </w:pPr>
    </w:p>
    <w:p w14:paraId="07CC003B" w14:textId="77777777" w:rsidR="00CB6D4F" w:rsidRDefault="00CB6D4F" w:rsidP="00CB6D4F">
      <w:pPr>
        <w:pStyle w:val="BodyText"/>
        <w:spacing w:before="4"/>
        <w:rPr>
          <w:b/>
          <w:sz w:val="19"/>
        </w:rPr>
      </w:pPr>
    </w:p>
    <w:p w14:paraId="3831848B" w14:textId="01D847D1" w:rsidR="00CB6D4F" w:rsidRDefault="00CB6D4F" w:rsidP="00CB6D4F">
      <w:pPr>
        <w:spacing w:before="91"/>
        <w:ind w:left="121"/>
        <w:rPr>
          <w:b/>
          <w:sz w:val="26"/>
        </w:rPr>
      </w:pPr>
      <w:r>
        <w:rPr>
          <w:b/>
          <w:sz w:val="26"/>
        </w:rPr>
        <w:t>Role</w:t>
      </w:r>
      <w:r>
        <w:rPr>
          <w:b/>
          <w:spacing w:val="-9"/>
          <w:sz w:val="26"/>
        </w:rPr>
        <w:t xml:space="preserve"> </w:t>
      </w:r>
      <w:r>
        <w:rPr>
          <w:b/>
          <w:sz w:val="26"/>
        </w:rPr>
        <w:t>dimensions</w:t>
      </w:r>
    </w:p>
    <w:p w14:paraId="1BBE7A1D" w14:textId="2EDE1AA9" w:rsidR="00CB6D4F" w:rsidRPr="00CB6D4F" w:rsidRDefault="00CB6D4F" w:rsidP="00CB6D4F">
      <w:pPr>
        <w:pStyle w:val="Heading2"/>
        <w:spacing w:before="124"/>
        <w:ind w:firstLine="121"/>
      </w:pPr>
      <w:r>
        <w:rPr>
          <w:color w:val="6C6C6F"/>
        </w:rPr>
        <w:t>Decision</w:t>
      </w:r>
      <w:r>
        <w:rPr>
          <w:color w:val="6C6C6F"/>
          <w:spacing w:val="-4"/>
        </w:rPr>
        <w:t xml:space="preserve"> </w:t>
      </w:r>
      <w:r>
        <w:rPr>
          <w:color w:val="6C6C6F"/>
        </w:rPr>
        <w:t>making</w:t>
      </w:r>
    </w:p>
    <w:p w14:paraId="65E2F38E" w14:textId="7C64B4CF" w:rsidR="00CB6D4F" w:rsidRPr="00EE79EE" w:rsidRDefault="00CB6D4F" w:rsidP="00CB6D4F">
      <w:pPr>
        <w:ind w:left="142"/>
        <w:rPr>
          <w:szCs w:val="26"/>
        </w:rPr>
      </w:pPr>
      <w:r w:rsidRPr="006B4D3F">
        <w:t xml:space="preserve">The role operates with a high level of autonomy </w:t>
      </w:r>
      <w:r w:rsidRPr="00EE79EE">
        <w:t>and is fully and directly accountable for the accuracy, validity and quality of advice and information</w:t>
      </w:r>
      <w:r w:rsidRPr="00EE79EE" w:rsidDel="00A01666">
        <w:t>.</w:t>
      </w:r>
      <w:r w:rsidRPr="00EE79EE">
        <w:t xml:space="preserve"> It m</w:t>
      </w:r>
      <w:r w:rsidRPr="00EE79EE">
        <w:rPr>
          <w:szCs w:val="26"/>
        </w:rPr>
        <w:t>akes decisions and recommendations on funding needs and modelling scenarios, financial management, governance and controls</w:t>
      </w:r>
      <w:r>
        <w:rPr>
          <w:szCs w:val="26"/>
        </w:rPr>
        <w:t>.</w:t>
      </w:r>
      <w:r w:rsidRPr="00EE79EE">
        <w:rPr>
          <w:szCs w:val="26"/>
        </w:rPr>
        <w:t xml:space="preserve">  </w:t>
      </w:r>
    </w:p>
    <w:p w14:paraId="4EA673D0" w14:textId="77777777" w:rsidR="00CB6D4F" w:rsidRDefault="00CB6D4F" w:rsidP="00CB6D4F">
      <w:pPr>
        <w:pStyle w:val="Heading2"/>
        <w:spacing w:before="1"/>
        <w:ind w:firstLine="121"/>
      </w:pPr>
      <w:r>
        <w:rPr>
          <w:color w:val="6C6C6F"/>
        </w:rPr>
        <w:t>Reporting</w:t>
      </w:r>
      <w:r>
        <w:rPr>
          <w:color w:val="6C6C6F"/>
          <w:spacing w:val="-2"/>
        </w:rPr>
        <w:t xml:space="preserve"> </w:t>
      </w:r>
      <w:r>
        <w:rPr>
          <w:color w:val="6C6C6F"/>
        </w:rPr>
        <w:t>line</w:t>
      </w:r>
    </w:p>
    <w:p w14:paraId="62B5DB9C" w14:textId="77777777" w:rsidR="00CB6D4F" w:rsidRDefault="00CB6D4F" w:rsidP="00CB6D4F">
      <w:pPr>
        <w:pStyle w:val="BodyText"/>
        <w:spacing w:before="131"/>
        <w:ind w:left="121" w:firstLine="0"/>
      </w:pPr>
      <w:r>
        <w:t>Chief Financial Officer</w:t>
      </w:r>
    </w:p>
    <w:p w14:paraId="75B6E2D5" w14:textId="77777777" w:rsidR="00CB6D4F" w:rsidRDefault="00CB6D4F" w:rsidP="00CB6D4F">
      <w:pPr>
        <w:pStyle w:val="BodyText"/>
        <w:spacing w:before="9"/>
        <w:rPr>
          <w:sz w:val="19"/>
        </w:rPr>
      </w:pPr>
    </w:p>
    <w:p w14:paraId="04290C8E" w14:textId="77777777" w:rsidR="00CB6D4F" w:rsidRDefault="00CB6D4F" w:rsidP="00CB6D4F">
      <w:pPr>
        <w:pStyle w:val="Heading2"/>
        <w:ind w:firstLine="121"/>
      </w:pPr>
      <w:r>
        <w:rPr>
          <w:color w:val="6C6C6F"/>
        </w:rPr>
        <w:t>Direct</w:t>
      </w:r>
      <w:r>
        <w:rPr>
          <w:color w:val="6C6C6F"/>
          <w:spacing w:val="-1"/>
        </w:rPr>
        <w:t xml:space="preserve"> </w:t>
      </w:r>
      <w:r>
        <w:rPr>
          <w:color w:val="6C6C6F"/>
        </w:rPr>
        <w:t>reports</w:t>
      </w:r>
    </w:p>
    <w:p w14:paraId="35D34AC6" w14:textId="77777777" w:rsidR="00CB6D4F" w:rsidRPr="00D55901" w:rsidRDefault="00CB6D4F" w:rsidP="00CB6D4F">
      <w:pPr>
        <w:pStyle w:val="BodyText"/>
        <w:spacing w:before="131"/>
        <w:ind w:left="121" w:firstLine="0"/>
      </w:pPr>
      <w:r w:rsidRPr="00A33367">
        <w:t>U</w:t>
      </w:r>
      <w:r w:rsidRPr="00D55901">
        <w:t>p to 3 direct reports and may manage consultants and contractors from time to time.</w:t>
      </w:r>
    </w:p>
    <w:p w14:paraId="05E867B3" w14:textId="77777777" w:rsidR="00CB6D4F" w:rsidRDefault="00CB6D4F" w:rsidP="00CB6D4F">
      <w:pPr>
        <w:pStyle w:val="BodyText"/>
        <w:spacing w:before="9"/>
        <w:rPr>
          <w:sz w:val="19"/>
        </w:rPr>
      </w:pPr>
    </w:p>
    <w:p w14:paraId="3FDEE25E" w14:textId="77777777" w:rsidR="00CB6D4F" w:rsidRDefault="00CB6D4F" w:rsidP="00CB6D4F">
      <w:pPr>
        <w:pStyle w:val="Heading2"/>
        <w:ind w:firstLine="121"/>
      </w:pPr>
      <w:r>
        <w:rPr>
          <w:color w:val="6C6C6F"/>
        </w:rPr>
        <w:t>Budget/Expenditure</w:t>
      </w:r>
    </w:p>
    <w:p w14:paraId="649F0DA8" w14:textId="77777777" w:rsidR="00CB6D4F" w:rsidRDefault="00CB6D4F" w:rsidP="00CB6D4F">
      <w:pPr>
        <w:spacing w:before="11"/>
        <w:ind w:left="121"/>
        <w:rPr>
          <w:sz w:val="20"/>
        </w:rPr>
      </w:pPr>
      <w:r>
        <w:rPr>
          <w:sz w:val="20"/>
        </w:rPr>
        <w:t>Nil</w:t>
      </w:r>
    </w:p>
    <w:p w14:paraId="163F9B71" w14:textId="4E9CC833" w:rsidR="00B62436" w:rsidRPr="00D11306" w:rsidRDefault="008D4688" w:rsidP="00972A1A">
      <w:pPr>
        <w:tabs>
          <w:tab w:val="left" w:pos="2925"/>
        </w:tabs>
        <w:rPr>
          <w:rStyle w:val="Heading1Char"/>
        </w:rPr>
      </w:pPr>
      <w:r>
        <w:rPr>
          <w:rStyle w:val="Heading1Char"/>
        </w:rPr>
        <w:t xml:space="preserve">  </w:t>
      </w:r>
      <w:r w:rsidR="00972A1A" w:rsidRPr="00D11306">
        <w:rPr>
          <w:rStyle w:val="Heading1Char"/>
        </w:rPr>
        <w:t>Key knowledge and experience</w:t>
      </w:r>
    </w:p>
    <w:p w14:paraId="24F21088" w14:textId="77777777" w:rsidR="00FB04B2" w:rsidRPr="00EE79EE" w:rsidRDefault="00FB04B2" w:rsidP="00FB04B2">
      <w:pPr>
        <w:pStyle w:val="TableBullet"/>
        <w:numPr>
          <w:ilvl w:val="0"/>
          <w:numId w:val="44"/>
        </w:numPr>
      </w:pPr>
      <w:r w:rsidRPr="00EE79EE">
        <w:rPr>
          <w:sz w:val="22"/>
          <w:szCs w:val="22"/>
        </w:rPr>
        <w:t xml:space="preserve">Knowledge of the application of the NSW Government Sector finance legislation, directions and policies, and Australian Accounting Standards. </w:t>
      </w:r>
    </w:p>
    <w:p w14:paraId="1771960E" w14:textId="522BFFD9" w:rsidR="00FB04B2" w:rsidRPr="00FB04B2" w:rsidRDefault="00FB04B2" w:rsidP="00FB04B2">
      <w:pPr>
        <w:pStyle w:val="TableBullet"/>
        <w:numPr>
          <w:ilvl w:val="0"/>
          <w:numId w:val="44"/>
        </w:numPr>
      </w:pPr>
      <w:r w:rsidRPr="00EE79EE">
        <w:rPr>
          <w:sz w:val="22"/>
          <w:szCs w:val="22"/>
        </w:rPr>
        <w:t>Success in delivering financial reports and budgets in an operational and project environment, cashflow management within limited funding envelopes, project performance reporting and forecasting function</w:t>
      </w:r>
      <w:r>
        <w:rPr>
          <w:sz w:val="22"/>
          <w:szCs w:val="22"/>
        </w:rPr>
        <w:t>s</w:t>
      </w:r>
      <w:r w:rsidRPr="00EE79EE">
        <w:rPr>
          <w:sz w:val="22"/>
          <w:szCs w:val="22"/>
        </w:rPr>
        <w:t>.</w:t>
      </w:r>
    </w:p>
    <w:p w14:paraId="78134D44" w14:textId="77777777" w:rsidR="00FB04B2" w:rsidRPr="00FB04B2" w:rsidRDefault="00FB04B2" w:rsidP="00FB04B2">
      <w:pPr>
        <w:pStyle w:val="TableBullet"/>
        <w:numPr>
          <w:ilvl w:val="0"/>
          <w:numId w:val="0"/>
        </w:numPr>
        <w:ind w:left="720"/>
        <w:rPr>
          <w:rStyle w:val="Heading1Char"/>
          <w:rFonts w:cs="Times New Roman"/>
          <w:b w:val="0"/>
          <w:bCs w:val="0"/>
          <w:kern w:val="0"/>
          <w:sz w:val="20"/>
          <w:szCs w:val="20"/>
        </w:rPr>
      </w:pPr>
    </w:p>
    <w:p w14:paraId="6B2192F6" w14:textId="1583CBCC" w:rsidR="00E51F63" w:rsidRDefault="008D4688" w:rsidP="008D3EEF">
      <w:pPr>
        <w:tabs>
          <w:tab w:val="left" w:pos="2925"/>
        </w:tabs>
      </w:pPr>
      <w:r>
        <w:rPr>
          <w:rStyle w:val="Heading1Char"/>
        </w:rPr>
        <w:lastRenderedPageBreak/>
        <w:t xml:space="preserve">  </w:t>
      </w:r>
      <w:r w:rsidR="00B62436">
        <w:rPr>
          <w:rStyle w:val="Heading1Char"/>
        </w:rPr>
        <w:t>Essential requirements</w:t>
      </w:r>
    </w:p>
    <w:bookmarkEnd w:id="0"/>
    <w:bookmarkEnd w:id="1"/>
    <w:bookmarkEnd w:id="2"/>
    <w:bookmarkEnd w:id="3"/>
    <w:bookmarkEnd w:id="4"/>
    <w:bookmarkEnd w:id="5"/>
    <w:bookmarkEnd w:id="6"/>
    <w:bookmarkEnd w:id="7"/>
    <w:bookmarkEnd w:id="8"/>
    <w:p w14:paraId="052DE3E0" w14:textId="77777777" w:rsidR="008D3EEF" w:rsidRPr="00C14690" w:rsidRDefault="008D3EEF" w:rsidP="008D3EEF">
      <w:pPr>
        <w:pStyle w:val="ListParagraph"/>
        <w:numPr>
          <w:ilvl w:val="0"/>
          <w:numId w:val="44"/>
        </w:numPr>
      </w:pPr>
      <w:r>
        <w:t>Degree q</w:t>
      </w:r>
      <w:r w:rsidRPr="00AE73DE">
        <w:t>ualification in Commerce or Business</w:t>
      </w:r>
      <w:r w:rsidRPr="00C14690">
        <w:t xml:space="preserve">, </w:t>
      </w:r>
      <w:r>
        <w:t>and membership of CPA Australia or the Institute of Charter Accountants Australia New Zealand.</w:t>
      </w:r>
    </w:p>
    <w:p w14:paraId="4C8BBE19" w14:textId="77777777" w:rsidR="008D3EEF" w:rsidRDefault="008D3EEF" w:rsidP="008D3EEF">
      <w:pPr>
        <w:pStyle w:val="BodyText"/>
        <w:spacing w:line="276" w:lineRule="auto"/>
        <w:rPr>
          <w:sz w:val="29"/>
        </w:rPr>
      </w:pPr>
    </w:p>
    <w:p w14:paraId="0918EE3C" w14:textId="77777777" w:rsidR="00C169FF" w:rsidRPr="007B3672" w:rsidRDefault="00C169FF" w:rsidP="00C169FF">
      <w:pPr>
        <w:spacing w:after="0"/>
        <w:rPr>
          <w:rStyle w:val="Heading1Char"/>
        </w:rPr>
      </w:pPr>
      <w:bookmarkStart w:id="11" w:name="_Hlk36203683"/>
      <w:bookmarkStart w:id="12" w:name="_Hlk36565316"/>
      <w:bookmarkStart w:id="13" w:name="_Hlk36209343"/>
      <w:bookmarkStart w:id="14" w:name="_Hlk36710441"/>
      <w:r w:rsidRPr="007B3672">
        <w:rPr>
          <w:rStyle w:val="Heading1Char"/>
        </w:rPr>
        <w:t>Capabilities for the role</w:t>
      </w:r>
    </w:p>
    <w:p w14:paraId="1C7817D7" w14:textId="77777777" w:rsidR="00C169FF" w:rsidRPr="00175AAF" w:rsidRDefault="00C169FF" w:rsidP="00C169FF">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63754BE" w14:textId="77777777" w:rsidR="00C169FF" w:rsidRPr="003C7A36" w:rsidRDefault="00C169FF" w:rsidP="00C169FF">
      <w:r w:rsidRPr="003E0111">
        <w:t xml:space="preserve">The capabilities are separated into </w:t>
      </w:r>
      <w:r w:rsidRPr="007B3672">
        <w:t>focus capabilities</w:t>
      </w:r>
      <w:r w:rsidRPr="003E0111">
        <w:t xml:space="preserve"> and </w:t>
      </w:r>
      <w:r w:rsidRPr="007B3672">
        <w:t>complementary capabilities</w:t>
      </w:r>
    </w:p>
    <w:p w14:paraId="53BADB5B" w14:textId="77777777" w:rsidR="00C169FF" w:rsidRPr="00C978B9" w:rsidRDefault="00C169FF" w:rsidP="00C169FF">
      <w:pPr>
        <w:pStyle w:val="Heading2"/>
      </w:pPr>
      <w:r w:rsidRPr="00C978B9">
        <w:t xml:space="preserve">Focus </w:t>
      </w:r>
      <w:r>
        <w:t>c</w:t>
      </w:r>
      <w:r w:rsidRPr="00C978B9">
        <w:t>apabilities</w:t>
      </w:r>
      <w:r>
        <w:tab/>
      </w:r>
    </w:p>
    <w:p w14:paraId="427E2633" w14:textId="77777777" w:rsidR="00C169FF" w:rsidRDefault="00C169FF" w:rsidP="00C169FF">
      <w:pPr>
        <w:pStyle w:val="PlainText"/>
        <w:spacing w:before="62" w:line="276" w:lineRule="auto"/>
        <w:rPr>
          <w:rFonts w:ascii="Arial" w:eastAsiaTheme="minorEastAsia" w:hAnsi="Arial"/>
          <w:szCs w:val="22"/>
          <w:lang w:val="en-US"/>
        </w:rPr>
      </w:pPr>
      <w:r w:rsidRPr="007B3672">
        <w:rPr>
          <w:rFonts w:ascii="Arial" w:hAnsi="Arial"/>
          <w:lang w:val="en-US"/>
        </w:rPr>
        <w:t>Focus capabilities</w:t>
      </w:r>
      <w:r w:rsidRPr="00513ACA">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C8C3AD4" w14:textId="77777777" w:rsidR="00C169FF" w:rsidRPr="00513ACA" w:rsidRDefault="00C169FF" w:rsidP="00C169FF">
      <w:pPr>
        <w:pStyle w:val="PlainText"/>
        <w:spacing w:before="62" w:line="276" w:lineRule="auto"/>
        <w:rPr>
          <w:rFonts w:ascii="Arial" w:eastAsiaTheme="minorEastAsia" w:hAnsi="Arial"/>
          <w:szCs w:val="22"/>
          <w:lang w:val="en-US"/>
        </w:rPr>
      </w:pPr>
      <w:r w:rsidRPr="00513ACA">
        <w:rPr>
          <w:rFonts w:ascii="Arial" w:eastAsiaTheme="minorEastAsia" w:hAnsi="Arial"/>
          <w:szCs w:val="22"/>
          <w:lang w:val="en-US"/>
        </w:rPr>
        <w:t>The focus capabilities for this role are shown below with a brief explanation of what each capability covers and the indicators describing the types of behaviors expected at each level.</w:t>
      </w:r>
    </w:p>
    <w:p w14:paraId="2AB9E216" w14:textId="77777777" w:rsidR="00C169FF" w:rsidRDefault="00C169FF" w:rsidP="00C169FF">
      <w:pPr>
        <w:pStyle w:val="Heading2"/>
      </w:pPr>
    </w:p>
    <w:p w14:paraId="06ED2F4C" w14:textId="77777777" w:rsidR="008D3EEF" w:rsidRDefault="008D3EEF" w:rsidP="008D3EEF">
      <w:pPr>
        <w:rPr>
          <w:b/>
          <w:bCs/>
          <w:sz w:val="24"/>
          <w:szCs w:val="24"/>
        </w:rPr>
      </w:pPr>
      <w:r>
        <w:br w:type="page"/>
      </w:r>
    </w:p>
    <w:p w14:paraId="543C21C4" w14:textId="77777777" w:rsidR="008D3EEF" w:rsidRDefault="008D3EEF" w:rsidP="008D3EEF">
      <w:pPr>
        <w:pStyle w:val="Heading2"/>
      </w:pPr>
    </w:p>
    <w:p w14:paraId="21E84E05" w14:textId="77777777" w:rsidR="008D3EEF" w:rsidRDefault="008D3EEF" w:rsidP="008D3EEF">
      <w:pPr>
        <w:pStyle w:val="Heading2"/>
      </w:pPr>
    </w:p>
    <w:p w14:paraId="6805EC48" w14:textId="77777777" w:rsidR="008D3EEF" w:rsidRDefault="008D3EEF" w:rsidP="008D3EEF">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8D3EEF" w:rsidRPr="003C7A36" w14:paraId="591070BF" w14:textId="77777777" w:rsidTr="00886948">
        <w:trPr>
          <w:cantSplit/>
        </w:trPr>
        <w:tc>
          <w:tcPr>
            <w:tcW w:w="1385" w:type="dxa"/>
            <w:shd w:val="clear" w:color="auto" w:fill="BFBFBF" w:themeFill="background1" w:themeFillShade="BF"/>
            <w:vAlign w:val="center"/>
          </w:tcPr>
          <w:p w14:paraId="46467786" w14:textId="77777777" w:rsidR="008D3EEF" w:rsidRPr="003C7A36" w:rsidRDefault="008D3EEF" w:rsidP="00886948">
            <w:r w:rsidRPr="003C7A36">
              <w:rPr>
                <w:b/>
              </w:rPr>
              <w:t>Capability group/sets</w:t>
            </w:r>
          </w:p>
        </w:tc>
        <w:tc>
          <w:tcPr>
            <w:tcW w:w="2726" w:type="dxa"/>
            <w:shd w:val="clear" w:color="auto" w:fill="BFBFBF" w:themeFill="background1" w:themeFillShade="BF"/>
          </w:tcPr>
          <w:p w14:paraId="186422B4" w14:textId="77777777" w:rsidR="008D3EEF" w:rsidRPr="003C7A36" w:rsidRDefault="008D3EEF" w:rsidP="00886948">
            <w:r w:rsidRPr="003C7A36">
              <w:rPr>
                <w:b/>
              </w:rPr>
              <w:t>Capability name</w:t>
            </w:r>
          </w:p>
        </w:tc>
        <w:tc>
          <w:tcPr>
            <w:tcW w:w="4709" w:type="dxa"/>
            <w:shd w:val="clear" w:color="auto" w:fill="BFBFBF" w:themeFill="background1" w:themeFillShade="BF"/>
          </w:tcPr>
          <w:p w14:paraId="549410C2" w14:textId="77777777" w:rsidR="008D3EEF" w:rsidRPr="003C7A36" w:rsidRDefault="008D3EEF" w:rsidP="00886948">
            <w:r w:rsidRPr="003C7A36">
              <w:rPr>
                <w:b/>
              </w:rPr>
              <w:t>Behavioural indicators</w:t>
            </w:r>
          </w:p>
        </w:tc>
        <w:tc>
          <w:tcPr>
            <w:tcW w:w="1668" w:type="dxa"/>
            <w:shd w:val="clear" w:color="auto" w:fill="BFBFBF" w:themeFill="background1" w:themeFillShade="BF"/>
          </w:tcPr>
          <w:p w14:paraId="4F53B340" w14:textId="77777777" w:rsidR="008D3EEF" w:rsidRPr="00372FE9" w:rsidRDefault="008D3EEF" w:rsidP="00886948">
            <w:pPr>
              <w:rPr>
                <w:b/>
                <w:bCs/>
              </w:rPr>
            </w:pPr>
            <w:r w:rsidRPr="00372FE9">
              <w:rPr>
                <w:b/>
                <w:bCs/>
              </w:rPr>
              <w:t>Level</w:t>
            </w:r>
          </w:p>
        </w:tc>
      </w:tr>
      <w:tr w:rsidR="008D3EEF" w:rsidRPr="003C7A36" w14:paraId="43624EAB" w14:textId="77777777" w:rsidTr="00886948">
        <w:trPr>
          <w:cantSplit/>
        </w:trPr>
        <w:tc>
          <w:tcPr>
            <w:tcW w:w="1385" w:type="dxa"/>
          </w:tcPr>
          <w:p w14:paraId="66C228B3" w14:textId="77777777" w:rsidR="008D3EEF" w:rsidRPr="003C7A36" w:rsidRDefault="008D3EEF" w:rsidP="00886948">
            <w:pPr>
              <w:jc w:val="center"/>
              <w:rPr>
                <w:noProof/>
                <w:lang w:eastAsia="en-AU"/>
              </w:rPr>
            </w:pPr>
            <w:r w:rsidRPr="00372FE9">
              <w:rPr>
                <w:noProof/>
                <w:lang w:eastAsia="en-AU"/>
              </w:rPr>
              <w:drawing>
                <wp:inline distT="0" distB="0" distL="0" distR="0" wp14:anchorId="1D61DCF1" wp14:editId="4E65C1D2">
                  <wp:extent cx="749300" cy="749300"/>
                  <wp:effectExtent l="0" t="0" r="0" b="0"/>
                  <wp:docPr id="2865" name="Picture 2865"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A048A6" w14:textId="77777777" w:rsidR="008D3EEF" w:rsidRDefault="008D3EEF" w:rsidP="00886948">
            <w:pPr>
              <w:rPr>
                <w:color w:val="000000"/>
              </w:rPr>
            </w:pPr>
            <w:r w:rsidRPr="003C7A36">
              <w:rPr>
                <w:b/>
                <w:bCs/>
                <w:color w:val="000000"/>
              </w:rPr>
              <w:t>Act with Integrity</w:t>
            </w:r>
          </w:p>
          <w:p w14:paraId="3D0FD82E" w14:textId="77777777" w:rsidR="008D3EEF" w:rsidRPr="00667FCB" w:rsidRDefault="008D3EEF" w:rsidP="00886948">
            <w:pPr>
              <w:rPr>
                <w:color w:val="000000"/>
              </w:rPr>
            </w:pPr>
            <w:r w:rsidRPr="003C7A36">
              <w:rPr>
                <w:color w:val="000000"/>
              </w:rPr>
              <w:t>Be ethical and professional, and uphold and promote the public sector values</w:t>
            </w:r>
          </w:p>
        </w:tc>
        <w:tc>
          <w:tcPr>
            <w:tcW w:w="4709" w:type="dxa"/>
          </w:tcPr>
          <w:p w14:paraId="23E52851" w14:textId="77777777" w:rsidR="008D3EEF" w:rsidRDefault="008D3EEF" w:rsidP="008D3EEF">
            <w:pPr>
              <w:pStyle w:val="TableBullet"/>
              <w:spacing w:after="80"/>
            </w:pPr>
            <w:r>
              <w:t xml:space="preserve">Model the highest standards of ethical and professional behaviour and reinforce their use </w:t>
            </w:r>
          </w:p>
          <w:p w14:paraId="29486978" w14:textId="77777777" w:rsidR="008D3EEF" w:rsidRDefault="008D3EEF" w:rsidP="008D3EEF">
            <w:pPr>
              <w:pStyle w:val="TableBullet"/>
              <w:spacing w:after="80"/>
            </w:pPr>
            <w:r>
              <w:t xml:space="preserve">Represent the organisation in an honest, ethical and professional way and set an example for others to follow </w:t>
            </w:r>
          </w:p>
          <w:p w14:paraId="5A02E35B" w14:textId="77777777" w:rsidR="008D3EEF" w:rsidRDefault="008D3EEF" w:rsidP="008D3EEF">
            <w:pPr>
              <w:pStyle w:val="TableBullet"/>
              <w:spacing w:after="80"/>
            </w:pPr>
            <w:r>
              <w:t xml:space="preserve">Promote a culture of integrity and professionalism within the organisation and in dealings external to government </w:t>
            </w:r>
          </w:p>
          <w:p w14:paraId="3BD8EDD4" w14:textId="77777777" w:rsidR="008D3EEF" w:rsidRDefault="008D3EEF" w:rsidP="008D3EEF">
            <w:pPr>
              <w:pStyle w:val="TableBullet"/>
              <w:spacing w:after="80"/>
            </w:pPr>
            <w:r>
              <w:t xml:space="preserve">Monitor ethical practices, standards and systems and reinforce their use </w:t>
            </w:r>
          </w:p>
          <w:p w14:paraId="0C28BAB5" w14:textId="77777777" w:rsidR="008D3EEF" w:rsidRPr="003C7A36" w:rsidRDefault="008D3EEF" w:rsidP="008D3EEF">
            <w:pPr>
              <w:pStyle w:val="TableBullet"/>
              <w:spacing w:after="80" w:line="240" w:lineRule="auto"/>
              <w:ind w:left="357" w:hanging="357"/>
            </w:pPr>
            <w:r>
              <w:t>Act promptly on reported breaches of legislation, policies and guidelines</w:t>
            </w:r>
          </w:p>
        </w:tc>
        <w:tc>
          <w:tcPr>
            <w:tcW w:w="1668" w:type="dxa"/>
          </w:tcPr>
          <w:p w14:paraId="118F5952" w14:textId="77777777" w:rsidR="008D3EEF" w:rsidRPr="006F0836" w:rsidRDefault="008D3EEF" w:rsidP="00886948">
            <w:pPr>
              <w:pStyle w:val="TableText"/>
            </w:pPr>
            <w:r w:rsidRPr="004C659E">
              <w:t>Ad</w:t>
            </w:r>
            <w:r>
              <w:t>vanced</w:t>
            </w:r>
          </w:p>
        </w:tc>
      </w:tr>
      <w:tr w:rsidR="008D3EEF" w:rsidRPr="003C7A36" w14:paraId="456443F3" w14:textId="77777777" w:rsidTr="00886948">
        <w:trPr>
          <w:cantSplit/>
        </w:trPr>
        <w:tc>
          <w:tcPr>
            <w:tcW w:w="1385" w:type="dxa"/>
          </w:tcPr>
          <w:p w14:paraId="2D70D296" w14:textId="77777777" w:rsidR="008D3EEF" w:rsidRPr="003C7A36" w:rsidRDefault="008D3EEF" w:rsidP="00886948">
            <w:pPr>
              <w:jc w:val="center"/>
              <w:rPr>
                <w:noProof/>
                <w:lang w:eastAsia="en-AU"/>
              </w:rPr>
            </w:pPr>
            <w:r w:rsidRPr="00372FE9">
              <w:rPr>
                <w:noProof/>
                <w:lang w:eastAsia="en-AU"/>
              </w:rPr>
              <w:drawing>
                <wp:inline distT="0" distB="0" distL="0" distR="0" wp14:anchorId="30C97EF0" wp14:editId="3D179B5F">
                  <wp:extent cx="749300" cy="749300"/>
                  <wp:effectExtent l="0" t="0" r="0" b="0"/>
                  <wp:docPr id="6450" name="Picture 6450"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C4B7D83" w14:textId="77777777" w:rsidR="008D3EEF" w:rsidRDefault="008D3EEF" w:rsidP="00886948">
            <w:pPr>
              <w:rPr>
                <w:color w:val="000000"/>
              </w:rPr>
            </w:pPr>
            <w:r w:rsidRPr="003C7A36">
              <w:rPr>
                <w:b/>
                <w:bCs/>
                <w:color w:val="000000"/>
              </w:rPr>
              <w:t>Manage Self</w:t>
            </w:r>
          </w:p>
          <w:p w14:paraId="571AED32" w14:textId="77777777" w:rsidR="008D3EEF" w:rsidRPr="00667FCB" w:rsidRDefault="008D3EEF" w:rsidP="00886948">
            <w:pPr>
              <w:rPr>
                <w:color w:val="000000"/>
              </w:rPr>
            </w:pPr>
            <w:r w:rsidRPr="003C7A36">
              <w:rPr>
                <w:color w:val="000000"/>
              </w:rPr>
              <w:t>Show drive and motivation, an ability to self-reflect and a commitment to learning</w:t>
            </w:r>
          </w:p>
        </w:tc>
        <w:tc>
          <w:tcPr>
            <w:tcW w:w="4709" w:type="dxa"/>
          </w:tcPr>
          <w:p w14:paraId="3F0A7281" w14:textId="77777777" w:rsidR="008D3EEF" w:rsidRPr="00222D2A" w:rsidRDefault="008D3EEF" w:rsidP="008D3EEF">
            <w:pPr>
              <w:pStyle w:val="TableBullet"/>
              <w:spacing w:after="80" w:line="240" w:lineRule="auto"/>
              <w:ind w:left="357" w:hanging="357"/>
            </w:pPr>
            <w:r w:rsidRPr="00222D2A">
              <w:t>Keep up to date with relevant contemporary knowledge and practices</w:t>
            </w:r>
          </w:p>
          <w:p w14:paraId="0ED78274" w14:textId="77777777" w:rsidR="008D3EEF" w:rsidRPr="00222D2A" w:rsidRDefault="008D3EEF" w:rsidP="008D3EEF">
            <w:pPr>
              <w:pStyle w:val="TableBullet"/>
              <w:spacing w:after="80" w:line="240" w:lineRule="auto"/>
              <w:ind w:left="357" w:hanging="357"/>
            </w:pPr>
            <w:r w:rsidRPr="00222D2A">
              <w:t>Look for and take advantage of opportunities to learn new skills and develop strengths</w:t>
            </w:r>
          </w:p>
          <w:p w14:paraId="7CB44978" w14:textId="77777777" w:rsidR="008D3EEF" w:rsidRPr="00222D2A" w:rsidRDefault="008D3EEF" w:rsidP="008D3EEF">
            <w:pPr>
              <w:pStyle w:val="TableBullet"/>
              <w:spacing w:after="80" w:line="240" w:lineRule="auto"/>
              <w:ind w:left="357" w:hanging="357"/>
            </w:pPr>
            <w:r w:rsidRPr="00222D2A">
              <w:t>Show commitment to achieving challenging goals</w:t>
            </w:r>
          </w:p>
          <w:p w14:paraId="2B737CAD" w14:textId="77777777" w:rsidR="008D3EEF" w:rsidRPr="00222D2A" w:rsidRDefault="008D3EEF" w:rsidP="008D3EEF">
            <w:pPr>
              <w:pStyle w:val="TableBullet"/>
              <w:spacing w:after="80" w:line="240" w:lineRule="auto"/>
              <w:ind w:left="357" w:hanging="357"/>
            </w:pPr>
            <w:r w:rsidRPr="00222D2A">
              <w:t>Examine and reflect on own performance</w:t>
            </w:r>
          </w:p>
          <w:p w14:paraId="0882CAE6" w14:textId="77777777" w:rsidR="008D3EEF" w:rsidRPr="00222D2A" w:rsidRDefault="008D3EEF" w:rsidP="008D3EEF">
            <w:pPr>
              <w:pStyle w:val="TableBullet"/>
              <w:spacing w:after="80" w:line="240" w:lineRule="auto"/>
              <w:ind w:left="357" w:hanging="357"/>
            </w:pPr>
            <w:r w:rsidRPr="00222D2A">
              <w:t>Seek and respond positively to constructive feedback and guidance</w:t>
            </w:r>
          </w:p>
          <w:p w14:paraId="1CAE8910" w14:textId="77777777" w:rsidR="008D3EEF" w:rsidRPr="003C7A36" w:rsidRDefault="008D3EEF" w:rsidP="008D3EEF">
            <w:pPr>
              <w:pStyle w:val="TableBullet"/>
              <w:spacing w:after="80" w:line="240" w:lineRule="auto"/>
              <w:ind w:left="357" w:hanging="357"/>
            </w:pPr>
            <w:r w:rsidRPr="00222D2A">
              <w:t>Demonstrate and maintain a high level of personal motivation</w:t>
            </w:r>
          </w:p>
        </w:tc>
        <w:tc>
          <w:tcPr>
            <w:tcW w:w="1668" w:type="dxa"/>
          </w:tcPr>
          <w:p w14:paraId="6ECCE46E" w14:textId="77777777" w:rsidR="008D3EEF" w:rsidRPr="006F0836" w:rsidRDefault="008D3EEF" w:rsidP="00886948">
            <w:pPr>
              <w:pStyle w:val="TableText"/>
            </w:pPr>
            <w:r w:rsidRPr="004C659E">
              <w:t>Adept</w:t>
            </w:r>
          </w:p>
        </w:tc>
      </w:tr>
      <w:tr w:rsidR="008D3EEF" w:rsidRPr="003C7A36" w14:paraId="61FBA2F2" w14:textId="77777777" w:rsidTr="00886948">
        <w:trPr>
          <w:cantSplit/>
        </w:trPr>
        <w:tc>
          <w:tcPr>
            <w:tcW w:w="1385" w:type="dxa"/>
          </w:tcPr>
          <w:p w14:paraId="328FA203" w14:textId="77777777" w:rsidR="008D3EEF" w:rsidRPr="003C7A36" w:rsidRDefault="008D3EEF" w:rsidP="00886948">
            <w:pPr>
              <w:jc w:val="center"/>
              <w:rPr>
                <w:noProof/>
                <w:lang w:eastAsia="en-AU"/>
              </w:rPr>
            </w:pPr>
            <w:r w:rsidRPr="00372FE9">
              <w:rPr>
                <w:noProof/>
                <w:lang w:eastAsia="en-AU"/>
              </w:rPr>
              <w:drawing>
                <wp:inline distT="0" distB="0" distL="0" distR="0" wp14:anchorId="4DB071B7" wp14:editId="05074A08">
                  <wp:extent cx="749300" cy="749300"/>
                  <wp:effectExtent l="0" t="0" r="0" b="0"/>
                  <wp:docPr id="44" name="Picture 44"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B4713AC" w14:textId="77777777" w:rsidR="008D3EEF" w:rsidRDefault="008D3EEF" w:rsidP="00886948">
            <w:pPr>
              <w:rPr>
                <w:color w:val="000000"/>
              </w:rPr>
            </w:pPr>
            <w:r w:rsidRPr="003C7A36">
              <w:rPr>
                <w:b/>
                <w:bCs/>
                <w:color w:val="000000"/>
              </w:rPr>
              <w:t>Communicate Effectively</w:t>
            </w:r>
          </w:p>
          <w:p w14:paraId="00CA8B60" w14:textId="77777777" w:rsidR="008D3EEF" w:rsidRPr="00667FCB" w:rsidRDefault="008D3EEF" w:rsidP="00886948">
            <w:pPr>
              <w:rPr>
                <w:color w:val="000000"/>
              </w:rPr>
            </w:pPr>
            <w:r w:rsidRPr="003C7A36">
              <w:rPr>
                <w:color w:val="000000"/>
              </w:rPr>
              <w:t>Communicate clearly, actively listen to others, and respond with understanding and respect</w:t>
            </w:r>
          </w:p>
        </w:tc>
        <w:tc>
          <w:tcPr>
            <w:tcW w:w="4709" w:type="dxa"/>
          </w:tcPr>
          <w:p w14:paraId="755185D6" w14:textId="77777777" w:rsidR="008D3EEF" w:rsidRPr="00100215" w:rsidRDefault="008D3EEF" w:rsidP="008D3EEF">
            <w:pPr>
              <w:pStyle w:val="TableBullet"/>
              <w:spacing w:after="80" w:line="240" w:lineRule="auto"/>
              <w:ind w:left="357" w:hanging="357"/>
            </w:pPr>
            <w:r w:rsidRPr="00100215">
              <w:t xml:space="preserve">Tailor communication to diverse audiences </w:t>
            </w:r>
          </w:p>
          <w:p w14:paraId="53886A23" w14:textId="77777777" w:rsidR="008D3EEF" w:rsidRPr="00100215" w:rsidRDefault="008D3EEF" w:rsidP="008D3EEF">
            <w:pPr>
              <w:pStyle w:val="TableBullet"/>
              <w:spacing w:after="80" w:line="240" w:lineRule="auto"/>
              <w:ind w:left="357" w:hanging="357"/>
            </w:pPr>
            <w:r w:rsidRPr="00100215">
              <w:t xml:space="preserve">Clearly explain complex concepts and arguments to individuals and groups </w:t>
            </w:r>
          </w:p>
          <w:p w14:paraId="335CAEC9" w14:textId="77777777" w:rsidR="008D3EEF" w:rsidRPr="00100215" w:rsidRDefault="008D3EEF" w:rsidP="008D3EEF">
            <w:pPr>
              <w:pStyle w:val="TableBullet"/>
              <w:spacing w:after="80" w:line="240" w:lineRule="auto"/>
              <w:ind w:left="357" w:hanging="357"/>
            </w:pPr>
            <w:r w:rsidRPr="00100215">
              <w:t xml:space="preserve">Create opportunities for others to </w:t>
            </w:r>
            <w:r>
              <w:t>contribute</w:t>
            </w:r>
            <w:r w:rsidRPr="00100215">
              <w:t xml:space="preserve">, listen attentively and encourage them to express their views </w:t>
            </w:r>
          </w:p>
          <w:p w14:paraId="05AA2858" w14:textId="77777777" w:rsidR="008D3EEF" w:rsidRPr="00100215" w:rsidRDefault="008D3EEF" w:rsidP="008D3EEF">
            <w:pPr>
              <w:pStyle w:val="TableBullet"/>
              <w:spacing w:after="80" w:line="240" w:lineRule="auto"/>
              <w:ind w:left="357" w:hanging="357"/>
            </w:pPr>
            <w:r w:rsidRPr="00100215">
              <w:t xml:space="preserve">Share information across teams and units to enable informed decision making </w:t>
            </w:r>
          </w:p>
          <w:p w14:paraId="6BDA6AD8" w14:textId="77777777" w:rsidR="008D3EEF" w:rsidRPr="00100215" w:rsidRDefault="008D3EEF" w:rsidP="008D3EEF">
            <w:pPr>
              <w:pStyle w:val="TableBullet"/>
              <w:spacing w:after="80" w:line="240" w:lineRule="auto"/>
              <w:ind w:left="357" w:hanging="357"/>
            </w:pPr>
            <w:r w:rsidRPr="00100215">
              <w:t xml:space="preserve">Write fluently in plain English and in a range of styles and formats </w:t>
            </w:r>
          </w:p>
          <w:p w14:paraId="3541C71F" w14:textId="77777777" w:rsidR="008D3EEF" w:rsidRPr="003C7A36" w:rsidRDefault="008D3EEF" w:rsidP="008D3EEF">
            <w:pPr>
              <w:pStyle w:val="TableBullet"/>
              <w:spacing w:after="80" w:line="240" w:lineRule="auto"/>
              <w:ind w:left="357" w:hanging="357"/>
            </w:pPr>
            <w:r w:rsidRPr="00100215">
              <w:t>Use contemporary communication channels to share information, engage and interact with diverse audiences</w:t>
            </w:r>
          </w:p>
        </w:tc>
        <w:tc>
          <w:tcPr>
            <w:tcW w:w="1668" w:type="dxa"/>
          </w:tcPr>
          <w:p w14:paraId="3780C468" w14:textId="77777777" w:rsidR="008D3EEF" w:rsidRPr="006F0836" w:rsidRDefault="008D3EEF" w:rsidP="00886948">
            <w:pPr>
              <w:pStyle w:val="TableText"/>
            </w:pPr>
            <w:r>
              <w:t>Adept</w:t>
            </w:r>
          </w:p>
        </w:tc>
      </w:tr>
      <w:tr w:rsidR="008D3EEF" w:rsidRPr="003C7A36" w14:paraId="57C332FF" w14:textId="77777777" w:rsidTr="00886948">
        <w:trPr>
          <w:cantSplit/>
        </w:trPr>
        <w:tc>
          <w:tcPr>
            <w:tcW w:w="1385" w:type="dxa"/>
          </w:tcPr>
          <w:p w14:paraId="0DA6FD9A" w14:textId="77777777" w:rsidR="008D3EEF" w:rsidRPr="003C7A36" w:rsidRDefault="008D3EEF" w:rsidP="00886948">
            <w:pPr>
              <w:jc w:val="center"/>
              <w:rPr>
                <w:noProof/>
                <w:lang w:eastAsia="en-AU"/>
              </w:rPr>
            </w:pPr>
            <w:r w:rsidRPr="00372FE9">
              <w:rPr>
                <w:noProof/>
                <w:lang w:eastAsia="en-AU"/>
              </w:rPr>
              <w:lastRenderedPageBreak/>
              <w:drawing>
                <wp:inline distT="0" distB="0" distL="0" distR="0" wp14:anchorId="03AFD280" wp14:editId="0B2B37D1">
                  <wp:extent cx="749300" cy="749300"/>
                  <wp:effectExtent l="0" t="0" r="0" b="0"/>
                  <wp:docPr id="8399" name="Picture 8399"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5BAEB2" w14:textId="77777777" w:rsidR="008D3EEF" w:rsidRDefault="008D3EEF" w:rsidP="00886948">
            <w:pPr>
              <w:rPr>
                <w:color w:val="000000"/>
              </w:rPr>
            </w:pPr>
            <w:r w:rsidRPr="003C7A36">
              <w:rPr>
                <w:b/>
                <w:bCs/>
                <w:color w:val="000000"/>
              </w:rPr>
              <w:t>Work Collaboratively</w:t>
            </w:r>
          </w:p>
          <w:p w14:paraId="0A49D3E2" w14:textId="77777777" w:rsidR="008D3EEF" w:rsidRPr="00667FCB" w:rsidRDefault="008D3EEF" w:rsidP="00886948">
            <w:pPr>
              <w:rPr>
                <w:color w:val="000000"/>
              </w:rPr>
            </w:pPr>
            <w:r w:rsidRPr="003C7A36">
              <w:rPr>
                <w:color w:val="000000"/>
              </w:rPr>
              <w:t>Collaborate with others and value their contribution</w:t>
            </w:r>
          </w:p>
        </w:tc>
        <w:tc>
          <w:tcPr>
            <w:tcW w:w="4709" w:type="dxa"/>
          </w:tcPr>
          <w:p w14:paraId="4D524A2F" w14:textId="77777777" w:rsidR="008D3EEF" w:rsidRPr="003A2370" w:rsidRDefault="008D3EEF" w:rsidP="008D3EEF">
            <w:pPr>
              <w:pStyle w:val="TableBullet"/>
              <w:spacing w:after="80"/>
            </w:pPr>
            <w:r w:rsidRPr="003A2370">
              <w:t xml:space="preserve">Recognise outcomes achieved through effective collaboration between teams </w:t>
            </w:r>
          </w:p>
          <w:p w14:paraId="68F4D90B" w14:textId="77777777" w:rsidR="008D3EEF" w:rsidRPr="003A2370" w:rsidRDefault="008D3EEF" w:rsidP="008D3EEF">
            <w:pPr>
              <w:pStyle w:val="TableBullet"/>
              <w:spacing w:after="80"/>
            </w:pPr>
            <w:r w:rsidRPr="003A2370">
              <w:t xml:space="preserve">Build cooperation and overcome barriers to information sharing, communication and collaboration across the organisation and across government </w:t>
            </w:r>
          </w:p>
          <w:p w14:paraId="14377163" w14:textId="77777777" w:rsidR="008D3EEF" w:rsidRPr="003A2370" w:rsidRDefault="008D3EEF" w:rsidP="008D3EEF">
            <w:pPr>
              <w:pStyle w:val="TableBullet"/>
              <w:spacing w:after="80"/>
            </w:pPr>
            <w:r w:rsidRPr="003A2370">
              <w:t xml:space="preserve">Facilitate opportunities to engage and collaborate with stakeholders to develop joint solutions </w:t>
            </w:r>
          </w:p>
          <w:p w14:paraId="2E059624" w14:textId="77777777" w:rsidR="008D3EEF" w:rsidRPr="003A2370" w:rsidRDefault="008D3EEF" w:rsidP="008D3EEF">
            <w:pPr>
              <w:pStyle w:val="TableBullet"/>
              <w:spacing w:after="80"/>
            </w:pPr>
            <w:r w:rsidRPr="003A2370">
              <w:t xml:space="preserve">Network extensively across government and organisations to increase collaboration </w:t>
            </w:r>
          </w:p>
          <w:p w14:paraId="275DBF3E" w14:textId="77777777" w:rsidR="008D3EEF" w:rsidRPr="003A2370" w:rsidRDefault="008D3EEF" w:rsidP="008D3EEF">
            <w:pPr>
              <w:pStyle w:val="TableBullet"/>
              <w:spacing w:after="80" w:line="240" w:lineRule="auto"/>
              <w:ind w:left="357" w:hanging="357"/>
            </w:pPr>
            <w:r w:rsidRPr="003A2370">
              <w:t>Encourage others to use appropriate collaboration approaches and tools, including digital technologies</w:t>
            </w:r>
          </w:p>
        </w:tc>
        <w:tc>
          <w:tcPr>
            <w:tcW w:w="1668" w:type="dxa"/>
          </w:tcPr>
          <w:p w14:paraId="527E7108" w14:textId="77777777" w:rsidR="008D3EEF" w:rsidRPr="0013690C" w:rsidRDefault="008D3EEF" w:rsidP="00886948">
            <w:pPr>
              <w:pStyle w:val="TableText"/>
              <w:rPr>
                <w:highlight w:val="yellow"/>
              </w:rPr>
            </w:pPr>
            <w:r w:rsidRPr="003A2370">
              <w:t>Advanced</w:t>
            </w:r>
          </w:p>
        </w:tc>
      </w:tr>
      <w:tr w:rsidR="008D3EEF" w:rsidRPr="003C7A36" w14:paraId="6032FA98" w14:textId="77777777" w:rsidTr="00886948">
        <w:trPr>
          <w:cantSplit/>
        </w:trPr>
        <w:tc>
          <w:tcPr>
            <w:tcW w:w="1385" w:type="dxa"/>
          </w:tcPr>
          <w:p w14:paraId="76883A79" w14:textId="77777777" w:rsidR="008D3EEF" w:rsidRPr="003C7A36" w:rsidRDefault="008D3EEF" w:rsidP="00886948">
            <w:pPr>
              <w:jc w:val="center"/>
              <w:rPr>
                <w:noProof/>
                <w:lang w:eastAsia="en-AU"/>
              </w:rPr>
            </w:pPr>
            <w:r w:rsidRPr="00372FE9">
              <w:rPr>
                <w:noProof/>
                <w:lang w:eastAsia="en-AU"/>
              </w:rPr>
              <w:drawing>
                <wp:inline distT="0" distB="0" distL="0" distR="0" wp14:anchorId="14091310" wp14:editId="3B2D00E3">
                  <wp:extent cx="749300" cy="749300"/>
                  <wp:effectExtent l="0" t="0" r="0" b="0"/>
                  <wp:docPr id="1994" name="Picture 1994"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382BFE" w14:textId="77777777" w:rsidR="008D3EEF" w:rsidRDefault="008D3EEF" w:rsidP="00886948">
            <w:pPr>
              <w:rPr>
                <w:color w:val="000000"/>
              </w:rPr>
            </w:pPr>
            <w:r w:rsidRPr="003C7A36">
              <w:rPr>
                <w:b/>
                <w:bCs/>
                <w:color w:val="000000"/>
              </w:rPr>
              <w:t>Influence and Negotiate</w:t>
            </w:r>
          </w:p>
          <w:p w14:paraId="7CFC88CF" w14:textId="77777777" w:rsidR="008D3EEF" w:rsidRPr="00667FCB" w:rsidRDefault="008D3EEF" w:rsidP="00886948">
            <w:pPr>
              <w:rPr>
                <w:color w:val="000000"/>
              </w:rPr>
            </w:pPr>
            <w:r w:rsidRPr="003C7A36">
              <w:rPr>
                <w:color w:val="000000"/>
              </w:rPr>
              <w:t>Gain consensus and commitment from others, and resolve issues and conflicts</w:t>
            </w:r>
          </w:p>
        </w:tc>
        <w:tc>
          <w:tcPr>
            <w:tcW w:w="4709" w:type="dxa"/>
          </w:tcPr>
          <w:p w14:paraId="7F196FB9" w14:textId="77777777" w:rsidR="008D3EEF" w:rsidRPr="003A2370" w:rsidRDefault="008D3EEF" w:rsidP="008D3EEF">
            <w:pPr>
              <w:pStyle w:val="TableBullet"/>
              <w:spacing w:after="80" w:line="240" w:lineRule="auto"/>
              <w:ind w:left="357" w:hanging="357"/>
            </w:pPr>
            <w:r w:rsidRPr="003A2370">
              <w:t>Negotiate from an informed and credible position</w:t>
            </w:r>
          </w:p>
          <w:p w14:paraId="0DDFF63C" w14:textId="77777777" w:rsidR="008D3EEF" w:rsidRPr="003A2370" w:rsidRDefault="008D3EEF" w:rsidP="008D3EEF">
            <w:pPr>
              <w:pStyle w:val="TableBullet"/>
              <w:spacing w:after="80" w:line="240" w:lineRule="auto"/>
            </w:pPr>
            <w:r w:rsidRPr="003A2370">
              <w:t>Lead and facilitate productive discussions with staff and stakeholders</w:t>
            </w:r>
          </w:p>
          <w:p w14:paraId="63F6102B" w14:textId="77777777" w:rsidR="008D3EEF" w:rsidRPr="003A2370" w:rsidRDefault="008D3EEF" w:rsidP="008D3EEF">
            <w:pPr>
              <w:pStyle w:val="TableBullet"/>
              <w:spacing w:after="80" w:line="240" w:lineRule="auto"/>
            </w:pPr>
            <w:r w:rsidRPr="003A2370">
              <w:t>Encourage others to talk, share and debate ideas to achieve a consensus</w:t>
            </w:r>
          </w:p>
          <w:p w14:paraId="71D7408C" w14:textId="77777777" w:rsidR="008D3EEF" w:rsidRPr="003A2370" w:rsidRDefault="008D3EEF" w:rsidP="008D3EEF">
            <w:pPr>
              <w:pStyle w:val="TableBullet"/>
              <w:spacing w:after="80" w:line="240" w:lineRule="auto"/>
            </w:pPr>
            <w:r w:rsidRPr="003A2370">
              <w:t>Recognise diverse perspectives and the need for compromise in negotiating mutually agreed outcomes</w:t>
            </w:r>
          </w:p>
          <w:p w14:paraId="69D42F85" w14:textId="77777777" w:rsidR="008D3EEF" w:rsidRPr="003A2370" w:rsidRDefault="008D3EEF" w:rsidP="008D3EEF">
            <w:pPr>
              <w:pStyle w:val="TableBullet"/>
              <w:spacing w:after="80" w:line="240" w:lineRule="auto"/>
            </w:pPr>
            <w:r w:rsidRPr="003A2370">
              <w:t>Influence others with a fair and considered approach and sound arguments</w:t>
            </w:r>
          </w:p>
          <w:p w14:paraId="0C2FFA7B" w14:textId="77777777" w:rsidR="008D3EEF" w:rsidRPr="003A2370" w:rsidRDefault="008D3EEF" w:rsidP="008D3EEF">
            <w:pPr>
              <w:pStyle w:val="TableBullet"/>
              <w:spacing w:after="80" w:line="240" w:lineRule="auto"/>
            </w:pPr>
            <w:r w:rsidRPr="003A2370">
              <w:t>Show sensitivity and understanding in resolving conflicts and differences</w:t>
            </w:r>
          </w:p>
          <w:p w14:paraId="27A8E926" w14:textId="77777777" w:rsidR="008D3EEF" w:rsidRPr="003A2370" w:rsidRDefault="008D3EEF" w:rsidP="008D3EEF">
            <w:pPr>
              <w:pStyle w:val="TableBullet"/>
              <w:spacing w:after="80" w:line="240" w:lineRule="auto"/>
            </w:pPr>
            <w:r w:rsidRPr="003A2370">
              <w:t>Manage challenging relationships with internal and external stakeholders</w:t>
            </w:r>
          </w:p>
          <w:p w14:paraId="16050D95" w14:textId="77777777" w:rsidR="008D3EEF" w:rsidRPr="003A2370" w:rsidRDefault="008D3EEF" w:rsidP="008D3EEF">
            <w:pPr>
              <w:pStyle w:val="TableBullet"/>
              <w:spacing w:after="80" w:line="240" w:lineRule="auto"/>
            </w:pPr>
            <w:r w:rsidRPr="003A2370">
              <w:t>Anticipate and minimise conflict</w:t>
            </w:r>
          </w:p>
        </w:tc>
        <w:tc>
          <w:tcPr>
            <w:tcW w:w="1668" w:type="dxa"/>
          </w:tcPr>
          <w:p w14:paraId="5AE6B823" w14:textId="77777777" w:rsidR="008D3EEF" w:rsidRPr="006F0836" w:rsidRDefault="008D3EEF" w:rsidP="00886948">
            <w:pPr>
              <w:pStyle w:val="TableText"/>
              <w:spacing w:line="240" w:lineRule="auto"/>
            </w:pPr>
            <w:r>
              <w:t>Adept</w:t>
            </w:r>
          </w:p>
        </w:tc>
      </w:tr>
      <w:tr w:rsidR="008D3EEF" w:rsidRPr="003C7A36" w14:paraId="7EA252BC" w14:textId="77777777" w:rsidTr="00886948">
        <w:trPr>
          <w:cantSplit/>
        </w:trPr>
        <w:tc>
          <w:tcPr>
            <w:tcW w:w="1385" w:type="dxa"/>
          </w:tcPr>
          <w:p w14:paraId="1EC477EE" w14:textId="77777777" w:rsidR="008D3EEF" w:rsidRPr="003C7A36" w:rsidRDefault="008D3EEF" w:rsidP="00886948">
            <w:pPr>
              <w:jc w:val="center"/>
              <w:rPr>
                <w:noProof/>
                <w:lang w:eastAsia="en-AU"/>
              </w:rPr>
            </w:pPr>
            <w:r w:rsidRPr="00372FE9">
              <w:rPr>
                <w:noProof/>
                <w:lang w:eastAsia="en-AU"/>
              </w:rPr>
              <w:lastRenderedPageBreak/>
              <w:drawing>
                <wp:inline distT="0" distB="0" distL="0" distR="0" wp14:anchorId="4887E785" wp14:editId="20C9B81A">
                  <wp:extent cx="749300" cy="749300"/>
                  <wp:effectExtent l="0" t="0" r="0" b="0"/>
                  <wp:docPr id="5578" name="Picture 5578"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239AFB6" w14:textId="77777777" w:rsidR="008D3EEF" w:rsidRDefault="008D3EEF" w:rsidP="00886948">
            <w:pPr>
              <w:rPr>
                <w:color w:val="000000"/>
              </w:rPr>
            </w:pPr>
            <w:r w:rsidRPr="003C7A36">
              <w:rPr>
                <w:b/>
                <w:bCs/>
                <w:color w:val="000000"/>
              </w:rPr>
              <w:t>Think and Solve Problems</w:t>
            </w:r>
          </w:p>
          <w:p w14:paraId="2A16D98C" w14:textId="77777777" w:rsidR="008D3EEF" w:rsidRPr="00667FCB" w:rsidRDefault="008D3EEF" w:rsidP="00886948">
            <w:pPr>
              <w:rPr>
                <w:color w:val="000000"/>
              </w:rPr>
            </w:pPr>
            <w:r w:rsidRPr="003C7A36">
              <w:rPr>
                <w:color w:val="000000"/>
              </w:rPr>
              <w:t>Think, analyse and consider the broader context to develop practical solutions</w:t>
            </w:r>
          </w:p>
        </w:tc>
        <w:tc>
          <w:tcPr>
            <w:tcW w:w="4709" w:type="dxa"/>
          </w:tcPr>
          <w:p w14:paraId="49A49039" w14:textId="77777777" w:rsidR="008D3EEF" w:rsidRPr="003C7A36" w:rsidRDefault="008D3EEF" w:rsidP="008D3EEF">
            <w:pPr>
              <w:pStyle w:val="TableBullet"/>
              <w:spacing w:after="80" w:line="240" w:lineRule="auto"/>
              <w:ind w:left="357" w:hanging="357"/>
            </w:pPr>
            <w:r w:rsidRPr="003C7A36">
              <w:t>Undertake objective, critical analysis to draw accurate conclusions that recognise and manage contextual issues</w:t>
            </w:r>
          </w:p>
          <w:p w14:paraId="493DB5AB" w14:textId="77777777" w:rsidR="008D3EEF" w:rsidRPr="003C7A36" w:rsidRDefault="008D3EEF" w:rsidP="008D3EEF">
            <w:pPr>
              <w:pStyle w:val="TableBullet"/>
              <w:spacing w:after="80" w:line="240" w:lineRule="auto"/>
              <w:ind w:left="357" w:hanging="357"/>
            </w:pPr>
            <w:r w:rsidRPr="003C7A36">
              <w:t>Work through issues, weigh up alternatives and identify the most effective solutions in collaboration with others</w:t>
            </w:r>
          </w:p>
          <w:p w14:paraId="5F6F4E97" w14:textId="77777777" w:rsidR="008D3EEF" w:rsidRPr="003C7A36" w:rsidRDefault="008D3EEF" w:rsidP="008D3EEF">
            <w:pPr>
              <w:pStyle w:val="TableBullet"/>
              <w:spacing w:after="80" w:line="240" w:lineRule="auto"/>
              <w:ind w:left="357" w:hanging="357"/>
            </w:pPr>
            <w:r w:rsidRPr="003C7A36">
              <w:t>Take account of the wider business context when considering options to resolve issues</w:t>
            </w:r>
          </w:p>
          <w:p w14:paraId="4C26DF28" w14:textId="77777777" w:rsidR="008D3EEF" w:rsidRPr="003C7A36" w:rsidRDefault="008D3EEF" w:rsidP="008D3EEF">
            <w:pPr>
              <w:pStyle w:val="TableBullet"/>
              <w:spacing w:after="80" w:line="240" w:lineRule="auto"/>
              <w:ind w:left="357" w:hanging="357"/>
            </w:pPr>
            <w:r w:rsidRPr="003C7A36">
              <w:t>Explore a range of possibilities and creative alternatives to contribute to system, process and business improvements</w:t>
            </w:r>
          </w:p>
          <w:p w14:paraId="0A4BD561" w14:textId="77777777" w:rsidR="008D3EEF" w:rsidRPr="003C7A36" w:rsidRDefault="008D3EEF" w:rsidP="008D3EEF">
            <w:pPr>
              <w:pStyle w:val="TableBullet"/>
              <w:spacing w:after="80" w:line="240" w:lineRule="auto"/>
              <w:ind w:left="357" w:hanging="357"/>
            </w:pPr>
            <w:r w:rsidRPr="003C7A36">
              <w:t>Implement systems and processes that are underpinned by high-quality research and analysis</w:t>
            </w:r>
          </w:p>
          <w:p w14:paraId="1A45A788" w14:textId="77777777" w:rsidR="008D3EEF" w:rsidRPr="003C7A36" w:rsidRDefault="008D3EEF" w:rsidP="008D3EEF">
            <w:pPr>
              <w:pStyle w:val="TableBullet"/>
              <w:spacing w:after="80" w:line="240" w:lineRule="auto"/>
              <w:ind w:left="357" w:hanging="357"/>
            </w:pPr>
            <w:r w:rsidRPr="003C7A36">
              <w:t>Look for opportunities to design innovative solutions to meet user needs and service demands</w:t>
            </w:r>
          </w:p>
          <w:p w14:paraId="7D38D635" w14:textId="77777777" w:rsidR="008D3EEF" w:rsidRPr="003C7A36" w:rsidRDefault="008D3EEF" w:rsidP="008D3EEF">
            <w:pPr>
              <w:pStyle w:val="TableBullet"/>
              <w:spacing w:after="80" w:line="240" w:lineRule="auto"/>
              <w:ind w:left="357" w:hanging="357"/>
            </w:pPr>
            <w:r w:rsidRPr="003C7A36">
              <w:t>Evaluate the performance and effectiveness of services, policies and programs against clear criteria</w:t>
            </w:r>
          </w:p>
        </w:tc>
        <w:tc>
          <w:tcPr>
            <w:tcW w:w="1668" w:type="dxa"/>
          </w:tcPr>
          <w:p w14:paraId="087EAC3D" w14:textId="77777777" w:rsidR="008D3EEF" w:rsidRPr="006F0836" w:rsidRDefault="008D3EEF" w:rsidP="00886948">
            <w:pPr>
              <w:pStyle w:val="TableText"/>
            </w:pPr>
            <w:r w:rsidRPr="004C659E">
              <w:t>Advanced</w:t>
            </w:r>
          </w:p>
        </w:tc>
      </w:tr>
      <w:tr w:rsidR="008D3EEF" w:rsidRPr="003C7A36" w14:paraId="3A969C0E" w14:textId="77777777" w:rsidTr="00886948">
        <w:trPr>
          <w:cantSplit/>
        </w:trPr>
        <w:tc>
          <w:tcPr>
            <w:tcW w:w="1385" w:type="dxa"/>
          </w:tcPr>
          <w:p w14:paraId="344CE771" w14:textId="77777777" w:rsidR="008D3EEF" w:rsidRPr="003C7A36" w:rsidRDefault="008D3EEF" w:rsidP="00886948">
            <w:pPr>
              <w:jc w:val="center"/>
              <w:rPr>
                <w:noProof/>
                <w:lang w:eastAsia="en-AU"/>
              </w:rPr>
            </w:pPr>
            <w:r w:rsidRPr="00372FE9">
              <w:rPr>
                <w:noProof/>
                <w:lang w:eastAsia="en-AU"/>
              </w:rPr>
              <w:drawing>
                <wp:inline distT="0" distB="0" distL="0" distR="0" wp14:anchorId="75A88EAA" wp14:editId="5E760C10">
                  <wp:extent cx="749300" cy="749300"/>
                  <wp:effectExtent l="0" t="0" r="0" b="0"/>
                  <wp:docPr id="3944" name="Picture 3944"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5579852" w14:textId="77777777" w:rsidR="008D3EEF" w:rsidRDefault="008D3EEF" w:rsidP="00886948">
            <w:pPr>
              <w:rPr>
                <w:color w:val="000000"/>
              </w:rPr>
            </w:pPr>
            <w:r w:rsidRPr="003C7A36">
              <w:rPr>
                <w:b/>
                <w:bCs/>
                <w:color w:val="000000"/>
              </w:rPr>
              <w:t>Demonstrate Accountability</w:t>
            </w:r>
          </w:p>
          <w:p w14:paraId="0C7B3318" w14:textId="77777777" w:rsidR="008D3EEF" w:rsidRPr="00667FCB" w:rsidRDefault="008D3EEF" w:rsidP="00886948">
            <w:pPr>
              <w:rPr>
                <w:color w:val="000000"/>
              </w:rPr>
            </w:pPr>
            <w:r w:rsidRPr="003C7A36">
              <w:rPr>
                <w:color w:val="000000"/>
              </w:rPr>
              <w:t>Be proactive and responsible for own actions, and adhere to legislation, policy and guidelines</w:t>
            </w:r>
          </w:p>
        </w:tc>
        <w:tc>
          <w:tcPr>
            <w:tcW w:w="4709" w:type="dxa"/>
          </w:tcPr>
          <w:p w14:paraId="6D63E71F" w14:textId="77777777" w:rsidR="008D3EEF" w:rsidRDefault="008D3EEF" w:rsidP="008D3EEF">
            <w:pPr>
              <w:pStyle w:val="TableBullet"/>
              <w:spacing w:after="80" w:line="240" w:lineRule="auto"/>
              <w:ind w:left="357" w:hanging="357"/>
            </w:pPr>
            <w:r>
              <w:t xml:space="preserve">Design and develop systems to establish and measure accountabilities </w:t>
            </w:r>
          </w:p>
          <w:p w14:paraId="2CA69470" w14:textId="77777777" w:rsidR="008D3EEF" w:rsidRDefault="008D3EEF" w:rsidP="008D3EEF">
            <w:pPr>
              <w:pStyle w:val="TableBullet"/>
              <w:spacing w:after="80" w:line="240" w:lineRule="auto"/>
              <w:ind w:left="357" w:hanging="357"/>
            </w:pPr>
            <w:r>
              <w:t xml:space="preserve">Ensure accountabilities are exercised in line with government and business goals </w:t>
            </w:r>
          </w:p>
          <w:p w14:paraId="0D99500D" w14:textId="77777777" w:rsidR="008D3EEF" w:rsidRDefault="008D3EEF" w:rsidP="008D3EEF">
            <w:pPr>
              <w:pStyle w:val="TableBullet"/>
              <w:spacing w:after="80" w:line="240" w:lineRule="auto"/>
              <w:ind w:left="357" w:hanging="357"/>
            </w:pPr>
            <w:r>
              <w:t xml:space="preserve">Exercise due diligence to ensure work health and safety risks are addressed </w:t>
            </w:r>
          </w:p>
          <w:p w14:paraId="4DA0C183" w14:textId="77777777" w:rsidR="008D3EEF" w:rsidRDefault="008D3EEF" w:rsidP="008D3EEF">
            <w:pPr>
              <w:pStyle w:val="TableBullet"/>
              <w:spacing w:after="80" w:line="240" w:lineRule="auto"/>
              <w:ind w:left="357" w:hanging="357"/>
            </w:pPr>
            <w:r>
              <w:t xml:space="preserve">Oversee quality assurance practices Model the highest standards of financial probity, demonstrating respect for public monies and other resources </w:t>
            </w:r>
          </w:p>
          <w:p w14:paraId="2B2CA0AC" w14:textId="77777777" w:rsidR="008D3EEF" w:rsidRDefault="008D3EEF" w:rsidP="008D3EEF">
            <w:pPr>
              <w:pStyle w:val="TableBullet"/>
              <w:spacing w:after="80" w:line="240" w:lineRule="auto"/>
              <w:ind w:left="357" w:hanging="357"/>
            </w:pPr>
            <w:r>
              <w:t xml:space="preserve">Monitor and maintain business-unit knowledge of and compliance with legislative and regulatory frameworks </w:t>
            </w:r>
          </w:p>
          <w:p w14:paraId="6A1CB768" w14:textId="77777777" w:rsidR="008D3EEF" w:rsidRPr="003C7A36" w:rsidRDefault="008D3EEF" w:rsidP="008D3EEF">
            <w:pPr>
              <w:pStyle w:val="TableBullet"/>
              <w:spacing w:after="80" w:line="240" w:lineRule="auto"/>
              <w:ind w:left="357" w:hanging="357"/>
            </w:pPr>
            <w:r>
              <w:t>Incorporate sound risk management principles and strategies into business planning</w:t>
            </w:r>
          </w:p>
        </w:tc>
        <w:tc>
          <w:tcPr>
            <w:tcW w:w="1668" w:type="dxa"/>
          </w:tcPr>
          <w:p w14:paraId="6AB4F136" w14:textId="77777777" w:rsidR="008D3EEF" w:rsidRPr="006F0836" w:rsidRDefault="008D3EEF" w:rsidP="00886948">
            <w:pPr>
              <w:pStyle w:val="TableText"/>
            </w:pPr>
            <w:r w:rsidRPr="004C659E">
              <w:t>A</w:t>
            </w:r>
            <w:r>
              <w:t>dvanced</w:t>
            </w:r>
          </w:p>
        </w:tc>
      </w:tr>
      <w:tr w:rsidR="008D3EEF" w:rsidRPr="003C7A36" w14:paraId="4E60AE04" w14:textId="77777777" w:rsidTr="00886948">
        <w:trPr>
          <w:cantSplit/>
        </w:trPr>
        <w:tc>
          <w:tcPr>
            <w:tcW w:w="1385" w:type="dxa"/>
          </w:tcPr>
          <w:p w14:paraId="3EED8D18" w14:textId="77777777" w:rsidR="008D3EEF" w:rsidRPr="003C7A36" w:rsidRDefault="008D3EEF" w:rsidP="00886948">
            <w:pPr>
              <w:jc w:val="center"/>
              <w:rPr>
                <w:noProof/>
                <w:lang w:eastAsia="en-AU"/>
              </w:rPr>
            </w:pPr>
            <w:r w:rsidRPr="00372FE9">
              <w:rPr>
                <w:noProof/>
                <w:lang w:eastAsia="en-AU"/>
              </w:rPr>
              <w:lastRenderedPageBreak/>
              <w:drawing>
                <wp:inline distT="0" distB="0" distL="0" distR="0" wp14:anchorId="71B9A8D6" wp14:editId="7A8F1093">
                  <wp:extent cx="749300" cy="749300"/>
                  <wp:effectExtent l="0" t="0" r="0" b="0"/>
                  <wp:docPr id="7528" name="Picture 7528"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A4A9A8D" w14:textId="77777777" w:rsidR="008D3EEF" w:rsidRDefault="008D3EEF" w:rsidP="00886948">
            <w:pPr>
              <w:rPr>
                <w:color w:val="000000"/>
              </w:rPr>
            </w:pPr>
            <w:r w:rsidRPr="003C7A36">
              <w:rPr>
                <w:b/>
                <w:bCs/>
                <w:color w:val="000000"/>
              </w:rPr>
              <w:t>Finance</w:t>
            </w:r>
          </w:p>
          <w:p w14:paraId="5B17DBFA" w14:textId="77777777" w:rsidR="008D3EEF" w:rsidRPr="00667FCB" w:rsidRDefault="008D3EEF" w:rsidP="00886948">
            <w:pPr>
              <w:rPr>
                <w:color w:val="000000"/>
              </w:rPr>
            </w:pPr>
            <w:r w:rsidRPr="003C7A36">
              <w:rPr>
                <w:color w:val="000000"/>
              </w:rPr>
              <w:t>Understand and apply financial processes to achieve value for money and minimise financial risk</w:t>
            </w:r>
          </w:p>
        </w:tc>
        <w:tc>
          <w:tcPr>
            <w:tcW w:w="4709" w:type="dxa"/>
          </w:tcPr>
          <w:p w14:paraId="3D5EEDF9" w14:textId="77777777" w:rsidR="008D3EEF" w:rsidRPr="003C7A36" w:rsidRDefault="008D3EEF" w:rsidP="008D3EEF">
            <w:pPr>
              <w:pStyle w:val="TableBullet"/>
              <w:spacing w:after="80" w:line="240" w:lineRule="auto"/>
              <w:ind w:left="357" w:hanging="357"/>
            </w:pPr>
            <w:r w:rsidRPr="003C7A36">
              <w:t>Apply a thorough understanding of recurrent and capital financial terminology, policies and processes to planning, forecasting and budget preparation and management</w:t>
            </w:r>
          </w:p>
          <w:p w14:paraId="7DDC2F5D" w14:textId="77777777" w:rsidR="008D3EEF" w:rsidRPr="003C7A36" w:rsidRDefault="008D3EEF" w:rsidP="008D3EEF">
            <w:pPr>
              <w:pStyle w:val="TableBullet"/>
              <w:spacing w:after="80" w:line="240" w:lineRule="auto"/>
              <w:ind w:left="357" w:hanging="357"/>
            </w:pPr>
            <w:r w:rsidRPr="003C7A36">
              <w:t>Identify and analyse trends, review data and evaluate business options to ensure business cases are financially sound</w:t>
            </w:r>
          </w:p>
          <w:p w14:paraId="0311EEB0" w14:textId="77777777" w:rsidR="008D3EEF" w:rsidRPr="003C7A36" w:rsidRDefault="008D3EEF" w:rsidP="008D3EEF">
            <w:pPr>
              <w:pStyle w:val="TableBullet"/>
              <w:spacing w:after="80" w:line="240" w:lineRule="auto"/>
              <w:ind w:left="357" w:hanging="357"/>
            </w:pPr>
            <w:r w:rsidRPr="003C7A36">
              <w:t>Assess relative cost benefits of various purchasing options</w:t>
            </w:r>
          </w:p>
          <w:p w14:paraId="61FE78A1" w14:textId="77777777" w:rsidR="008D3EEF" w:rsidRPr="003C7A36" w:rsidRDefault="008D3EEF" w:rsidP="008D3EEF">
            <w:pPr>
              <w:pStyle w:val="TableBullet"/>
              <w:spacing w:after="80" w:line="240" w:lineRule="auto"/>
              <w:ind w:left="357" w:hanging="357"/>
            </w:pPr>
            <w:r w:rsidRPr="003C7A36">
              <w:t>Promote the role of sound financial management and its impact on organisational effectiveness</w:t>
            </w:r>
          </w:p>
          <w:p w14:paraId="7A669626" w14:textId="77777777" w:rsidR="008D3EEF" w:rsidRPr="003C7A36" w:rsidRDefault="008D3EEF" w:rsidP="008D3EEF">
            <w:pPr>
              <w:pStyle w:val="TableBullet"/>
              <w:spacing w:after="80" w:line="240" w:lineRule="auto"/>
              <w:ind w:left="357" w:hanging="357"/>
            </w:pPr>
            <w:r w:rsidRPr="003C7A36">
              <w:t>Obtain specialist financial advice when reviewing and evaluating finance systems and processes</w:t>
            </w:r>
          </w:p>
          <w:p w14:paraId="4C9B2298" w14:textId="77777777" w:rsidR="008D3EEF" w:rsidRPr="003C7A36" w:rsidRDefault="008D3EEF" w:rsidP="008D3EEF">
            <w:pPr>
              <w:pStyle w:val="TableBullet"/>
              <w:spacing w:after="80" w:line="240" w:lineRule="auto"/>
              <w:ind w:left="357" w:hanging="357"/>
            </w:pPr>
            <w:r w:rsidRPr="003C7A36">
              <w:t>Respond to financial and risk management audit outcomes, addressing areas of non-compliance in a timely manner</w:t>
            </w:r>
          </w:p>
        </w:tc>
        <w:tc>
          <w:tcPr>
            <w:tcW w:w="1668" w:type="dxa"/>
          </w:tcPr>
          <w:p w14:paraId="768B058B" w14:textId="77777777" w:rsidR="008D3EEF" w:rsidRPr="006F0836" w:rsidRDefault="008D3EEF" w:rsidP="00886948">
            <w:pPr>
              <w:pStyle w:val="TableText"/>
            </w:pPr>
            <w:r w:rsidRPr="004C659E">
              <w:t>Advanced</w:t>
            </w:r>
          </w:p>
        </w:tc>
      </w:tr>
      <w:tr w:rsidR="008D3EEF" w:rsidRPr="003C7A36" w14:paraId="73F2B4BB" w14:textId="77777777" w:rsidTr="00886948">
        <w:trPr>
          <w:cantSplit/>
        </w:trPr>
        <w:tc>
          <w:tcPr>
            <w:tcW w:w="1385" w:type="dxa"/>
          </w:tcPr>
          <w:p w14:paraId="6E00A77E" w14:textId="77777777" w:rsidR="008D3EEF" w:rsidRPr="00372FE9" w:rsidRDefault="008D3EEF" w:rsidP="00886948">
            <w:pPr>
              <w:jc w:val="center"/>
              <w:rPr>
                <w:noProof/>
                <w:lang w:eastAsia="en-AU"/>
              </w:rPr>
            </w:pPr>
            <w:r w:rsidRPr="00372FE9">
              <w:rPr>
                <w:noProof/>
                <w:lang w:eastAsia="en-AU"/>
              </w:rPr>
              <w:drawing>
                <wp:inline distT="0" distB="0" distL="0" distR="0" wp14:anchorId="5D7BDAE6" wp14:editId="7389A15D">
                  <wp:extent cx="639201" cy="639201"/>
                  <wp:effectExtent l="0" t="0" r="8890" b="8890"/>
                  <wp:docPr id="5" name="Picture 5"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59753" cy="659753"/>
                          </a:xfrm>
                          <a:prstGeom prst="rect">
                            <a:avLst/>
                          </a:prstGeom>
                          <a:noFill/>
                          <a:ln>
                            <a:noFill/>
                          </a:ln>
                        </pic:spPr>
                      </pic:pic>
                    </a:graphicData>
                  </a:graphic>
                </wp:inline>
              </w:drawing>
            </w:r>
          </w:p>
        </w:tc>
        <w:tc>
          <w:tcPr>
            <w:tcW w:w="2726" w:type="dxa"/>
          </w:tcPr>
          <w:p w14:paraId="2A267706" w14:textId="77777777" w:rsidR="008D3EEF" w:rsidRDefault="008D3EEF" w:rsidP="00886948">
            <w:pPr>
              <w:rPr>
                <w:b/>
                <w:bCs/>
                <w:color w:val="000000"/>
              </w:rPr>
            </w:pPr>
            <w:r>
              <w:rPr>
                <w:b/>
                <w:bCs/>
                <w:color w:val="000000"/>
              </w:rPr>
              <w:t>Optimise Business Outcomes</w:t>
            </w:r>
          </w:p>
          <w:p w14:paraId="20B0EA89" w14:textId="77777777" w:rsidR="008D3EEF" w:rsidRPr="003C7A36" w:rsidRDefault="008D3EEF" w:rsidP="00886948">
            <w:pPr>
              <w:rPr>
                <w:b/>
                <w:bCs/>
                <w:color w:val="000000"/>
              </w:rPr>
            </w:pPr>
            <w:r>
              <w:t>Manage people and resources effectively to achieve public value</w:t>
            </w:r>
          </w:p>
        </w:tc>
        <w:tc>
          <w:tcPr>
            <w:tcW w:w="4709" w:type="dxa"/>
          </w:tcPr>
          <w:p w14:paraId="3E225CF1" w14:textId="77777777" w:rsidR="008D3EEF" w:rsidRDefault="008D3EEF" w:rsidP="008D3EEF">
            <w:pPr>
              <w:pStyle w:val="TableBullet"/>
              <w:spacing w:after="80" w:line="240" w:lineRule="auto"/>
              <w:ind w:left="357" w:hanging="357"/>
            </w:pPr>
            <w:r>
              <w:t xml:space="preserve">Initiate and develop longer-term goals and plans to guide the work of the team in line with organisational objectives </w:t>
            </w:r>
          </w:p>
          <w:p w14:paraId="475454DB" w14:textId="77777777" w:rsidR="008D3EEF" w:rsidRDefault="008D3EEF" w:rsidP="008D3EEF">
            <w:pPr>
              <w:pStyle w:val="TableBullet"/>
              <w:spacing w:after="80" w:line="240" w:lineRule="auto"/>
              <w:ind w:left="357" w:hanging="357"/>
            </w:pPr>
            <w:r>
              <w:t>Allocate resources to ensure the achievement of business outcomes and contribute to wider workforce planning</w:t>
            </w:r>
          </w:p>
          <w:p w14:paraId="09481E18" w14:textId="77777777" w:rsidR="008D3EEF" w:rsidRDefault="008D3EEF" w:rsidP="008D3EEF">
            <w:pPr>
              <w:pStyle w:val="TableBullet"/>
              <w:spacing w:after="80" w:line="240" w:lineRule="auto"/>
              <w:ind w:left="357" w:hanging="357"/>
            </w:pPr>
            <w:r>
              <w:t xml:space="preserve">When planning resources, implement processes that encourage the attraction and retention of people of diverse cultures, backgrounds and experiences </w:t>
            </w:r>
          </w:p>
          <w:p w14:paraId="2EB72B9A" w14:textId="77777777" w:rsidR="008D3EEF" w:rsidRDefault="008D3EEF" w:rsidP="008D3EEF">
            <w:pPr>
              <w:pStyle w:val="TableBullet"/>
              <w:spacing w:after="80" w:line="240" w:lineRule="auto"/>
              <w:ind w:left="357" w:hanging="357"/>
            </w:pPr>
            <w:r>
              <w:t xml:space="preserve">Ensure that team members base their decisions on a sound understanding of business and risk management principles, applied in a public sector context </w:t>
            </w:r>
          </w:p>
          <w:p w14:paraId="44108537" w14:textId="77777777" w:rsidR="008D3EEF" w:rsidRPr="003C7A36" w:rsidRDefault="008D3EEF" w:rsidP="008D3EEF">
            <w:pPr>
              <w:pStyle w:val="TableBullet"/>
              <w:spacing w:after="80" w:line="240" w:lineRule="auto"/>
              <w:ind w:left="357" w:hanging="357"/>
            </w:pPr>
            <w:r>
              <w:t>Monitor performance against standards and take timely corrective actions Keep others informed about progress and performance outcomes</w:t>
            </w:r>
          </w:p>
        </w:tc>
        <w:tc>
          <w:tcPr>
            <w:tcW w:w="1668" w:type="dxa"/>
          </w:tcPr>
          <w:p w14:paraId="48D379C1" w14:textId="77777777" w:rsidR="008D3EEF" w:rsidRPr="004C659E" w:rsidRDefault="008D3EEF" w:rsidP="00886948">
            <w:pPr>
              <w:pStyle w:val="TableText"/>
            </w:pPr>
            <w:r>
              <w:t>Adept</w:t>
            </w:r>
          </w:p>
        </w:tc>
      </w:tr>
    </w:tbl>
    <w:p w14:paraId="410C5F0C" w14:textId="77777777" w:rsidR="008D3EEF" w:rsidRDefault="008D3EEF" w:rsidP="008D3EEF"/>
    <w:p w14:paraId="12A7259B" w14:textId="77777777" w:rsidR="008D3EEF" w:rsidRDefault="008D3EEF" w:rsidP="008D3EEF"/>
    <w:p w14:paraId="315A6168" w14:textId="77777777" w:rsidR="008D3EEF" w:rsidRDefault="008D3EEF" w:rsidP="008D3EEF">
      <w:pPr>
        <w:pStyle w:val="Heading2"/>
      </w:pPr>
      <w:r>
        <w:t>Complementary capabilities</w:t>
      </w:r>
    </w:p>
    <w:p w14:paraId="7357B22A" w14:textId="77777777" w:rsidR="008D3EEF" w:rsidRPr="003927AE" w:rsidRDefault="008D3EEF" w:rsidP="008D3EEF">
      <w:pPr>
        <w:pStyle w:val="PlainText"/>
        <w:spacing w:before="62" w:line="276" w:lineRule="auto"/>
        <w:ind w:left="121"/>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65AD7DE" w14:textId="77777777" w:rsidR="008D3EEF" w:rsidRDefault="008D3EEF" w:rsidP="008D3EEF">
      <w:pPr>
        <w:pStyle w:val="PlainText"/>
        <w:spacing w:before="62" w:line="276" w:lineRule="auto"/>
        <w:ind w:left="121"/>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6618149F" w14:textId="77777777" w:rsidR="008D3EEF" w:rsidRDefault="008D3EEF" w:rsidP="008D3EEF">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341"/>
        <w:gridCol w:w="2693"/>
        <w:gridCol w:w="4851"/>
        <w:gridCol w:w="1749"/>
      </w:tblGrid>
      <w:tr w:rsidR="008D3EEF" w:rsidRPr="00372FE9" w14:paraId="576E63C2" w14:textId="77777777" w:rsidTr="00886948">
        <w:trPr>
          <w:cantSplit/>
        </w:trPr>
        <w:tc>
          <w:tcPr>
            <w:tcW w:w="1276" w:type="dxa"/>
            <w:shd w:val="clear" w:color="auto" w:fill="BFBFBF" w:themeFill="background1" w:themeFillShade="BF"/>
            <w:vAlign w:val="center"/>
          </w:tcPr>
          <w:p w14:paraId="44DC01B6" w14:textId="77777777" w:rsidR="008D3EEF" w:rsidRPr="00372FE9" w:rsidRDefault="008D3EEF" w:rsidP="00886948">
            <w:r w:rsidRPr="00372FE9">
              <w:rPr>
                <w:b/>
              </w:rPr>
              <w:t>Capability group/sets</w:t>
            </w:r>
          </w:p>
        </w:tc>
        <w:tc>
          <w:tcPr>
            <w:tcW w:w="2693" w:type="dxa"/>
            <w:shd w:val="clear" w:color="auto" w:fill="BFBFBF" w:themeFill="background1" w:themeFillShade="BF"/>
          </w:tcPr>
          <w:p w14:paraId="473A76D0" w14:textId="77777777" w:rsidR="008D3EEF" w:rsidRPr="00372FE9" w:rsidRDefault="008D3EEF" w:rsidP="00886948">
            <w:r w:rsidRPr="00372FE9">
              <w:rPr>
                <w:b/>
              </w:rPr>
              <w:t>Capability name</w:t>
            </w:r>
          </w:p>
        </w:tc>
        <w:tc>
          <w:tcPr>
            <w:tcW w:w="4851" w:type="dxa"/>
            <w:shd w:val="clear" w:color="auto" w:fill="BFBFBF" w:themeFill="background1" w:themeFillShade="BF"/>
          </w:tcPr>
          <w:p w14:paraId="28ECDF48" w14:textId="77777777" w:rsidR="008D3EEF" w:rsidRPr="00372FE9" w:rsidRDefault="008D3EEF" w:rsidP="00886948">
            <w:r w:rsidRPr="00372FE9">
              <w:rPr>
                <w:b/>
              </w:rPr>
              <w:t>Description</w:t>
            </w:r>
          </w:p>
        </w:tc>
        <w:tc>
          <w:tcPr>
            <w:tcW w:w="1749" w:type="dxa"/>
            <w:shd w:val="clear" w:color="auto" w:fill="BFBFBF" w:themeFill="background1" w:themeFillShade="BF"/>
          </w:tcPr>
          <w:p w14:paraId="223E9F34" w14:textId="77777777" w:rsidR="008D3EEF" w:rsidRPr="00372FE9" w:rsidRDefault="008D3EEF" w:rsidP="00886948">
            <w:pPr>
              <w:rPr>
                <w:b/>
                <w:bCs/>
              </w:rPr>
            </w:pPr>
            <w:r w:rsidRPr="00372FE9">
              <w:rPr>
                <w:b/>
                <w:bCs/>
              </w:rPr>
              <w:t>Level</w:t>
            </w:r>
          </w:p>
        </w:tc>
      </w:tr>
      <w:tr w:rsidR="008D3EEF" w:rsidRPr="00372FE9" w14:paraId="61AD7715" w14:textId="77777777" w:rsidTr="00886948">
        <w:trPr>
          <w:cantSplit/>
        </w:trPr>
        <w:tc>
          <w:tcPr>
            <w:tcW w:w="1276" w:type="dxa"/>
          </w:tcPr>
          <w:p w14:paraId="40F5E976" w14:textId="77777777" w:rsidR="008D3EEF" w:rsidRPr="00372FE9" w:rsidRDefault="008D3EEF" w:rsidP="00886948">
            <w:r w:rsidRPr="00372FE9">
              <w:rPr>
                <w:noProof/>
                <w:lang w:eastAsia="en-AU"/>
              </w:rPr>
              <w:drawing>
                <wp:inline distT="0" distB="0" distL="0" distR="0" wp14:anchorId="020057A3" wp14:editId="622EBC97">
                  <wp:extent cx="416966" cy="416966"/>
                  <wp:effectExtent l="0" t="0" r="2540" b="2540"/>
                  <wp:docPr id="9478" name="Picture 9478"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0A217E" w14:textId="77777777" w:rsidR="008D3EEF" w:rsidRPr="00372FE9" w:rsidRDefault="008D3EEF" w:rsidP="00886948">
            <w:pPr>
              <w:pStyle w:val="TableText"/>
            </w:pPr>
            <w:r w:rsidRPr="00372FE9">
              <w:t>Display Resilience and Courage</w:t>
            </w:r>
          </w:p>
        </w:tc>
        <w:tc>
          <w:tcPr>
            <w:tcW w:w="4851" w:type="dxa"/>
          </w:tcPr>
          <w:p w14:paraId="60B3BF81" w14:textId="77777777" w:rsidR="008D3EEF" w:rsidRPr="00372FE9" w:rsidRDefault="008D3EEF" w:rsidP="00886948">
            <w:pPr>
              <w:pStyle w:val="TableText"/>
            </w:pPr>
            <w:r w:rsidRPr="00372FE9">
              <w:t>Be open and honest, prepared to express your views, and willing to accept and commit to change</w:t>
            </w:r>
          </w:p>
        </w:tc>
        <w:tc>
          <w:tcPr>
            <w:tcW w:w="1749" w:type="dxa"/>
          </w:tcPr>
          <w:p w14:paraId="6AC6A4CF" w14:textId="77777777" w:rsidR="008D3EEF" w:rsidRPr="00372FE9" w:rsidRDefault="008D3EEF" w:rsidP="00886948">
            <w:pPr>
              <w:pStyle w:val="TableText"/>
            </w:pPr>
            <w:r>
              <w:t>Adept</w:t>
            </w:r>
          </w:p>
        </w:tc>
      </w:tr>
      <w:tr w:rsidR="008D3EEF" w:rsidRPr="00372FE9" w14:paraId="3269C195" w14:textId="77777777" w:rsidTr="00886948">
        <w:trPr>
          <w:cantSplit/>
        </w:trPr>
        <w:tc>
          <w:tcPr>
            <w:tcW w:w="1276" w:type="dxa"/>
          </w:tcPr>
          <w:p w14:paraId="56BE5165" w14:textId="77777777" w:rsidR="008D3EEF" w:rsidRPr="00372FE9" w:rsidRDefault="008D3EEF" w:rsidP="00886948">
            <w:r w:rsidRPr="00372FE9">
              <w:rPr>
                <w:noProof/>
                <w:lang w:eastAsia="en-AU"/>
              </w:rPr>
              <w:lastRenderedPageBreak/>
              <w:drawing>
                <wp:inline distT="0" distB="0" distL="0" distR="0" wp14:anchorId="3605C56D" wp14:editId="1673A58A">
                  <wp:extent cx="416966" cy="416966"/>
                  <wp:effectExtent l="0" t="0" r="2540" b="2540"/>
                  <wp:docPr id="3073" name="Picture 3073"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4577B1" w14:textId="77777777" w:rsidR="008D3EEF" w:rsidRPr="00372FE9" w:rsidRDefault="008D3EEF" w:rsidP="00886948">
            <w:pPr>
              <w:pStyle w:val="TableText"/>
            </w:pPr>
            <w:r w:rsidRPr="00372FE9">
              <w:t>Value Diversity and Inclusion</w:t>
            </w:r>
          </w:p>
        </w:tc>
        <w:tc>
          <w:tcPr>
            <w:tcW w:w="4851" w:type="dxa"/>
          </w:tcPr>
          <w:p w14:paraId="2A0D9FA3" w14:textId="77777777" w:rsidR="008D3EEF" w:rsidRPr="00372FE9" w:rsidRDefault="008D3EEF" w:rsidP="00886948">
            <w:pPr>
              <w:pStyle w:val="TableText"/>
            </w:pPr>
            <w:r w:rsidRPr="00372FE9">
              <w:t>Demonstrate inclusive behaviour and show respect for diverse backgrounds, experiences and perspectives</w:t>
            </w:r>
          </w:p>
        </w:tc>
        <w:tc>
          <w:tcPr>
            <w:tcW w:w="1749" w:type="dxa"/>
          </w:tcPr>
          <w:p w14:paraId="67B1FDFD" w14:textId="77777777" w:rsidR="008D3EEF" w:rsidRPr="00372FE9" w:rsidRDefault="008D3EEF" w:rsidP="00886948">
            <w:pPr>
              <w:pStyle w:val="TableText"/>
            </w:pPr>
            <w:r w:rsidRPr="004C659E">
              <w:t>Intermediate</w:t>
            </w:r>
          </w:p>
        </w:tc>
      </w:tr>
      <w:tr w:rsidR="008D3EEF" w:rsidRPr="00372FE9" w14:paraId="6D9A8ABE" w14:textId="77777777" w:rsidTr="00886948">
        <w:trPr>
          <w:cantSplit/>
        </w:trPr>
        <w:tc>
          <w:tcPr>
            <w:tcW w:w="1276" w:type="dxa"/>
          </w:tcPr>
          <w:p w14:paraId="1E342F79" w14:textId="77777777" w:rsidR="008D3EEF" w:rsidRPr="00372FE9" w:rsidRDefault="008D3EEF" w:rsidP="00886948">
            <w:r w:rsidRPr="00372FE9">
              <w:rPr>
                <w:noProof/>
                <w:lang w:eastAsia="en-AU"/>
              </w:rPr>
              <w:drawing>
                <wp:inline distT="0" distB="0" distL="0" distR="0" wp14:anchorId="6DA268C9" wp14:editId="0A9AD611">
                  <wp:extent cx="416966" cy="416966"/>
                  <wp:effectExtent l="0" t="0" r="2540" b="2540"/>
                  <wp:docPr id="1438" name="Picture 1438"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0DED3A" w14:textId="77777777" w:rsidR="008D3EEF" w:rsidRPr="00372FE9" w:rsidRDefault="008D3EEF" w:rsidP="00886948">
            <w:pPr>
              <w:pStyle w:val="TableText"/>
            </w:pPr>
            <w:r w:rsidRPr="00372FE9">
              <w:t>Commit to Customer Service</w:t>
            </w:r>
          </w:p>
        </w:tc>
        <w:tc>
          <w:tcPr>
            <w:tcW w:w="4851" w:type="dxa"/>
          </w:tcPr>
          <w:p w14:paraId="5852B3B8" w14:textId="77777777" w:rsidR="008D3EEF" w:rsidRPr="00372FE9" w:rsidRDefault="008D3EEF" w:rsidP="00886948">
            <w:pPr>
              <w:pStyle w:val="TableText"/>
            </w:pPr>
            <w:r w:rsidRPr="00372FE9">
              <w:t>Provide customer-focused services in line with public sector and organisational objectives</w:t>
            </w:r>
          </w:p>
        </w:tc>
        <w:tc>
          <w:tcPr>
            <w:tcW w:w="1749" w:type="dxa"/>
          </w:tcPr>
          <w:p w14:paraId="77C57807" w14:textId="77777777" w:rsidR="008D3EEF" w:rsidRPr="00372FE9" w:rsidRDefault="008D3EEF" w:rsidP="00886948">
            <w:pPr>
              <w:pStyle w:val="TableText"/>
            </w:pPr>
            <w:r w:rsidRPr="004C659E">
              <w:t>Intermediate</w:t>
            </w:r>
          </w:p>
        </w:tc>
      </w:tr>
      <w:tr w:rsidR="008D3EEF" w:rsidRPr="00372FE9" w14:paraId="40045D7F" w14:textId="77777777" w:rsidTr="00886948">
        <w:trPr>
          <w:cantSplit/>
        </w:trPr>
        <w:tc>
          <w:tcPr>
            <w:tcW w:w="1276" w:type="dxa"/>
          </w:tcPr>
          <w:p w14:paraId="5CC991EF" w14:textId="77777777" w:rsidR="008D3EEF" w:rsidRPr="00372FE9" w:rsidRDefault="008D3EEF" w:rsidP="00886948">
            <w:r w:rsidRPr="00372FE9">
              <w:rPr>
                <w:noProof/>
                <w:lang w:eastAsia="en-AU"/>
              </w:rPr>
              <w:drawing>
                <wp:inline distT="0" distB="0" distL="0" distR="0" wp14:anchorId="71130524" wp14:editId="01B93469">
                  <wp:extent cx="416966" cy="416966"/>
                  <wp:effectExtent l="0" t="0" r="2540" b="2540"/>
                  <wp:docPr id="5023" name="Picture 5023"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F061DB" w14:textId="77777777" w:rsidR="008D3EEF" w:rsidRPr="00372FE9" w:rsidRDefault="008D3EEF" w:rsidP="00886948">
            <w:pPr>
              <w:pStyle w:val="TableText"/>
            </w:pPr>
            <w:r w:rsidRPr="00372FE9">
              <w:t>Deliver Results</w:t>
            </w:r>
          </w:p>
        </w:tc>
        <w:tc>
          <w:tcPr>
            <w:tcW w:w="4851" w:type="dxa"/>
          </w:tcPr>
          <w:p w14:paraId="0FE6D4D8" w14:textId="77777777" w:rsidR="008D3EEF" w:rsidRPr="00372FE9" w:rsidRDefault="008D3EEF" w:rsidP="00886948">
            <w:pPr>
              <w:pStyle w:val="TableText"/>
            </w:pPr>
            <w:r w:rsidRPr="00372FE9">
              <w:t>Achieve results through the efficient use of resources and a commitment to quality outcomes</w:t>
            </w:r>
          </w:p>
        </w:tc>
        <w:tc>
          <w:tcPr>
            <w:tcW w:w="1749" w:type="dxa"/>
          </w:tcPr>
          <w:p w14:paraId="2580247C" w14:textId="77777777" w:rsidR="008D3EEF" w:rsidRPr="00372FE9" w:rsidRDefault="008D3EEF" w:rsidP="00886948">
            <w:pPr>
              <w:pStyle w:val="TableText"/>
            </w:pPr>
            <w:r>
              <w:t>Adept</w:t>
            </w:r>
          </w:p>
        </w:tc>
      </w:tr>
      <w:tr w:rsidR="008D3EEF" w:rsidRPr="00372FE9" w14:paraId="6F0FE323" w14:textId="77777777" w:rsidTr="00886948">
        <w:trPr>
          <w:cantSplit/>
        </w:trPr>
        <w:tc>
          <w:tcPr>
            <w:tcW w:w="1276" w:type="dxa"/>
          </w:tcPr>
          <w:p w14:paraId="0283B0AD" w14:textId="77777777" w:rsidR="008D3EEF" w:rsidRPr="00372FE9" w:rsidRDefault="008D3EEF" w:rsidP="00886948">
            <w:r w:rsidRPr="00372FE9">
              <w:rPr>
                <w:noProof/>
                <w:lang w:eastAsia="en-AU"/>
              </w:rPr>
              <w:drawing>
                <wp:inline distT="0" distB="0" distL="0" distR="0" wp14:anchorId="391C5D36" wp14:editId="1030BBE3">
                  <wp:extent cx="416966" cy="416966"/>
                  <wp:effectExtent l="0" t="0" r="2540" b="2540"/>
                  <wp:docPr id="8607" name="Picture 8607"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1D80AB" w14:textId="77777777" w:rsidR="008D3EEF" w:rsidRPr="00372FE9" w:rsidRDefault="008D3EEF" w:rsidP="00886948">
            <w:pPr>
              <w:pStyle w:val="TableText"/>
            </w:pPr>
            <w:r w:rsidRPr="00372FE9">
              <w:t>Plan and Prioritise</w:t>
            </w:r>
          </w:p>
        </w:tc>
        <w:tc>
          <w:tcPr>
            <w:tcW w:w="4851" w:type="dxa"/>
            <w:tcBorders>
              <w:bottom w:val="single" w:sz="4" w:space="0" w:color="BCBEC0"/>
            </w:tcBorders>
          </w:tcPr>
          <w:p w14:paraId="33DDCCDB" w14:textId="77777777" w:rsidR="008D3EEF" w:rsidRPr="0013690C" w:rsidRDefault="008D3EEF" w:rsidP="00886948">
            <w:pPr>
              <w:pStyle w:val="TableText"/>
              <w:rPr>
                <w:highlight w:val="yellow"/>
              </w:rPr>
            </w:pPr>
            <w:r>
              <w:t>Plan to achieve priority outcomes and respond flexibly to changing circumstances</w:t>
            </w:r>
          </w:p>
        </w:tc>
        <w:tc>
          <w:tcPr>
            <w:tcW w:w="1749" w:type="dxa"/>
          </w:tcPr>
          <w:p w14:paraId="5F08C8E5" w14:textId="77777777" w:rsidR="008D3EEF" w:rsidRPr="00372FE9" w:rsidRDefault="008D3EEF" w:rsidP="00886948">
            <w:pPr>
              <w:pStyle w:val="TableText"/>
            </w:pPr>
            <w:r>
              <w:t>Adept</w:t>
            </w:r>
          </w:p>
        </w:tc>
      </w:tr>
      <w:tr w:rsidR="008D3EEF" w:rsidRPr="00372FE9" w14:paraId="169AB494" w14:textId="77777777" w:rsidTr="00886948">
        <w:trPr>
          <w:cantSplit/>
        </w:trPr>
        <w:tc>
          <w:tcPr>
            <w:tcW w:w="1276" w:type="dxa"/>
          </w:tcPr>
          <w:p w14:paraId="4F89AFC6" w14:textId="77777777" w:rsidR="008D3EEF" w:rsidRPr="00372FE9" w:rsidRDefault="008D3EEF" w:rsidP="00886948">
            <w:r w:rsidRPr="00372FE9">
              <w:rPr>
                <w:noProof/>
                <w:lang w:eastAsia="en-AU"/>
              </w:rPr>
              <w:drawing>
                <wp:inline distT="0" distB="0" distL="0" distR="0" wp14:anchorId="38A4A0B9" wp14:editId="1EB6A7F6">
                  <wp:extent cx="416966" cy="416966"/>
                  <wp:effectExtent l="0" t="0" r="2540" b="2540"/>
                  <wp:docPr id="6972" name="Picture 697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2914B8" w14:textId="77777777" w:rsidR="008D3EEF" w:rsidRPr="00372FE9" w:rsidRDefault="008D3EEF" w:rsidP="00886948">
            <w:pPr>
              <w:pStyle w:val="TableText"/>
            </w:pPr>
            <w:r w:rsidRPr="00372FE9">
              <w:t>Technology</w:t>
            </w:r>
          </w:p>
        </w:tc>
        <w:tc>
          <w:tcPr>
            <w:tcW w:w="4851" w:type="dxa"/>
          </w:tcPr>
          <w:p w14:paraId="730CD638" w14:textId="77777777" w:rsidR="008D3EEF" w:rsidRPr="00372FE9" w:rsidRDefault="008D3EEF" w:rsidP="00886948">
            <w:pPr>
              <w:pStyle w:val="TableText"/>
            </w:pPr>
            <w:r w:rsidRPr="00372FE9">
              <w:t>Understand and use available technologies to maximise efficiencies and effectiveness</w:t>
            </w:r>
          </w:p>
        </w:tc>
        <w:tc>
          <w:tcPr>
            <w:tcW w:w="1749" w:type="dxa"/>
          </w:tcPr>
          <w:p w14:paraId="4E831A74" w14:textId="77777777" w:rsidR="008D3EEF" w:rsidRPr="00372FE9" w:rsidRDefault="008D3EEF" w:rsidP="00886948">
            <w:pPr>
              <w:pStyle w:val="TableText"/>
            </w:pPr>
            <w:r w:rsidRPr="004C659E">
              <w:t>Adept</w:t>
            </w:r>
          </w:p>
        </w:tc>
      </w:tr>
      <w:tr w:rsidR="008D3EEF" w:rsidRPr="00372FE9" w14:paraId="41145A38" w14:textId="77777777" w:rsidTr="00886948">
        <w:trPr>
          <w:cantSplit/>
        </w:trPr>
        <w:tc>
          <w:tcPr>
            <w:tcW w:w="1276" w:type="dxa"/>
          </w:tcPr>
          <w:p w14:paraId="480E3C79" w14:textId="77777777" w:rsidR="008D3EEF" w:rsidRPr="00372FE9" w:rsidRDefault="008D3EEF" w:rsidP="00886948">
            <w:r w:rsidRPr="00372FE9">
              <w:rPr>
                <w:noProof/>
                <w:lang w:eastAsia="en-AU"/>
              </w:rPr>
              <w:drawing>
                <wp:inline distT="0" distB="0" distL="0" distR="0" wp14:anchorId="6056382B" wp14:editId="66B5C57A">
                  <wp:extent cx="416966" cy="416966"/>
                  <wp:effectExtent l="0" t="0" r="2540" b="2540"/>
                  <wp:docPr id="567" name="Picture 567"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32DC53" w14:textId="77777777" w:rsidR="008D3EEF" w:rsidRPr="00372FE9" w:rsidRDefault="008D3EEF" w:rsidP="00886948">
            <w:pPr>
              <w:pStyle w:val="TableText"/>
            </w:pPr>
            <w:r w:rsidRPr="00372FE9">
              <w:t>Procurement and Contract Management</w:t>
            </w:r>
          </w:p>
        </w:tc>
        <w:tc>
          <w:tcPr>
            <w:tcW w:w="4851" w:type="dxa"/>
          </w:tcPr>
          <w:p w14:paraId="6B3B4B58" w14:textId="77777777" w:rsidR="008D3EEF" w:rsidRPr="00372FE9" w:rsidRDefault="008D3EEF" w:rsidP="00886948">
            <w:pPr>
              <w:pStyle w:val="TableText"/>
            </w:pPr>
            <w:r w:rsidRPr="00372FE9">
              <w:t>Understand and apply procurement processes to ensure effective purchasing and contract performance</w:t>
            </w:r>
          </w:p>
        </w:tc>
        <w:tc>
          <w:tcPr>
            <w:tcW w:w="1749" w:type="dxa"/>
          </w:tcPr>
          <w:p w14:paraId="5CC65E16" w14:textId="77777777" w:rsidR="008D3EEF" w:rsidRPr="00372FE9" w:rsidRDefault="008D3EEF" w:rsidP="00886948">
            <w:pPr>
              <w:pStyle w:val="TableText"/>
            </w:pPr>
            <w:r w:rsidRPr="004C659E">
              <w:t>Intermediate</w:t>
            </w:r>
          </w:p>
        </w:tc>
      </w:tr>
      <w:tr w:rsidR="008D3EEF" w:rsidRPr="00372FE9" w14:paraId="714EC34E" w14:textId="77777777" w:rsidTr="00886948">
        <w:trPr>
          <w:cantSplit/>
        </w:trPr>
        <w:tc>
          <w:tcPr>
            <w:tcW w:w="1276" w:type="dxa"/>
          </w:tcPr>
          <w:p w14:paraId="44D5E338" w14:textId="77777777" w:rsidR="008D3EEF" w:rsidRPr="00372FE9" w:rsidRDefault="008D3EEF" w:rsidP="00886948">
            <w:r w:rsidRPr="00372FE9">
              <w:rPr>
                <w:noProof/>
                <w:lang w:eastAsia="en-AU"/>
              </w:rPr>
              <w:drawing>
                <wp:inline distT="0" distB="0" distL="0" distR="0" wp14:anchorId="6665BCD3" wp14:editId="6809CCE2">
                  <wp:extent cx="416966" cy="416966"/>
                  <wp:effectExtent l="0" t="0" r="2540" b="2540"/>
                  <wp:docPr id="8922" name="Picture 892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7AC31E" w14:textId="77777777" w:rsidR="008D3EEF" w:rsidRPr="003A2370" w:rsidRDefault="008D3EEF" w:rsidP="00886948">
            <w:pPr>
              <w:pStyle w:val="TableText"/>
            </w:pPr>
            <w:r w:rsidRPr="003A2370">
              <w:t>Project Management</w:t>
            </w:r>
          </w:p>
        </w:tc>
        <w:tc>
          <w:tcPr>
            <w:tcW w:w="4851" w:type="dxa"/>
          </w:tcPr>
          <w:p w14:paraId="6C9C45B0" w14:textId="77777777" w:rsidR="008D3EEF" w:rsidRPr="003A2370" w:rsidRDefault="008D3EEF" w:rsidP="00886948">
            <w:pPr>
              <w:pStyle w:val="TableText"/>
            </w:pPr>
            <w:r w:rsidRPr="003A2370">
              <w:t>Understand and apply effective planning, coordination and control methods</w:t>
            </w:r>
          </w:p>
        </w:tc>
        <w:tc>
          <w:tcPr>
            <w:tcW w:w="1749" w:type="dxa"/>
          </w:tcPr>
          <w:p w14:paraId="422A7171" w14:textId="77777777" w:rsidR="008D3EEF" w:rsidRPr="00372FE9" w:rsidRDefault="008D3EEF" w:rsidP="00886948">
            <w:pPr>
              <w:pStyle w:val="TableText"/>
            </w:pPr>
            <w:r>
              <w:t>Adept</w:t>
            </w:r>
          </w:p>
        </w:tc>
      </w:tr>
      <w:tr w:rsidR="008D3EEF" w:rsidRPr="00372FE9" w14:paraId="3F31A2BB" w14:textId="77777777" w:rsidTr="00886948">
        <w:trPr>
          <w:cantSplit/>
        </w:trPr>
        <w:tc>
          <w:tcPr>
            <w:tcW w:w="1276" w:type="dxa"/>
          </w:tcPr>
          <w:p w14:paraId="75A77D92" w14:textId="77777777" w:rsidR="008D3EEF" w:rsidRPr="00372FE9" w:rsidRDefault="008D3EEF" w:rsidP="00886948">
            <w:pPr>
              <w:rPr>
                <w:noProof/>
                <w:lang w:eastAsia="en-AU"/>
              </w:rPr>
            </w:pPr>
            <w:r w:rsidRPr="00372FE9">
              <w:rPr>
                <w:noProof/>
                <w:lang w:eastAsia="en-AU"/>
              </w:rPr>
              <w:drawing>
                <wp:inline distT="0" distB="0" distL="0" distR="0" wp14:anchorId="5B05D8F6" wp14:editId="0A612D90">
                  <wp:extent cx="400050" cy="400050"/>
                  <wp:effectExtent l="0" t="0" r="0" b="0"/>
                  <wp:docPr id="4" name="Picture 4"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02408" cy="402408"/>
                          </a:xfrm>
                          <a:prstGeom prst="rect">
                            <a:avLst/>
                          </a:prstGeom>
                          <a:noFill/>
                          <a:ln>
                            <a:noFill/>
                          </a:ln>
                        </pic:spPr>
                      </pic:pic>
                    </a:graphicData>
                  </a:graphic>
                </wp:inline>
              </w:drawing>
            </w:r>
          </w:p>
        </w:tc>
        <w:tc>
          <w:tcPr>
            <w:tcW w:w="2693" w:type="dxa"/>
          </w:tcPr>
          <w:p w14:paraId="35893C28" w14:textId="77777777" w:rsidR="008D3EEF" w:rsidRDefault="008D3EEF" w:rsidP="00886948">
            <w:pPr>
              <w:pStyle w:val="TableText"/>
            </w:pPr>
            <w:r>
              <w:t>Manage &amp; Develop People</w:t>
            </w:r>
          </w:p>
        </w:tc>
        <w:tc>
          <w:tcPr>
            <w:tcW w:w="4851" w:type="dxa"/>
          </w:tcPr>
          <w:p w14:paraId="6CD59695" w14:textId="77777777" w:rsidR="008D3EEF" w:rsidRDefault="008D3EEF" w:rsidP="00886948">
            <w:pPr>
              <w:pStyle w:val="TableText"/>
              <w:rPr>
                <w:rFonts w:cs="Rooney Medium"/>
                <w:color w:val="000000"/>
              </w:rPr>
            </w:pPr>
            <w:r>
              <w:rPr>
                <w:rFonts w:cs="Rooney Medium"/>
                <w:color w:val="000000"/>
              </w:rPr>
              <w:t>Engage and motivate staff, and develop capability and potential in others</w:t>
            </w:r>
          </w:p>
        </w:tc>
        <w:tc>
          <w:tcPr>
            <w:tcW w:w="1749" w:type="dxa"/>
          </w:tcPr>
          <w:p w14:paraId="58FEB9FA" w14:textId="77777777" w:rsidR="008D3EEF" w:rsidRPr="004C659E" w:rsidRDefault="008D3EEF" w:rsidP="00886948">
            <w:pPr>
              <w:pStyle w:val="TableText"/>
            </w:pPr>
            <w:r w:rsidRPr="004C659E">
              <w:t>Intermediate</w:t>
            </w:r>
          </w:p>
        </w:tc>
      </w:tr>
      <w:tr w:rsidR="008D3EEF" w:rsidRPr="00372FE9" w14:paraId="277EA00E" w14:textId="77777777" w:rsidTr="00886948">
        <w:trPr>
          <w:cantSplit/>
        </w:trPr>
        <w:tc>
          <w:tcPr>
            <w:tcW w:w="1276" w:type="dxa"/>
          </w:tcPr>
          <w:p w14:paraId="6E3CC3E3" w14:textId="77777777" w:rsidR="008D3EEF" w:rsidRPr="00372FE9" w:rsidRDefault="008D3EEF" w:rsidP="00886948">
            <w:pPr>
              <w:rPr>
                <w:noProof/>
                <w:lang w:eastAsia="en-AU"/>
              </w:rPr>
            </w:pPr>
            <w:r w:rsidRPr="00372FE9">
              <w:rPr>
                <w:noProof/>
                <w:lang w:eastAsia="en-AU"/>
              </w:rPr>
              <w:drawing>
                <wp:inline distT="0" distB="0" distL="0" distR="0" wp14:anchorId="4D1D98C5" wp14:editId="037AA4E6">
                  <wp:extent cx="400050" cy="400050"/>
                  <wp:effectExtent l="0" t="0" r="0" b="0"/>
                  <wp:docPr id="270973150" name="Picture 270973150"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02408" cy="402408"/>
                          </a:xfrm>
                          <a:prstGeom prst="rect">
                            <a:avLst/>
                          </a:prstGeom>
                          <a:noFill/>
                          <a:ln>
                            <a:noFill/>
                          </a:ln>
                        </pic:spPr>
                      </pic:pic>
                    </a:graphicData>
                  </a:graphic>
                </wp:inline>
              </w:drawing>
            </w:r>
          </w:p>
        </w:tc>
        <w:tc>
          <w:tcPr>
            <w:tcW w:w="2693" w:type="dxa"/>
          </w:tcPr>
          <w:p w14:paraId="2C33C125" w14:textId="77777777" w:rsidR="008D3EEF" w:rsidRPr="00372FE9" w:rsidRDefault="008D3EEF" w:rsidP="00886948">
            <w:pPr>
              <w:pStyle w:val="TableText"/>
            </w:pPr>
            <w:r>
              <w:t>Inspire Direction &amp; Purpose</w:t>
            </w:r>
          </w:p>
        </w:tc>
        <w:tc>
          <w:tcPr>
            <w:tcW w:w="4851" w:type="dxa"/>
          </w:tcPr>
          <w:p w14:paraId="58856EA6" w14:textId="77777777" w:rsidR="008D3EEF" w:rsidRPr="00372FE9" w:rsidRDefault="008D3EEF" w:rsidP="00886948">
            <w:pPr>
              <w:pStyle w:val="TableText"/>
            </w:pPr>
            <w:r>
              <w:rPr>
                <w:rFonts w:cs="Rooney Medium"/>
                <w:color w:val="000000"/>
              </w:rPr>
              <w:t>Communicate goals, priorities and vision, and recognise achievements</w:t>
            </w:r>
          </w:p>
        </w:tc>
        <w:tc>
          <w:tcPr>
            <w:tcW w:w="1749" w:type="dxa"/>
          </w:tcPr>
          <w:p w14:paraId="11F2B7B7" w14:textId="77777777" w:rsidR="008D3EEF" w:rsidRPr="004C659E" w:rsidRDefault="008D3EEF" w:rsidP="00886948">
            <w:pPr>
              <w:pStyle w:val="TableText"/>
            </w:pPr>
            <w:r w:rsidRPr="004C659E">
              <w:t>Intermediate</w:t>
            </w:r>
          </w:p>
        </w:tc>
      </w:tr>
      <w:tr w:rsidR="008D3EEF" w:rsidRPr="00372FE9" w14:paraId="2A0D26F6" w14:textId="77777777" w:rsidTr="00886948">
        <w:trPr>
          <w:cantSplit/>
        </w:trPr>
        <w:tc>
          <w:tcPr>
            <w:tcW w:w="1276" w:type="dxa"/>
          </w:tcPr>
          <w:p w14:paraId="3FCEF1E2" w14:textId="77777777" w:rsidR="008D3EEF" w:rsidRPr="00372FE9" w:rsidRDefault="008D3EEF" w:rsidP="00886948">
            <w:pPr>
              <w:rPr>
                <w:noProof/>
                <w:lang w:eastAsia="en-AU"/>
              </w:rPr>
            </w:pPr>
            <w:r w:rsidRPr="00372FE9">
              <w:rPr>
                <w:noProof/>
                <w:lang w:eastAsia="en-AU"/>
              </w:rPr>
              <w:drawing>
                <wp:inline distT="0" distB="0" distL="0" distR="0" wp14:anchorId="1314AB2D" wp14:editId="1AF7A9DA">
                  <wp:extent cx="400050" cy="400050"/>
                  <wp:effectExtent l="0" t="0" r="0" b="0"/>
                  <wp:docPr id="3" name="Picture 3"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02408" cy="402408"/>
                          </a:xfrm>
                          <a:prstGeom prst="rect">
                            <a:avLst/>
                          </a:prstGeom>
                          <a:noFill/>
                          <a:ln>
                            <a:noFill/>
                          </a:ln>
                        </pic:spPr>
                      </pic:pic>
                    </a:graphicData>
                  </a:graphic>
                </wp:inline>
              </w:drawing>
            </w:r>
          </w:p>
        </w:tc>
        <w:tc>
          <w:tcPr>
            <w:tcW w:w="2693" w:type="dxa"/>
          </w:tcPr>
          <w:p w14:paraId="012238CE" w14:textId="77777777" w:rsidR="008D3EEF" w:rsidRPr="00372FE9" w:rsidRDefault="008D3EEF" w:rsidP="00886948">
            <w:pPr>
              <w:pStyle w:val="TableText"/>
            </w:pPr>
            <w:r>
              <w:t>Manage Reform and Change</w:t>
            </w:r>
          </w:p>
        </w:tc>
        <w:tc>
          <w:tcPr>
            <w:tcW w:w="4851" w:type="dxa"/>
          </w:tcPr>
          <w:p w14:paraId="18E9F82D" w14:textId="77777777" w:rsidR="008D3EEF" w:rsidRPr="00372FE9" w:rsidRDefault="008D3EEF" w:rsidP="00886948">
            <w:pPr>
              <w:pStyle w:val="TableText"/>
            </w:pPr>
            <w:r>
              <w:rPr>
                <w:rFonts w:cs="Rooney Medium"/>
                <w:color w:val="000000"/>
              </w:rPr>
              <w:t>Support, promote and champion change, and assist others to engage with change</w:t>
            </w:r>
          </w:p>
        </w:tc>
        <w:tc>
          <w:tcPr>
            <w:tcW w:w="1749" w:type="dxa"/>
          </w:tcPr>
          <w:p w14:paraId="62E298CF" w14:textId="77777777" w:rsidR="008D3EEF" w:rsidRPr="004C659E" w:rsidRDefault="008D3EEF" w:rsidP="00886948">
            <w:pPr>
              <w:pStyle w:val="TableText"/>
            </w:pPr>
            <w:r w:rsidRPr="004C659E">
              <w:t>Intermediate</w:t>
            </w:r>
          </w:p>
        </w:tc>
      </w:tr>
      <w:bookmarkEnd w:id="11"/>
      <w:bookmarkEnd w:id="12"/>
      <w:bookmarkEnd w:id="13"/>
      <w:bookmarkEnd w:id="14"/>
    </w:tbl>
    <w:p w14:paraId="559C80C9" w14:textId="77777777" w:rsidR="008D3EEF" w:rsidRDefault="008D3EEF" w:rsidP="008D3EEF">
      <w:pPr>
        <w:contextualSpacing/>
      </w:pPr>
    </w:p>
    <w:p w14:paraId="70057B8E" w14:textId="77777777" w:rsidR="008D3EEF" w:rsidRDefault="008D3EEF" w:rsidP="008D3EEF">
      <w:pPr>
        <w:pStyle w:val="BodyText"/>
        <w:spacing w:line="276" w:lineRule="auto"/>
        <w:rPr>
          <w:sz w:val="29"/>
        </w:rPr>
      </w:pPr>
    </w:p>
    <w:p w14:paraId="6AD496CC" w14:textId="77777777" w:rsidR="00E51F63" w:rsidRPr="00E51F63" w:rsidRDefault="00E51F63" w:rsidP="00E51F63">
      <w:pPr>
        <w:rPr>
          <w:rFonts w:cs="Arial"/>
          <w:szCs w:val="26"/>
        </w:rPr>
      </w:pPr>
    </w:p>
    <w:sectPr w:rsidR="00E51F63" w:rsidRPr="00E51F63" w:rsidSect="009D747B">
      <w:headerReference w:type="default"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4D8B" w14:textId="77777777" w:rsidR="00CC3D49" w:rsidRDefault="00CC3D49" w:rsidP="00BB532F">
      <w:pPr>
        <w:spacing w:after="0" w:line="240" w:lineRule="auto"/>
      </w:pPr>
      <w:r>
        <w:separator/>
      </w:r>
    </w:p>
  </w:endnote>
  <w:endnote w:type="continuationSeparator" w:id="0">
    <w:p w14:paraId="38CF24F1" w14:textId="77777777" w:rsidR="00CC3D49" w:rsidRDefault="00CC3D49" w:rsidP="00BB532F">
      <w:pPr>
        <w:spacing w:after="0" w:line="240" w:lineRule="auto"/>
      </w:pPr>
      <w:r>
        <w:continuationSeparator/>
      </w:r>
    </w:p>
  </w:endnote>
  <w:endnote w:type="continuationNotice" w:id="1">
    <w:p w14:paraId="24CC8CBE" w14:textId="77777777" w:rsidR="00CC3D49" w:rsidRDefault="00CC3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MV Bol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Medium">
    <w:altName w:val="Rooney 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61549" w14:paraId="005EA03E" w14:textId="77777777" w:rsidTr="00C03AFD">
      <w:tc>
        <w:tcPr>
          <w:tcW w:w="2250" w:type="pct"/>
          <w:vAlign w:val="center"/>
        </w:tcPr>
        <w:p w14:paraId="7185C26D" w14:textId="47502361" w:rsidR="00561549" w:rsidRDefault="00561549" w:rsidP="00333792">
          <w:pPr>
            <w:pStyle w:val="Footer"/>
          </w:pPr>
          <w:r w:rsidRPr="00C03AFD">
            <w:rPr>
              <w:color w:val="928B81"/>
              <w:sz w:val="18"/>
            </w:rPr>
            <w:t>Role Description</w:t>
          </w:r>
          <w:r>
            <w:rPr>
              <w:color w:val="928B81"/>
              <w:sz w:val="18"/>
            </w:rPr>
            <w:t xml:space="preserve"> </w:t>
          </w:r>
          <w:r w:rsidR="00C362FB">
            <w:rPr>
              <w:color w:val="928B81"/>
              <w:sz w:val="18"/>
            </w:rPr>
            <w:t>S</w:t>
          </w:r>
          <w:r w:rsidR="00453C3A">
            <w:rPr>
              <w:color w:val="928B81"/>
              <w:sz w:val="18"/>
            </w:rPr>
            <w:t xml:space="preserve">enior Manager, TAF &amp; </w:t>
          </w:r>
          <w:r w:rsidR="007363A6">
            <w:rPr>
              <w:color w:val="928B81"/>
              <w:sz w:val="18"/>
            </w:rPr>
            <w:t>Regulatory</w:t>
          </w:r>
        </w:p>
      </w:tc>
      <w:tc>
        <w:tcPr>
          <w:tcW w:w="250" w:type="pct"/>
          <w:vAlign w:val="center"/>
        </w:tcPr>
        <w:p w14:paraId="3380C1A4" w14:textId="73C067D7" w:rsidR="00561549" w:rsidRPr="00C03AFD" w:rsidRDefault="00561549"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20BF2">
            <w:rPr>
              <w:noProof/>
              <w:color w:val="928B81"/>
              <w:sz w:val="18"/>
              <w:lang w:eastAsia="en-AU"/>
            </w:rPr>
            <w:t>6</w:t>
          </w:r>
          <w:r w:rsidRPr="00C03AFD">
            <w:rPr>
              <w:noProof/>
              <w:color w:val="928B81"/>
              <w:sz w:val="18"/>
              <w:lang w:eastAsia="en-AU"/>
            </w:rPr>
            <w:fldChar w:fldCharType="end"/>
          </w:r>
        </w:p>
      </w:tc>
      <w:tc>
        <w:tcPr>
          <w:tcW w:w="2350" w:type="pct"/>
        </w:tcPr>
        <w:p w14:paraId="6D9175BC" w14:textId="77777777" w:rsidR="00561549" w:rsidRDefault="00561549" w:rsidP="00C03AFD">
          <w:pPr>
            <w:pStyle w:val="Footer"/>
            <w:jc w:val="right"/>
          </w:pPr>
          <w:r>
            <w:rPr>
              <w:noProof/>
              <w:lang w:val="en-AU" w:eastAsia="en-AU"/>
            </w:rPr>
            <w:drawing>
              <wp:inline distT="0" distB="0" distL="0" distR="0" wp14:anchorId="6054D6C1" wp14:editId="31BF9304">
                <wp:extent cx="432000" cy="452144"/>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561549" w:rsidRDefault="00561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61549" w14:paraId="2B13F8E4" w14:textId="77777777" w:rsidTr="0047547E">
      <w:trPr>
        <w:trHeight w:val="811"/>
      </w:trPr>
      <w:tc>
        <w:tcPr>
          <w:tcW w:w="10005" w:type="dxa"/>
          <w:vAlign w:val="bottom"/>
        </w:tcPr>
        <w:p w14:paraId="5D2E9547" w14:textId="2F4F4393" w:rsidR="00561549" w:rsidRPr="00051237" w:rsidRDefault="00561549" w:rsidP="002C1480">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20BF2">
            <w:rPr>
              <w:noProof/>
              <w:lang w:eastAsia="en-AU"/>
            </w:rPr>
            <w:t>1</w:t>
          </w:r>
          <w:r>
            <w:rPr>
              <w:noProof/>
              <w:lang w:eastAsia="en-AU"/>
            </w:rPr>
            <w:fldChar w:fldCharType="end"/>
          </w:r>
        </w:p>
      </w:tc>
      <w:tc>
        <w:tcPr>
          <w:tcW w:w="875" w:type="dxa"/>
        </w:tcPr>
        <w:p w14:paraId="5F21B46F" w14:textId="6081C570" w:rsidR="00561549" w:rsidRDefault="00561549" w:rsidP="002C1480">
          <w:pPr>
            <w:pStyle w:val="Footer"/>
            <w:jc w:val="right"/>
          </w:pPr>
        </w:p>
      </w:tc>
    </w:tr>
  </w:tbl>
  <w:p w14:paraId="38401241" w14:textId="77777777" w:rsidR="00561549" w:rsidRDefault="0056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19FA" w14:textId="77777777" w:rsidR="00CC3D49" w:rsidRDefault="00CC3D49" w:rsidP="00BB532F">
      <w:pPr>
        <w:spacing w:after="0" w:line="240" w:lineRule="auto"/>
      </w:pPr>
      <w:r>
        <w:separator/>
      </w:r>
    </w:p>
  </w:footnote>
  <w:footnote w:type="continuationSeparator" w:id="0">
    <w:p w14:paraId="54F3C67D" w14:textId="77777777" w:rsidR="00CC3D49" w:rsidRDefault="00CC3D49" w:rsidP="00BB532F">
      <w:pPr>
        <w:spacing w:after="0" w:line="240" w:lineRule="auto"/>
      </w:pPr>
      <w:r>
        <w:continuationSeparator/>
      </w:r>
    </w:p>
  </w:footnote>
  <w:footnote w:type="continuationNotice" w:id="1">
    <w:p w14:paraId="0FE55606" w14:textId="77777777" w:rsidR="00CC3D49" w:rsidRDefault="00CC3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DD5F5A5" w14:paraId="3337416C" w14:textId="77777777" w:rsidTr="2DD5F5A5">
      <w:trPr>
        <w:trHeight w:val="300"/>
      </w:trPr>
      <w:tc>
        <w:tcPr>
          <w:tcW w:w="3600" w:type="dxa"/>
        </w:tcPr>
        <w:p w14:paraId="1D754CD0" w14:textId="0B1DE24B" w:rsidR="2DD5F5A5" w:rsidRDefault="2DD5F5A5" w:rsidP="2DD5F5A5">
          <w:pPr>
            <w:pStyle w:val="Header"/>
            <w:ind w:left="-115"/>
          </w:pPr>
        </w:p>
      </w:tc>
      <w:tc>
        <w:tcPr>
          <w:tcW w:w="3600" w:type="dxa"/>
        </w:tcPr>
        <w:p w14:paraId="6734B427" w14:textId="25E9F97B" w:rsidR="2DD5F5A5" w:rsidRDefault="2DD5F5A5" w:rsidP="2DD5F5A5">
          <w:pPr>
            <w:pStyle w:val="Header"/>
            <w:jc w:val="center"/>
          </w:pPr>
        </w:p>
      </w:tc>
      <w:tc>
        <w:tcPr>
          <w:tcW w:w="3600" w:type="dxa"/>
        </w:tcPr>
        <w:p w14:paraId="629C19B5" w14:textId="0867E6EF" w:rsidR="2DD5F5A5" w:rsidRDefault="2DD5F5A5" w:rsidP="2DD5F5A5">
          <w:pPr>
            <w:pStyle w:val="Header"/>
            <w:ind w:right="-115"/>
            <w:jc w:val="right"/>
          </w:pPr>
        </w:p>
      </w:tc>
    </w:tr>
  </w:tbl>
  <w:p w14:paraId="234F7674" w14:textId="57CEA2CD" w:rsidR="2DD5F5A5" w:rsidRDefault="2DD5F5A5" w:rsidP="2DD5F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561549" w14:paraId="3639CB27" w14:textId="77777777" w:rsidTr="2DD5F5A5">
      <w:trPr>
        <w:trHeight w:val="813"/>
      </w:trPr>
      <w:tc>
        <w:tcPr>
          <w:tcW w:w="7082" w:type="dxa"/>
        </w:tcPr>
        <w:p w14:paraId="64DC0D60" w14:textId="1493214D" w:rsidR="00561549" w:rsidRDefault="00561549" w:rsidP="001C2248">
          <w:pPr>
            <w:pStyle w:val="TitleSub"/>
            <w:spacing w:after="0"/>
            <w:rPr>
              <w:rFonts w:ascii="Arial" w:hAnsi="Arial" w:cs="Arial"/>
            </w:rPr>
          </w:pPr>
          <w:r w:rsidRPr="001E49B2">
            <w:rPr>
              <w:rFonts w:ascii="Arial" w:hAnsi="Arial" w:cs="Arial"/>
            </w:rPr>
            <w:t>Role Description</w:t>
          </w:r>
        </w:p>
        <w:p w14:paraId="68FA1375" w14:textId="3C531F49" w:rsidR="00561549" w:rsidRPr="00935EE2" w:rsidRDefault="00CF06CE" w:rsidP="003D7DB7">
          <w:pPr>
            <w:pStyle w:val="TitleSub"/>
            <w:spacing w:after="0"/>
            <w:rPr>
              <w:rFonts w:ascii="Arial" w:hAnsi="Arial" w:cs="Arial"/>
              <w:b/>
            </w:rPr>
          </w:pPr>
          <w:r>
            <w:rPr>
              <w:rFonts w:ascii="Arial" w:hAnsi="Arial" w:cs="Arial"/>
              <w:b/>
            </w:rPr>
            <w:t>S</w:t>
          </w:r>
          <w:r w:rsidR="00F84AC4">
            <w:rPr>
              <w:rFonts w:ascii="Arial" w:hAnsi="Arial" w:cs="Arial"/>
              <w:b/>
            </w:rPr>
            <w:t>enior</w:t>
          </w:r>
          <w:r w:rsidR="007B0931">
            <w:rPr>
              <w:rFonts w:ascii="Arial" w:hAnsi="Arial" w:cs="Arial"/>
              <w:b/>
            </w:rPr>
            <w:t xml:space="preserve"> </w:t>
          </w:r>
          <w:r w:rsidR="00F84AC4">
            <w:rPr>
              <w:rFonts w:ascii="Arial" w:hAnsi="Arial" w:cs="Arial"/>
              <w:b/>
            </w:rPr>
            <w:t xml:space="preserve">Manager, TAF &amp; </w:t>
          </w:r>
          <w:r w:rsidR="00FA2567">
            <w:rPr>
              <w:rFonts w:ascii="Arial" w:hAnsi="Arial" w:cs="Arial"/>
              <w:b/>
            </w:rPr>
            <w:t>Regulatory</w:t>
          </w:r>
        </w:p>
      </w:tc>
      <w:tc>
        <w:tcPr>
          <w:tcW w:w="3688" w:type="dxa"/>
        </w:tcPr>
        <w:p w14:paraId="5CC96BCF" w14:textId="6775044F" w:rsidR="00561549" w:rsidRPr="000477E1" w:rsidRDefault="2DD5F5A5" w:rsidP="2DD5F5A5">
          <w:pPr>
            <w:jc w:val="right"/>
          </w:pPr>
          <w:r>
            <w:rPr>
              <w:noProof/>
            </w:rPr>
            <w:drawing>
              <wp:inline distT="0" distB="0" distL="0" distR="0" wp14:anchorId="67103251" wp14:editId="70B0F023">
                <wp:extent cx="1841152" cy="591363"/>
                <wp:effectExtent l="0" t="0" r="0" b="0"/>
                <wp:docPr id="2025350394" name="Picture 202535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591363"/>
                        </a:xfrm>
                        <a:prstGeom prst="rect">
                          <a:avLst/>
                        </a:prstGeom>
                      </pic:spPr>
                    </pic:pic>
                  </a:graphicData>
                </a:graphic>
              </wp:inline>
            </w:drawing>
          </w:r>
        </w:p>
      </w:tc>
    </w:tr>
  </w:tbl>
  <w:p w14:paraId="623360AC" w14:textId="0649CD80" w:rsidR="00561549" w:rsidRDefault="00561549"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E06E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B358E"/>
    <w:multiLevelType w:val="hybridMultilevel"/>
    <w:tmpl w:val="9418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86FFD"/>
    <w:multiLevelType w:val="hybridMultilevel"/>
    <w:tmpl w:val="D8FE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32FAB"/>
    <w:multiLevelType w:val="hybridMultilevel"/>
    <w:tmpl w:val="FBDE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65A6B"/>
    <w:multiLevelType w:val="hybridMultilevel"/>
    <w:tmpl w:val="C5027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2543"/>
    <w:multiLevelType w:val="hybridMultilevel"/>
    <w:tmpl w:val="A72E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E17AE"/>
    <w:multiLevelType w:val="hybridMultilevel"/>
    <w:tmpl w:val="44BC65A6"/>
    <w:lvl w:ilvl="0" w:tplc="FFA4FAB2">
      <w:numFmt w:val="bullet"/>
      <w:lvlText w:val=""/>
      <w:lvlJc w:val="left"/>
      <w:pPr>
        <w:ind w:left="638" w:hanging="360"/>
      </w:pPr>
      <w:rPr>
        <w:rFonts w:ascii="Symbol" w:eastAsia="Symbol" w:hAnsi="Symbol" w:cs="Symbol" w:hint="default"/>
        <w:b w:val="0"/>
        <w:bCs w:val="0"/>
        <w:i w:val="0"/>
        <w:iCs w:val="0"/>
        <w:w w:val="96"/>
        <w:sz w:val="20"/>
        <w:szCs w:val="20"/>
        <w:lang w:val="en-AU" w:eastAsia="en-US" w:bidi="ar-SA"/>
      </w:rPr>
    </w:lvl>
    <w:lvl w:ilvl="1" w:tplc="1AB4E89C">
      <w:numFmt w:val="bullet"/>
      <w:lvlText w:val="•"/>
      <w:lvlJc w:val="left"/>
      <w:pPr>
        <w:ind w:left="1261" w:hanging="360"/>
      </w:pPr>
      <w:rPr>
        <w:rFonts w:hint="default"/>
        <w:lang w:val="en-AU" w:eastAsia="en-US" w:bidi="ar-SA"/>
      </w:rPr>
    </w:lvl>
    <w:lvl w:ilvl="2" w:tplc="5008CBD4">
      <w:numFmt w:val="bullet"/>
      <w:lvlText w:val="•"/>
      <w:lvlJc w:val="left"/>
      <w:pPr>
        <w:ind w:left="1882" w:hanging="360"/>
      </w:pPr>
      <w:rPr>
        <w:rFonts w:hint="default"/>
        <w:lang w:val="en-AU" w:eastAsia="en-US" w:bidi="ar-SA"/>
      </w:rPr>
    </w:lvl>
    <w:lvl w:ilvl="3" w:tplc="234441F2">
      <w:numFmt w:val="bullet"/>
      <w:lvlText w:val="•"/>
      <w:lvlJc w:val="left"/>
      <w:pPr>
        <w:ind w:left="2503" w:hanging="360"/>
      </w:pPr>
      <w:rPr>
        <w:rFonts w:hint="default"/>
        <w:lang w:val="en-AU" w:eastAsia="en-US" w:bidi="ar-SA"/>
      </w:rPr>
    </w:lvl>
    <w:lvl w:ilvl="4" w:tplc="50D8F988">
      <w:numFmt w:val="bullet"/>
      <w:lvlText w:val="•"/>
      <w:lvlJc w:val="left"/>
      <w:pPr>
        <w:ind w:left="3125" w:hanging="360"/>
      </w:pPr>
      <w:rPr>
        <w:rFonts w:hint="default"/>
        <w:lang w:val="en-AU" w:eastAsia="en-US" w:bidi="ar-SA"/>
      </w:rPr>
    </w:lvl>
    <w:lvl w:ilvl="5" w:tplc="9376B5AC">
      <w:numFmt w:val="bullet"/>
      <w:lvlText w:val="•"/>
      <w:lvlJc w:val="left"/>
      <w:pPr>
        <w:ind w:left="3746" w:hanging="360"/>
      </w:pPr>
      <w:rPr>
        <w:rFonts w:hint="default"/>
        <w:lang w:val="en-AU" w:eastAsia="en-US" w:bidi="ar-SA"/>
      </w:rPr>
    </w:lvl>
    <w:lvl w:ilvl="6" w:tplc="0BA4F9CC">
      <w:numFmt w:val="bullet"/>
      <w:lvlText w:val="•"/>
      <w:lvlJc w:val="left"/>
      <w:pPr>
        <w:ind w:left="4367" w:hanging="360"/>
      </w:pPr>
      <w:rPr>
        <w:rFonts w:hint="default"/>
        <w:lang w:val="en-AU" w:eastAsia="en-US" w:bidi="ar-SA"/>
      </w:rPr>
    </w:lvl>
    <w:lvl w:ilvl="7" w:tplc="9A509350">
      <w:numFmt w:val="bullet"/>
      <w:lvlText w:val="•"/>
      <w:lvlJc w:val="left"/>
      <w:pPr>
        <w:ind w:left="4989" w:hanging="360"/>
      </w:pPr>
      <w:rPr>
        <w:rFonts w:hint="default"/>
        <w:lang w:val="en-AU" w:eastAsia="en-US" w:bidi="ar-SA"/>
      </w:rPr>
    </w:lvl>
    <w:lvl w:ilvl="8" w:tplc="FFB693DC">
      <w:numFmt w:val="bullet"/>
      <w:lvlText w:val="•"/>
      <w:lvlJc w:val="left"/>
      <w:pPr>
        <w:ind w:left="5610" w:hanging="360"/>
      </w:pPr>
      <w:rPr>
        <w:rFonts w:hint="default"/>
        <w:lang w:val="en-AU" w:eastAsia="en-US" w:bidi="ar-SA"/>
      </w:rPr>
    </w:lvl>
  </w:abstractNum>
  <w:abstractNum w:abstractNumId="8"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A670D"/>
    <w:multiLevelType w:val="hybridMultilevel"/>
    <w:tmpl w:val="DB3887B8"/>
    <w:lvl w:ilvl="0" w:tplc="0C090001">
      <w:start w:val="1"/>
      <w:numFmt w:val="bullet"/>
      <w:lvlText w:val=""/>
      <w:lvlJc w:val="left"/>
      <w:pPr>
        <w:ind w:left="360" w:hanging="360"/>
      </w:pPr>
      <w:rPr>
        <w:rFonts w:ascii="Symbol" w:hAnsi="Symbol" w:hint="default"/>
      </w:rPr>
    </w:lvl>
    <w:lvl w:ilvl="1" w:tplc="11FAE410">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1A0784"/>
    <w:multiLevelType w:val="multilevel"/>
    <w:tmpl w:val="EF5A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9B21DB"/>
    <w:multiLevelType w:val="hybridMultilevel"/>
    <w:tmpl w:val="1E72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33650"/>
    <w:multiLevelType w:val="hybridMultilevel"/>
    <w:tmpl w:val="2E7A8CCE"/>
    <w:lvl w:ilvl="0" w:tplc="B540DEF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B00A5"/>
    <w:multiLevelType w:val="hybridMultilevel"/>
    <w:tmpl w:val="D70E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F7D39"/>
    <w:multiLevelType w:val="hybridMultilevel"/>
    <w:tmpl w:val="54C8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75A48"/>
    <w:multiLevelType w:val="hybridMultilevel"/>
    <w:tmpl w:val="9518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F7DB9"/>
    <w:multiLevelType w:val="hybridMultilevel"/>
    <w:tmpl w:val="F5AC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83766"/>
    <w:multiLevelType w:val="multilevel"/>
    <w:tmpl w:val="E63C2F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B711896"/>
    <w:multiLevelType w:val="hybridMultilevel"/>
    <w:tmpl w:val="D1C85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F70FF8"/>
    <w:multiLevelType w:val="hybridMultilevel"/>
    <w:tmpl w:val="8D5A3F04"/>
    <w:lvl w:ilvl="0" w:tplc="29D08B68">
      <w:start w:val="2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7695F"/>
    <w:multiLevelType w:val="hybridMultilevel"/>
    <w:tmpl w:val="45A8C540"/>
    <w:lvl w:ilvl="0" w:tplc="4858EAC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02211A"/>
    <w:multiLevelType w:val="hybridMultilevel"/>
    <w:tmpl w:val="C2888F62"/>
    <w:lvl w:ilvl="0" w:tplc="E774FD7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06A25D4"/>
    <w:multiLevelType w:val="hybridMultilevel"/>
    <w:tmpl w:val="F5125DB8"/>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4" w15:restartNumberingAfterBreak="0">
    <w:nsid w:val="562A4572"/>
    <w:multiLevelType w:val="hybridMultilevel"/>
    <w:tmpl w:val="58D42D94"/>
    <w:lvl w:ilvl="0" w:tplc="0C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73D126D"/>
    <w:multiLevelType w:val="hybridMultilevel"/>
    <w:tmpl w:val="C0D0A326"/>
    <w:lvl w:ilvl="0" w:tplc="87007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DE6D19"/>
    <w:multiLevelType w:val="hybridMultilevel"/>
    <w:tmpl w:val="2CAAD5F6"/>
    <w:lvl w:ilvl="0" w:tplc="0DD4D20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1262B"/>
    <w:multiLevelType w:val="hybridMultilevel"/>
    <w:tmpl w:val="D2E4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03EDD"/>
    <w:multiLevelType w:val="multilevel"/>
    <w:tmpl w:val="D61A4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2F3029"/>
    <w:multiLevelType w:val="hybridMultilevel"/>
    <w:tmpl w:val="AC76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7241AF"/>
    <w:multiLevelType w:val="hybridMultilevel"/>
    <w:tmpl w:val="53429136"/>
    <w:lvl w:ilvl="0" w:tplc="0DD4D202">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502F6E"/>
    <w:multiLevelType w:val="hybridMultilevel"/>
    <w:tmpl w:val="FBDA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423AE"/>
    <w:multiLevelType w:val="hybridMultilevel"/>
    <w:tmpl w:val="01C2AB5E"/>
    <w:lvl w:ilvl="0" w:tplc="C6F8D186">
      <w:numFmt w:val="bullet"/>
      <w:lvlText w:val=""/>
      <w:lvlJc w:val="left"/>
      <w:pPr>
        <w:ind w:left="663" w:hanging="360"/>
      </w:pPr>
      <w:rPr>
        <w:rFonts w:ascii="Symbol" w:eastAsia="Symbol" w:hAnsi="Symbol" w:cs="Symbol" w:hint="default"/>
        <w:b w:val="0"/>
        <w:bCs w:val="0"/>
        <w:i w:val="0"/>
        <w:iCs w:val="0"/>
        <w:w w:val="96"/>
        <w:sz w:val="20"/>
        <w:szCs w:val="20"/>
        <w:lang w:val="en-AU" w:eastAsia="en-US" w:bidi="ar-SA"/>
      </w:rPr>
    </w:lvl>
    <w:lvl w:ilvl="1" w:tplc="BF6E7B18">
      <w:numFmt w:val="bullet"/>
      <w:lvlText w:val="•"/>
      <w:lvlJc w:val="left"/>
      <w:pPr>
        <w:ind w:left="1281" w:hanging="360"/>
      </w:pPr>
      <w:rPr>
        <w:rFonts w:hint="default"/>
        <w:lang w:val="en-AU" w:eastAsia="en-US" w:bidi="ar-SA"/>
      </w:rPr>
    </w:lvl>
    <w:lvl w:ilvl="2" w:tplc="DCA08DDC">
      <w:numFmt w:val="bullet"/>
      <w:lvlText w:val="•"/>
      <w:lvlJc w:val="left"/>
      <w:pPr>
        <w:ind w:left="1903" w:hanging="360"/>
      </w:pPr>
      <w:rPr>
        <w:rFonts w:hint="default"/>
        <w:lang w:val="en-AU" w:eastAsia="en-US" w:bidi="ar-SA"/>
      </w:rPr>
    </w:lvl>
    <w:lvl w:ilvl="3" w:tplc="C54202A4">
      <w:numFmt w:val="bullet"/>
      <w:lvlText w:val="•"/>
      <w:lvlJc w:val="left"/>
      <w:pPr>
        <w:ind w:left="2524" w:hanging="360"/>
      </w:pPr>
      <w:rPr>
        <w:rFonts w:hint="default"/>
        <w:lang w:val="en-AU" w:eastAsia="en-US" w:bidi="ar-SA"/>
      </w:rPr>
    </w:lvl>
    <w:lvl w:ilvl="4" w:tplc="A53ED39C">
      <w:numFmt w:val="bullet"/>
      <w:lvlText w:val="•"/>
      <w:lvlJc w:val="left"/>
      <w:pPr>
        <w:ind w:left="3146" w:hanging="360"/>
      </w:pPr>
      <w:rPr>
        <w:rFonts w:hint="default"/>
        <w:lang w:val="en-AU" w:eastAsia="en-US" w:bidi="ar-SA"/>
      </w:rPr>
    </w:lvl>
    <w:lvl w:ilvl="5" w:tplc="8D009A9A">
      <w:numFmt w:val="bullet"/>
      <w:lvlText w:val="•"/>
      <w:lvlJc w:val="left"/>
      <w:pPr>
        <w:ind w:left="3768" w:hanging="360"/>
      </w:pPr>
      <w:rPr>
        <w:rFonts w:hint="default"/>
        <w:lang w:val="en-AU" w:eastAsia="en-US" w:bidi="ar-SA"/>
      </w:rPr>
    </w:lvl>
    <w:lvl w:ilvl="6" w:tplc="AA922882">
      <w:numFmt w:val="bullet"/>
      <w:lvlText w:val="•"/>
      <w:lvlJc w:val="left"/>
      <w:pPr>
        <w:ind w:left="4389" w:hanging="360"/>
      </w:pPr>
      <w:rPr>
        <w:rFonts w:hint="default"/>
        <w:lang w:val="en-AU" w:eastAsia="en-US" w:bidi="ar-SA"/>
      </w:rPr>
    </w:lvl>
    <w:lvl w:ilvl="7" w:tplc="899E1574">
      <w:numFmt w:val="bullet"/>
      <w:lvlText w:val="•"/>
      <w:lvlJc w:val="left"/>
      <w:pPr>
        <w:ind w:left="5011" w:hanging="360"/>
      </w:pPr>
      <w:rPr>
        <w:rFonts w:hint="default"/>
        <w:lang w:val="en-AU" w:eastAsia="en-US" w:bidi="ar-SA"/>
      </w:rPr>
    </w:lvl>
    <w:lvl w:ilvl="8" w:tplc="7178A794">
      <w:numFmt w:val="bullet"/>
      <w:lvlText w:val="•"/>
      <w:lvlJc w:val="left"/>
      <w:pPr>
        <w:ind w:left="5632" w:hanging="360"/>
      </w:pPr>
      <w:rPr>
        <w:rFonts w:hint="default"/>
        <w:lang w:val="en-AU" w:eastAsia="en-US" w:bidi="ar-SA"/>
      </w:rPr>
    </w:lvl>
  </w:abstractNum>
  <w:abstractNum w:abstractNumId="34" w15:restartNumberingAfterBreak="0">
    <w:nsid w:val="75BB542D"/>
    <w:multiLevelType w:val="hybridMultilevel"/>
    <w:tmpl w:val="16480728"/>
    <w:lvl w:ilvl="0" w:tplc="0CEC1D22">
      <w:numFmt w:val="bullet"/>
      <w:lvlText w:val=""/>
      <w:lvlJc w:val="left"/>
      <w:pPr>
        <w:ind w:left="638" w:hanging="360"/>
      </w:pPr>
      <w:rPr>
        <w:rFonts w:ascii="Symbol" w:eastAsia="Symbol" w:hAnsi="Symbol" w:cs="Symbol" w:hint="default"/>
        <w:b w:val="0"/>
        <w:bCs w:val="0"/>
        <w:i w:val="0"/>
        <w:iCs w:val="0"/>
        <w:w w:val="96"/>
        <w:sz w:val="20"/>
        <w:szCs w:val="20"/>
        <w:lang w:val="en-AU" w:eastAsia="en-US" w:bidi="ar-SA"/>
      </w:rPr>
    </w:lvl>
    <w:lvl w:ilvl="1" w:tplc="29B45326">
      <w:numFmt w:val="bullet"/>
      <w:lvlText w:val="•"/>
      <w:lvlJc w:val="left"/>
      <w:pPr>
        <w:ind w:left="1261" w:hanging="360"/>
      </w:pPr>
      <w:rPr>
        <w:rFonts w:hint="default"/>
        <w:lang w:val="en-AU" w:eastAsia="en-US" w:bidi="ar-SA"/>
      </w:rPr>
    </w:lvl>
    <w:lvl w:ilvl="2" w:tplc="2F7C063C">
      <w:numFmt w:val="bullet"/>
      <w:lvlText w:val="•"/>
      <w:lvlJc w:val="left"/>
      <w:pPr>
        <w:ind w:left="1882" w:hanging="360"/>
      </w:pPr>
      <w:rPr>
        <w:rFonts w:hint="default"/>
        <w:lang w:val="en-AU" w:eastAsia="en-US" w:bidi="ar-SA"/>
      </w:rPr>
    </w:lvl>
    <w:lvl w:ilvl="3" w:tplc="8CE6F802">
      <w:numFmt w:val="bullet"/>
      <w:lvlText w:val="•"/>
      <w:lvlJc w:val="left"/>
      <w:pPr>
        <w:ind w:left="2503" w:hanging="360"/>
      </w:pPr>
      <w:rPr>
        <w:rFonts w:hint="default"/>
        <w:lang w:val="en-AU" w:eastAsia="en-US" w:bidi="ar-SA"/>
      </w:rPr>
    </w:lvl>
    <w:lvl w:ilvl="4" w:tplc="FAE257F8">
      <w:numFmt w:val="bullet"/>
      <w:lvlText w:val="•"/>
      <w:lvlJc w:val="left"/>
      <w:pPr>
        <w:ind w:left="3125" w:hanging="360"/>
      </w:pPr>
      <w:rPr>
        <w:rFonts w:hint="default"/>
        <w:lang w:val="en-AU" w:eastAsia="en-US" w:bidi="ar-SA"/>
      </w:rPr>
    </w:lvl>
    <w:lvl w:ilvl="5" w:tplc="602AA63E">
      <w:numFmt w:val="bullet"/>
      <w:lvlText w:val="•"/>
      <w:lvlJc w:val="left"/>
      <w:pPr>
        <w:ind w:left="3746" w:hanging="360"/>
      </w:pPr>
      <w:rPr>
        <w:rFonts w:hint="default"/>
        <w:lang w:val="en-AU" w:eastAsia="en-US" w:bidi="ar-SA"/>
      </w:rPr>
    </w:lvl>
    <w:lvl w:ilvl="6" w:tplc="325687EE">
      <w:numFmt w:val="bullet"/>
      <w:lvlText w:val="•"/>
      <w:lvlJc w:val="left"/>
      <w:pPr>
        <w:ind w:left="4367" w:hanging="360"/>
      </w:pPr>
      <w:rPr>
        <w:rFonts w:hint="default"/>
        <w:lang w:val="en-AU" w:eastAsia="en-US" w:bidi="ar-SA"/>
      </w:rPr>
    </w:lvl>
    <w:lvl w:ilvl="7" w:tplc="33CEDD20">
      <w:numFmt w:val="bullet"/>
      <w:lvlText w:val="•"/>
      <w:lvlJc w:val="left"/>
      <w:pPr>
        <w:ind w:left="4989" w:hanging="360"/>
      </w:pPr>
      <w:rPr>
        <w:rFonts w:hint="default"/>
        <w:lang w:val="en-AU" w:eastAsia="en-US" w:bidi="ar-SA"/>
      </w:rPr>
    </w:lvl>
    <w:lvl w:ilvl="8" w:tplc="B3A45102">
      <w:numFmt w:val="bullet"/>
      <w:lvlText w:val="•"/>
      <w:lvlJc w:val="left"/>
      <w:pPr>
        <w:ind w:left="5610" w:hanging="360"/>
      </w:pPr>
      <w:rPr>
        <w:rFonts w:hint="default"/>
        <w:lang w:val="en-AU" w:eastAsia="en-US" w:bidi="ar-SA"/>
      </w:rPr>
    </w:lvl>
  </w:abstractNum>
  <w:abstractNum w:abstractNumId="35" w15:restartNumberingAfterBreak="0">
    <w:nsid w:val="79772F80"/>
    <w:multiLevelType w:val="multilevel"/>
    <w:tmpl w:val="FAD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AA3AA8"/>
    <w:multiLevelType w:val="hybridMultilevel"/>
    <w:tmpl w:val="E33A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F7AE7"/>
    <w:multiLevelType w:val="hybridMultilevel"/>
    <w:tmpl w:val="AB4A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674714">
    <w:abstractNumId w:val="1"/>
  </w:num>
  <w:num w:numId="2" w16cid:durableId="412512808">
    <w:abstractNumId w:val="8"/>
  </w:num>
  <w:num w:numId="3" w16cid:durableId="149685795">
    <w:abstractNumId w:val="13"/>
  </w:num>
  <w:num w:numId="4" w16cid:durableId="1327711409">
    <w:abstractNumId w:val="29"/>
  </w:num>
  <w:num w:numId="5" w16cid:durableId="1753702961">
    <w:abstractNumId w:val="1"/>
  </w:num>
  <w:num w:numId="6" w16cid:durableId="557013468">
    <w:abstractNumId w:val="1"/>
  </w:num>
  <w:num w:numId="7" w16cid:durableId="660700835">
    <w:abstractNumId w:val="1"/>
  </w:num>
  <w:num w:numId="8" w16cid:durableId="1610164245">
    <w:abstractNumId w:val="1"/>
  </w:num>
  <w:num w:numId="9" w16cid:durableId="2047018845">
    <w:abstractNumId w:val="1"/>
  </w:num>
  <w:num w:numId="10" w16cid:durableId="434137800">
    <w:abstractNumId w:val="9"/>
  </w:num>
  <w:num w:numId="11" w16cid:durableId="1330331937">
    <w:abstractNumId w:val="18"/>
  </w:num>
  <w:num w:numId="12" w16cid:durableId="28577916">
    <w:abstractNumId w:val="28"/>
  </w:num>
  <w:num w:numId="13" w16cid:durableId="1237667837">
    <w:abstractNumId w:val="11"/>
  </w:num>
  <w:num w:numId="14" w16cid:durableId="109519461">
    <w:abstractNumId w:val="26"/>
  </w:num>
  <w:num w:numId="15" w16cid:durableId="627593975">
    <w:abstractNumId w:val="31"/>
  </w:num>
  <w:num w:numId="16" w16cid:durableId="2117169640">
    <w:abstractNumId w:val="6"/>
  </w:num>
  <w:num w:numId="17" w16cid:durableId="192227004">
    <w:abstractNumId w:val="25"/>
  </w:num>
  <w:num w:numId="18" w16cid:durableId="258295417">
    <w:abstractNumId w:val="5"/>
  </w:num>
  <w:num w:numId="19" w16cid:durableId="1609195532">
    <w:abstractNumId w:val="27"/>
  </w:num>
  <w:num w:numId="20" w16cid:durableId="1358895035">
    <w:abstractNumId w:val="16"/>
  </w:num>
  <w:num w:numId="21" w16cid:durableId="711926031">
    <w:abstractNumId w:val="36"/>
  </w:num>
  <w:num w:numId="22" w16cid:durableId="42603346">
    <w:abstractNumId w:val="4"/>
  </w:num>
  <w:num w:numId="23" w16cid:durableId="1939285454">
    <w:abstractNumId w:val="15"/>
  </w:num>
  <w:num w:numId="24" w16cid:durableId="10837093">
    <w:abstractNumId w:val="14"/>
  </w:num>
  <w:num w:numId="25" w16cid:durableId="1143810166">
    <w:abstractNumId w:val="19"/>
  </w:num>
  <w:num w:numId="26" w16cid:durableId="465007436">
    <w:abstractNumId w:val="20"/>
  </w:num>
  <w:num w:numId="27" w16cid:durableId="1291784994">
    <w:abstractNumId w:val="30"/>
  </w:num>
  <w:num w:numId="28" w16cid:durableId="1711803554">
    <w:abstractNumId w:val="35"/>
  </w:num>
  <w:num w:numId="29" w16cid:durableId="1142385826">
    <w:abstractNumId w:val="23"/>
  </w:num>
  <w:num w:numId="30" w16cid:durableId="1138764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490330">
    <w:abstractNumId w:val="2"/>
  </w:num>
  <w:num w:numId="32" w16cid:durableId="1206913006">
    <w:abstractNumId w:val="21"/>
  </w:num>
  <w:num w:numId="33" w16cid:durableId="1305626206">
    <w:abstractNumId w:val="22"/>
  </w:num>
  <w:num w:numId="34" w16cid:durableId="562330226">
    <w:abstractNumId w:val="3"/>
  </w:num>
  <w:num w:numId="35" w16cid:durableId="1318223310">
    <w:abstractNumId w:val="24"/>
  </w:num>
  <w:num w:numId="36" w16cid:durableId="748969123">
    <w:abstractNumId w:val="0"/>
  </w:num>
  <w:num w:numId="37" w16cid:durableId="1346903384">
    <w:abstractNumId w:val="12"/>
  </w:num>
  <w:num w:numId="38" w16cid:durableId="1860000103">
    <w:abstractNumId w:val="17"/>
  </w:num>
  <w:num w:numId="39" w16cid:durableId="1655327945">
    <w:abstractNumId w:val="10"/>
  </w:num>
  <w:num w:numId="40" w16cid:durableId="1705443924">
    <w:abstractNumId w:val="37"/>
  </w:num>
  <w:num w:numId="41" w16cid:durableId="411045352">
    <w:abstractNumId w:val="33"/>
  </w:num>
  <w:num w:numId="42" w16cid:durableId="343825930">
    <w:abstractNumId w:val="7"/>
  </w:num>
  <w:num w:numId="43" w16cid:durableId="1435326917">
    <w:abstractNumId w:val="34"/>
  </w:num>
  <w:num w:numId="44" w16cid:durableId="6424648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tjAzNrIwNzIwt7RU0lEKTi0uzszPAymwqAUAwxES9SwAAAA="/>
  </w:docVars>
  <w:rsids>
    <w:rsidRoot w:val="00BB532F"/>
    <w:rsid w:val="00004C01"/>
    <w:rsid w:val="00005219"/>
    <w:rsid w:val="0001016C"/>
    <w:rsid w:val="00014AFC"/>
    <w:rsid w:val="0001706E"/>
    <w:rsid w:val="00020023"/>
    <w:rsid w:val="00022223"/>
    <w:rsid w:val="00024E73"/>
    <w:rsid w:val="00026543"/>
    <w:rsid w:val="00027E23"/>
    <w:rsid w:val="00030565"/>
    <w:rsid w:val="00031892"/>
    <w:rsid w:val="0003263C"/>
    <w:rsid w:val="00035639"/>
    <w:rsid w:val="0003564E"/>
    <w:rsid w:val="00037FD5"/>
    <w:rsid w:val="000411F6"/>
    <w:rsid w:val="000445A1"/>
    <w:rsid w:val="000477E1"/>
    <w:rsid w:val="0005416E"/>
    <w:rsid w:val="000562AA"/>
    <w:rsid w:val="00060B58"/>
    <w:rsid w:val="0006182E"/>
    <w:rsid w:val="000645C8"/>
    <w:rsid w:val="0006561C"/>
    <w:rsid w:val="00065F6E"/>
    <w:rsid w:val="00067161"/>
    <w:rsid w:val="00071332"/>
    <w:rsid w:val="000842E0"/>
    <w:rsid w:val="00092C66"/>
    <w:rsid w:val="000A0561"/>
    <w:rsid w:val="000A2621"/>
    <w:rsid w:val="000A39CA"/>
    <w:rsid w:val="000B6C18"/>
    <w:rsid w:val="000C00E5"/>
    <w:rsid w:val="000C322F"/>
    <w:rsid w:val="000C3CC8"/>
    <w:rsid w:val="000C5D47"/>
    <w:rsid w:val="000C666F"/>
    <w:rsid w:val="000D12B3"/>
    <w:rsid w:val="000D799A"/>
    <w:rsid w:val="000E037C"/>
    <w:rsid w:val="000E149D"/>
    <w:rsid w:val="000F231F"/>
    <w:rsid w:val="000F3262"/>
    <w:rsid w:val="00104EC7"/>
    <w:rsid w:val="00110AB7"/>
    <w:rsid w:val="0011179E"/>
    <w:rsid w:val="00127E4F"/>
    <w:rsid w:val="001336E8"/>
    <w:rsid w:val="0013413E"/>
    <w:rsid w:val="00134F5E"/>
    <w:rsid w:val="00136C3A"/>
    <w:rsid w:val="00140C2F"/>
    <w:rsid w:val="00140C4D"/>
    <w:rsid w:val="00153F10"/>
    <w:rsid w:val="00162560"/>
    <w:rsid w:val="00165754"/>
    <w:rsid w:val="001671DC"/>
    <w:rsid w:val="00172DFE"/>
    <w:rsid w:val="0017526A"/>
    <w:rsid w:val="00176089"/>
    <w:rsid w:val="0018091E"/>
    <w:rsid w:val="001815E8"/>
    <w:rsid w:val="0018272C"/>
    <w:rsid w:val="00185ABC"/>
    <w:rsid w:val="001915E9"/>
    <w:rsid w:val="0019203F"/>
    <w:rsid w:val="00194A32"/>
    <w:rsid w:val="00194E98"/>
    <w:rsid w:val="001A00F1"/>
    <w:rsid w:val="001A0173"/>
    <w:rsid w:val="001A1AA1"/>
    <w:rsid w:val="001A1EC8"/>
    <w:rsid w:val="001A29F0"/>
    <w:rsid w:val="001A36AA"/>
    <w:rsid w:val="001A4F0B"/>
    <w:rsid w:val="001B1F0F"/>
    <w:rsid w:val="001B5DFD"/>
    <w:rsid w:val="001B75A6"/>
    <w:rsid w:val="001B7BF9"/>
    <w:rsid w:val="001C0E5F"/>
    <w:rsid w:val="001C2248"/>
    <w:rsid w:val="001C23F4"/>
    <w:rsid w:val="001C2C17"/>
    <w:rsid w:val="001C4D7F"/>
    <w:rsid w:val="001C5166"/>
    <w:rsid w:val="001C5A46"/>
    <w:rsid w:val="001C6072"/>
    <w:rsid w:val="001D0093"/>
    <w:rsid w:val="001D097C"/>
    <w:rsid w:val="001E2792"/>
    <w:rsid w:val="001E27DB"/>
    <w:rsid w:val="001E49B2"/>
    <w:rsid w:val="001E72D0"/>
    <w:rsid w:val="001F0441"/>
    <w:rsid w:val="001F2503"/>
    <w:rsid w:val="001F2FFE"/>
    <w:rsid w:val="001F4192"/>
    <w:rsid w:val="001F4B2B"/>
    <w:rsid w:val="001F6F48"/>
    <w:rsid w:val="00201E8B"/>
    <w:rsid w:val="00204828"/>
    <w:rsid w:val="00205A8A"/>
    <w:rsid w:val="00207259"/>
    <w:rsid w:val="00211F68"/>
    <w:rsid w:val="00212898"/>
    <w:rsid w:val="002238A2"/>
    <w:rsid w:val="00226910"/>
    <w:rsid w:val="002309B5"/>
    <w:rsid w:val="0023231F"/>
    <w:rsid w:val="00232DC4"/>
    <w:rsid w:val="00233601"/>
    <w:rsid w:val="002344A4"/>
    <w:rsid w:val="00237421"/>
    <w:rsid w:val="00240A8E"/>
    <w:rsid w:val="00253AFB"/>
    <w:rsid w:val="00256151"/>
    <w:rsid w:val="00256CB3"/>
    <w:rsid w:val="00263ACB"/>
    <w:rsid w:val="00266912"/>
    <w:rsid w:val="0027222D"/>
    <w:rsid w:val="0027624B"/>
    <w:rsid w:val="00280887"/>
    <w:rsid w:val="0028314F"/>
    <w:rsid w:val="00287C54"/>
    <w:rsid w:val="002955F1"/>
    <w:rsid w:val="002A648F"/>
    <w:rsid w:val="002B0B83"/>
    <w:rsid w:val="002B1F76"/>
    <w:rsid w:val="002B5704"/>
    <w:rsid w:val="002C1480"/>
    <w:rsid w:val="002C2823"/>
    <w:rsid w:val="002C616A"/>
    <w:rsid w:val="002D0EF8"/>
    <w:rsid w:val="002D1052"/>
    <w:rsid w:val="002D2EF3"/>
    <w:rsid w:val="002D314E"/>
    <w:rsid w:val="002D336D"/>
    <w:rsid w:val="002D3579"/>
    <w:rsid w:val="002D36BB"/>
    <w:rsid w:val="002D740D"/>
    <w:rsid w:val="002E3CFC"/>
    <w:rsid w:val="002E45B3"/>
    <w:rsid w:val="002E7200"/>
    <w:rsid w:val="002F0A05"/>
    <w:rsid w:val="002F13B7"/>
    <w:rsid w:val="002F17F5"/>
    <w:rsid w:val="002F53A8"/>
    <w:rsid w:val="00300C40"/>
    <w:rsid w:val="00301747"/>
    <w:rsid w:val="00314804"/>
    <w:rsid w:val="0032142A"/>
    <w:rsid w:val="00322416"/>
    <w:rsid w:val="003254AD"/>
    <w:rsid w:val="00325E9D"/>
    <w:rsid w:val="00326C19"/>
    <w:rsid w:val="00327F5C"/>
    <w:rsid w:val="0033000E"/>
    <w:rsid w:val="00333792"/>
    <w:rsid w:val="003349B9"/>
    <w:rsid w:val="00336011"/>
    <w:rsid w:val="00340ADC"/>
    <w:rsid w:val="00343491"/>
    <w:rsid w:val="00345199"/>
    <w:rsid w:val="00346D51"/>
    <w:rsid w:val="00351826"/>
    <w:rsid w:val="00351C3F"/>
    <w:rsid w:val="00351D50"/>
    <w:rsid w:val="00353FAD"/>
    <w:rsid w:val="00361F4E"/>
    <w:rsid w:val="00372A99"/>
    <w:rsid w:val="00373737"/>
    <w:rsid w:val="00374A82"/>
    <w:rsid w:val="00375289"/>
    <w:rsid w:val="00377118"/>
    <w:rsid w:val="003927AE"/>
    <w:rsid w:val="0039395B"/>
    <w:rsid w:val="0039795D"/>
    <w:rsid w:val="003A1185"/>
    <w:rsid w:val="003A1513"/>
    <w:rsid w:val="003A2AFA"/>
    <w:rsid w:val="003A3538"/>
    <w:rsid w:val="003B0F42"/>
    <w:rsid w:val="003B11EA"/>
    <w:rsid w:val="003B403A"/>
    <w:rsid w:val="003C00FD"/>
    <w:rsid w:val="003C031F"/>
    <w:rsid w:val="003C2846"/>
    <w:rsid w:val="003C29D3"/>
    <w:rsid w:val="003C36A9"/>
    <w:rsid w:val="003C476D"/>
    <w:rsid w:val="003C5EB3"/>
    <w:rsid w:val="003D0910"/>
    <w:rsid w:val="003D1EC8"/>
    <w:rsid w:val="003D3521"/>
    <w:rsid w:val="003D5227"/>
    <w:rsid w:val="003D7DB7"/>
    <w:rsid w:val="003E1038"/>
    <w:rsid w:val="003E2663"/>
    <w:rsid w:val="003E67B7"/>
    <w:rsid w:val="003F1BE7"/>
    <w:rsid w:val="003F2003"/>
    <w:rsid w:val="004019D0"/>
    <w:rsid w:val="004057E7"/>
    <w:rsid w:val="00411F3E"/>
    <w:rsid w:val="0041525E"/>
    <w:rsid w:val="00416D58"/>
    <w:rsid w:val="004203B4"/>
    <w:rsid w:val="004211D5"/>
    <w:rsid w:val="004258E7"/>
    <w:rsid w:val="00425C21"/>
    <w:rsid w:val="00436621"/>
    <w:rsid w:val="00442732"/>
    <w:rsid w:val="00443BCB"/>
    <w:rsid w:val="00446EAB"/>
    <w:rsid w:val="004503EA"/>
    <w:rsid w:val="0045299A"/>
    <w:rsid w:val="00453C3A"/>
    <w:rsid w:val="00454834"/>
    <w:rsid w:val="004579F3"/>
    <w:rsid w:val="00466287"/>
    <w:rsid w:val="00471E2A"/>
    <w:rsid w:val="00473075"/>
    <w:rsid w:val="0047547E"/>
    <w:rsid w:val="00477EB1"/>
    <w:rsid w:val="00481C66"/>
    <w:rsid w:val="00492AA6"/>
    <w:rsid w:val="004951A1"/>
    <w:rsid w:val="00497EC1"/>
    <w:rsid w:val="004A5CA4"/>
    <w:rsid w:val="004A6602"/>
    <w:rsid w:val="004B2093"/>
    <w:rsid w:val="004B3994"/>
    <w:rsid w:val="004C45E2"/>
    <w:rsid w:val="004D0C22"/>
    <w:rsid w:val="004D15E4"/>
    <w:rsid w:val="004D20F2"/>
    <w:rsid w:val="004D27C8"/>
    <w:rsid w:val="004D68A6"/>
    <w:rsid w:val="004E3DBD"/>
    <w:rsid w:val="004E44A5"/>
    <w:rsid w:val="004E474E"/>
    <w:rsid w:val="004E7F32"/>
    <w:rsid w:val="004F0891"/>
    <w:rsid w:val="004F1C78"/>
    <w:rsid w:val="004F3EA9"/>
    <w:rsid w:val="00502DBF"/>
    <w:rsid w:val="00506B3A"/>
    <w:rsid w:val="00520AD3"/>
    <w:rsid w:val="00521D19"/>
    <w:rsid w:val="00523CFF"/>
    <w:rsid w:val="0052609B"/>
    <w:rsid w:val="00527FCF"/>
    <w:rsid w:val="005307BA"/>
    <w:rsid w:val="005358ED"/>
    <w:rsid w:val="00536B6F"/>
    <w:rsid w:val="00545AC6"/>
    <w:rsid w:val="00545E6D"/>
    <w:rsid w:val="005460EB"/>
    <w:rsid w:val="00551038"/>
    <w:rsid w:val="00553D24"/>
    <w:rsid w:val="00561549"/>
    <w:rsid w:val="005624F7"/>
    <w:rsid w:val="00570669"/>
    <w:rsid w:val="00586BB2"/>
    <w:rsid w:val="00586DB3"/>
    <w:rsid w:val="0059035B"/>
    <w:rsid w:val="005919B4"/>
    <w:rsid w:val="0059469A"/>
    <w:rsid w:val="00596A6E"/>
    <w:rsid w:val="005A2FC1"/>
    <w:rsid w:val="005A397B"/>
    <w:rsid w:val="005A7BE1"/>
    <w:rsid w:val="005B10E1"/>
    <w:rsid w:val="005B47B7"/>
    <w:rsid w:val="005B5053"/>
    <w:rsid w:val="005C2173"/>
    <w:rsid w:val="005C4374"/>
    <w:rsid w:val="005C7AF5"/>
    <w:rsid w:val="005D4AF1"/>
    <w:rsid w:val="005D542C"/>
    <w:rsid w:val="005D71EA"/>
    <w:rsid w:val="005E485C"/>
    <w:rsid w:val="005E6C59"/>
    <w:rsid w:val="005E75FC"/>
    <w:rsid w:val="005F4B69"/>
    <w:rsid w:val="005F5FD1"/>
    <w:rsid w:val="005F7DD1"/>
    <w:rsid w:val="005F7EE8"/>
    <w:rsid w:val="00600C7E"/>
    <w:rsid w:val="006022B4"/>
    <w:rsid w:val="00603D53"/>
    <w:rsid w:val="00612673"/>
    <w:rsid w:val="00612AFA"/>
    <w:rsid w:val="006134D8"/>
    <w:rsid w:val="00614552"/>
    <w:rsid w:val="00621D45"/>
    <w:rsid w:val="006230CC"/>
    <w:rsid w:val="00623950"/>
    <w:rsid w:val="00626492"/>
    <w:rsid w:val="00630EFD"/>
    <w:rsid w:val="0063544E"/>
    <w:rsid w:val="00640189"/>
    <w:rsid w:val="00646E36"/>
    <w:rsid w:val="00647182"/>
    <w:rsid w:val="00650389"/>
    <w:rsid w:val="006538BF"/>
    <w:rsid w:val="00654CF9"/>
    <w:rsid w:val="00657432"/>
    <w:rsid w:val="00666488"/>
    <w:rsid w:val="00674D4C"/>
    <w:rsid w:val="00682C64"/>
    <w:rsid w:val="00683870"/>
    <w:rsid w:val="006876F6"/>
    <w:rsid w:val="00695EAB"/>
    <w:rsid w:val="006963EF"/>
    <w:rsid w:val="00697926"/>
    <w:rsid w:val="006A2280"/>
    <w:rsid w:val="006A2A7F"/>
    <w:rsid w:val="006B1442"/>
    <w:rsid w:val="006B723B"/>
    <w:rsid w:val="006C2473"/>
    <w:rsid w:val="006C4218"/>
    <w:rsid w:val="006D1FBC"/>
    <w:rsid w:val="006D455D"/>
    <w:rsid w:val="006D75C8"/>
    <w:rsid w:val="006E1B18"/>
    <w:rsid w:val="006E28E7"/>
    <w:rsid w:val="006F0987"/>
    <w:rsid w:val="006F1E5D"/>
    <w:rsid w:val="006F6652"/>
    <w:rsid w:val="006F7124"/>
    <w:rsid w:val="006F792C"/>
    <w:rsid w:val="006F7FA4"/>
    <w:rsid w:val="00701D5C"/>
    <w:rsid w:val="00701F8B"/>
    <w:rsid w:val="007041EA"/>
    <w:rsid w:val="007057B7"/>
    <w:rsid w:val="00712F68"/>
    <w:rsid w:val="007249EC"/>
    <w:rsid w:val="0073124E"/>
    <w:rsid w:val="007346F2"/>
    <w:rsid w:val="00735B28"/>
    <w:rsid w:val="00735E89"/>
    <w:rsid w:val="007363A6"/>
    <w:rsid w:val="00736E7F"/>
    <w:rsid w:val="00742966"/>
    <w:rsid w:val="0075127A"/>
    <w:rsid w:val="00753EEE"/>
    <w:rsid w:val="0075566D"/>
    <w:rsid w:val="007615F4"/>
    <w:rsid w:val="00767553"/>
    <w:rsid w:val="007726EF"/>
    <w:rsid w:val="007736B4"/>
    <w:rsid w:val="00773975"/>
    <w:rsid w:val="00774A96"/>
    <w:rsid w:val="00776DCB"/>
    <w:rsid w:val="00780275"/>
    <w:rsid w:val="00780299"/>
    <w:rsid w:val="007862DE"/>
    <w:rsid w:val="0078665B"/>
    <w:rsid w:val="00786A0F"/>
    <w:rsid w:val="0079076A"/>
    <w:rsid w:val="00791129"/>
    <w:rsid w:val="00791C8A"/>
    <w:rsid w:val="00792A3E"/>
    <w:rsid w:val="00794CC1"/>
    <w:rsid w:val="00794E0E"/>
    <w:rsid w:val="00795244"/>
    <w:rsid w:val="007953EF"/>
    <w:rsid w:val="007A4365"/>
    <w:rsid w:val="007B0931"/>
    <w:rsid w:val="007B32AB"/>
    <w:rsid w:val="007B7C1F"/>
    <w:rsid w:val="007C0486"/>
    <w:rsid w:val="007C21C8"/>
    <w:rsid w:val="007C25FA"/>
    <w:rsid w:val="007C2FF1"/>
    <w:rsid w:val="007C5470"/>
    <w:rsid w:val="007C633F"/>
    <w:rsid w:val="007D008C"/>
    <w:rsid w:val="007D0E2E"/>
    <w:rsid w:val="007E2462"/>
    <w:rsid w:val="007E2FB7"/>
    <w:rsid w:val="007E43E0"/>
    <w:rsid w:val="007E77DC"/>
    <w:rsid w:val="007F7D04"/>
    <w:rsid w:val="00801DF0"/>
    <w:rsid w:val="00801E41"/>
    <w:rsid w:val="00802515"/>
    <w:rsid w:val="008044BB"/>
    <w:rsid w:val="00805561"/>
    <w:rsid w:val="00806FE1"/>
    <w:rsid w:val="00807A69"/>
    <w:rsid w:val="00807ED1"/>
    <w:rsid w:val="0081574B"/>
    <w:rsid w:val="00817B11"/>
    <w:rsid w:val="008203EE"/>
    <w:rsid w:val="00821767"/>
    <w:rsid w:val="00821E80"/>
    <w:rsid w:val="008267A0"/>
    <w:rsid w:val="00827A94"/>
    <w:rsid w:val="008308A7"/>
    <w:rsid w:val="008327B2"/>
    <w:rsid w:val="0083547C"/>
    <w:rsid w:val="00835D20"/>
    <w:rsid w:val="008377D7"/>
    <w:rsid w:val="00843197"/>
    <w:rsid w:val="00846A71"/>
    <w:rsid w:val="008476E6"/>
    <w:rsid w:val="0085706D"/>
    <w:rsid w:val="00860904"/>
    <w:rsid w:val="00861804"/>
    <w:rsid w:val="00865E50"/>
    <w:rsid w:val="008679B5"/>
    <w:rsid w:val="00876628"/>
    <w:rsid w:val="00894A73"/>
    <w:rsid w:val="00895190"/>
    <w:rsid w:val="008A0A58"/>
    <w:rsid w:val="008A0EBB"/>
    <w:rsid w:val="008A13AC"/>
    <w:rsid w:val="008A3133"/>
    <w:rsid w:val="008A5C04"/>
    <w:rsid w:val="008B2BE2"/>
    <w:rsid w:val="008B74C1"/>
    <w:rsid w:val="008C0B4D"/>
    <w:rsid w:val="008C37C8"/>
    <w:rsid w:val="008C3F33"/>
    <w:rsid w:val="008D3EEF"/>
    <w:rsid w:val="008D4688"/>
    <w:rsid w:val="008D7766"/>
    <w:rsid w:val="008E054D"/>
    <w:rsid w:val="008E08E3"/>
    <w:rsid w:val="008F23E9"/>
    <w:rsid w:val="008F2AE4"/>
    <w:rsid w:val="008F64BE"/>
    <w:rsid w:val="00902EC0"/>
    <w:rsid w:val="009070C3"/>
    <w:rsid w:val="009077E2"/>
    <w:rsid w:val="00910F45"/>
    <w:rsid w:val="00911725"/>
    <w:rsid w:val="009132F5"/>
    <w:rsid w:val="00917E5E"/>
    <w:rsid w:val="00923500"/>
    <w:rsid w:val="00926AD1"/>
    <w:rsid w:val="009351E9"/>
    <w:rsid w:val="00935EE2"/>
    <w:rsid w:val="00940C04"/>
    <w:rsid w:val="009478AB"/>
    <w:rsid w:val="009523EC"/>
    <w:rsid w:val="009534BF"/>
    <w:rsid w:val="00956E94"/>
    <w:rsid w:val="00957666"/>
    <w:rsid w:val="00963288"/>
    <w:rsid w:val="00964A6C"/>
    <w:rsid w:val="00966E6E"/>
    <w:rsid w:val="00970179"/>
    <w:rsid w:val="00971CAA"/>
    <w:rsid w:val="00972A1A"/>
    <w:rsid w:val="00977E40"/>
    <w:rsid w:val="00981D06"/>
    <w:rsid w:val="00982D33"/>
    <w:rsid w:val="0098306A"/>
    <w:rsid w:val="00985984"/>
    <w:rsid w:val="00987DEA"/>
    <w:rsid w:val="00994B3B"/>
    <w:rsid w:val="00994DCE"/>
    <w:rsid w:val="0099587E"/>
    <w:rsid w:val="009979FA"/>
    <w:rsid w:val="009A30BE"/>
    <w:rsid w:val="009A58E1"/>
    <w:rsid w:val="009B3103"/>
    <w:rsid w:val="009B4786"/>
    <w:rsid w:val="009C12FA"/>
    <w:rsid w:val="009C2202"/>
    <w:rsid w:val="009D3450"/>
    <w:rsid w:val="009D690E"/>
    <w:rsid w:val="009D6950"/>
    <w:rsid w:val="009D72FE"/>
    <w:rsid w:val="009D747B"/>
    <w:rsid w:val="009E0450"/>
    <w:rsid w:val="009F5C7A"/>
    <w:rsid w:val="009F61B1"/>
    <w:rsid w:val="00A00C30"/>
    <w:rsid w:val="00A02AEF"/>
    <w:rsid w:val="00A06549"/>
    <w:rsid w:val="00A14A03"/>
    <w:rsid w:val="00A172DF"/>
    <w:rsid w:val="00A2122C"/>
    <w:rsid w:val="00A22066"/>
    <w:rsid w:val="00A24264"/>
    <w:rsid w:val="00A32CD7"/>
    <w:rsid w:val="00A37CE7"/>
    <w:rsid w:val="00A40590"/>
    <w:rsid w:val="00A40DED"/>
    <w:rsid w:val="00A41E4E"/>
    <w:rsid w:val="00A4412E"/>
    <w:rsid w:val="00A47353"/>
    <w:rsid w:val="00A508F0"/>
    <w:rsid w:val="00A55EFA"/>
    <w:rsid w:val="00A56EA9"/>
    <w:rsid w:val="00A61621"/>
    <w:rsid w:val="00A6675F"/>
    <w:rsid w:val="00A66DAB"/>
    <w:rsid w:val="00A707E0"/>
    <w:rsid w:val="00A73C38"/>
    <w:rsid w:val="00A77B0C"/>
    <w:rsid w:val="00A8004F"/>
    <w:rsid w:val="00A83932"/>
    <w:rsid w:val="00A85305"/>
    <w:rsid w:val="00A8686E"/>
    <w:rsid w:val="00A87071"/>
    <w:rsid w:val="00A8732A"/>
    <w:rsid w:val="00A91173"/>
    <w:rsid w:val="00A948DE"/>
    <w:rsid w:val="00A970A2"/>
    <w:rsid w:val="00AA0823"/>
    <w:rsid w:val="00AA34F3"/>
    <w:rsid w:val="00AA3812"/>
    <w:rsid w:val="00AA6EA0"/>
    <w:rsid w:val="00AB120A"/>
    <w:rsid w:val="00AB50E4"/>
    <w:rsid w:val="00AB5F35"/>
    <w:rsid w:val="00AB7CD6"/>
    <w:rsid w:val="00AC04D7"/>
    <w:rsid w:val="00AC1AF9"/>
    <w:rsid w:val="00AC2928"/>
    <w:rsid w:val="00AC6B1A"/>
    <w:rsid w:val="00AC742D"/>
    <w:rsid w:val="00AC7DC9"/>
    <w:rsid w:val="00AD1C49"/>
    <w:rsid w:val="00AD37A8"/>
    <w:rsid w:val="00AD43CB"/>
    <w:rsid w:val="00AD51F6"/>
    <w:rsid w:val="00AE13FE"/>
    <w:rsid w:val="00AE1407"/>
    <w:rsid w:val="00AE14D7"/>
    <w:rsid w:val="00AF01AC"/>
    <w:rsid w:val="00AF0C1F"/>
    <w:rsid w:val="00AF3FE7"/>
    <w:rsid w:val="00AF4994"/>
    <w:rsid w:val="00AF6E5B"/>
    <w:rsid w:val="00AF7D0C"/>
    <w:rsid w:val="00B0574B"/>
    <w:rsid w:val="00B10AB7"/>
    <w:rsid w:val="00B16353"/>
    <w:rsid w:val="00B2037F"/>
    <w:rsid w:val="00B2098E"/>
    <w:rsid w:val="00B20F6E"/>
    <w:rsid w:val="00B262BC"/>
    <w:rsid w:val="00B27656"/>
    <w:rsid w:val="00B32691"/>
    <w:rsid w:val="00B32878"/>
    <w:rsid w:val="00B34066"/>
    <w:rsid w:val="00B3511B"/>
    <w:rsid w:val="00B36ACC"/>
    <w:rsid w:val="00B407F6"/>
    <w:rsid w:val="00B432BF"/>
    <w:rsid w:val="00B43F22"/>
    <w:rsid w:val="00B53B4E"/>
    <w:rsid w:val="00B60724"/>
    <w:rsid w:val="00B62436"/>
    <w:rsid w:val="00B635E3"/>
    <w:rsid w:val="00B6681D"/>
    <w:rsid w:val="00B710DA"/>
    <w:rsid w:val="00B71E17"/>
    <w:rsid w:val="00B72B4F"/>
    <w:rsid w:val="00B74FFA"/>
    <w:rsid w:val="00B77544"/>
    <w:rsid w:val="00B8089F"/>
    <w:rsid w:val="00B827D2"/>
    <w:rsid w:val="00B835C0"/>
    <w:rsid w:val="00B876AF"/>
    <w:rsid w:val="00B9055C"/>
    <w:rsid w:val="00B9419F"/>
    <w:rsid w:val="00B97AE5"/>
    <w:rsid w:val="00BA3963"/>
    <w:rsid w:val="00BA5723"/>
    <w:rsid w:val="00BA759E"/>
    <w:rsid w:val="00BB12E9"/>
    <w:rsid w:val="00BB532F"/>
    <w:rsid w:val="00BB61FF"/>
    <w:rsid w:val="00BC162D"/>
    <w:rsid w:val="00BC2FE4"/>
    <w:rsid w:val="00BC73DF"/>
    <w:rsid w:val="00BD3BC6"/>
    <w:rsid w:val="00BD4DDA"/>
    <w:rsid w:val="00BE3B6D"/>
    <w:rsid w:val="00BE4EAE"/>
    <w:rsid w:val="00BE6E24"/>
    <w:rsid w:val="00BF0D00"/>
    <w:rsid w:val="00BF5AC7"/>
    <w:rsid w:val="00BF5DDE"/>
    <w:rsid w:val="00C01CED"/>
    <w:rsid w:val="00C03AFD"/>
    <w:rsid w:val="00C06725"/>
    <w:rsid w:val="00C07186"/>
    <w:rsid w:val="00C07841"/>
    <w:rsid w:val="00C15332"/>
    <w:rsid w:val="00C15718"/>
    <w:rsid w:val="00C169FF"/>
    <w:rsid w:val="00C1741B"/>
    <w:rsid w:val="00C23E79"/>
    <w:rsid w:val="00C2490D"/>
    <w:rsid w:val="00C25ADB"/>
    <w:rsid w:val="00C271F9"/>
    <w:rsid w:val="00C362FB"/>
    <w:rsid w:val="00C36E76"/>
    <w:rsid w:val="00C454D7"/>
    <w:rsid w:val="00C46668"/>
    <w:rsid w:val="00C470CB"/>
    <w:rsid w:val="00C517B6"/>
    <w:rsid w:val="00C566C4"/>
    <w:rsid w:val="00C56D72"/>
    <w:rsid w:val="00C63F0F"/>
    <w:rsid w:val="00C6568C"/>
    <w:rsid w:val="00C70636"/>
    <w:rsid w:val="00C70842"/>
    <w:rsid w:val="00C740FF"/>
    <w:rsid w:val="00C80D3A"/>
    <w:rsid w:val="00C8578E"/>
    <w:rsid w:val="00C861F7"/>
    <w:rsid w:val="00C91502"/>
    <w:rsid w:val="00CA3DE5"/>
    <w:rsid w:val="00CA76B5"/>
    <w:rsid w:val="00CB0F40"/>
    <w:rsid w:val="00CB6D4F"/>
    <w:rsid w:val="00CB7D6B"/>
    <w:rsid w:val="00CC0C64"/>
    <w:rsid w:val="00CC3D49"/>
    <w:rsid w:val="00CC7051"/>
    <w:rsid w:val="00CC76F2"/>
    <w:rsid w:val="00CD323E"/>
    <w:rsid w:val="00CD5347"/>
    <w:rsid w:val="00CE105E"/>
    <w:rsid w:val="00CE1D95"/>
    <w:rsid w:val="00CE1E5E"/>
    <w:rsid w:val="00CE4662"/>
    <w:rsid w:val="00CF06CE"/>
    <w:rsid w:val="00CF1344"/>
    <w:rsid w:val="00CF1907"/>
    <w:rsid w:val="00CF2A85"/>
    <w:rsid w:val="00D015F9"/>
    <w:rsid w:val="00D0559A"/>
    <w:rsid w:val="00D11306"/>
    <w:rsid w:val="00D20BF2"/>
    <w:rsid w:val="00D21E7C"/>
    <w:rsid w:val="00D24D2F"/>
    <w:rsid w:val="00D25637"/>
    <w:rsid w:val="00D312DA"/>
    <w:rsid w:val="00D32578"/>
    <w:rsid w:val="00D34727"/>
    <w:rsid w:val="00D351CC"/>
    <w:rsid w:val="00D42207"/>
    <w:rsid w:val="00D43933"/>
    <w:rsid w:val="00D51816"/>
    <w:rsid w:val="00D51D4F"/>
    <w:rsid w:val="00D55E55"/>
    <w:rsid w:val="00D6084A"/>
    <w:rsid w:val="00D62B79"/>
    <w:rsid w:val="00D64165"/>
    <w:rsid w:val="00D66138"/>
    <w:rsid w:val="00D663ED"/>
    <w:rsid w:val="00D66BB4"/>
    <w:rsid w:val="00D67A17"/>
    <w:rsid w:val="00D74882"/>
    <w:rsid w:val="00D759EE"/>
    <w:rsid w:val="00D87020"/>
    <w:rsid w:val="00D9497B"/>
    <w:rsid w:val="00D956AA"/>
    <w:rsid w:val="00D96273"/>
    <w:rsid w:val="00DA1E64"/>
    <w:rsid w:val="00DA45C4"/>
    <w:rsid w:val="00DA543F"/>
    <w:rsid w:val="00DA68D9"/>
    <w:rsid w:val="00DB06BC"/>
    <w:rsid w:val="00DB328D"/>
    <w:rsid w:val="00DC0173"/>
    <w:rsid w:val="00DC11EA"/>
    <w:rsid w:val="00DC4056"/>
    <w:rsid w:val="00DC627A"/>
    <w:rsid w:val="00DC6FA6"/>
    <w:rsid w:val="00DD7961"/>
    <w:rsid w:val="00DE2472"/>
    <w:rsid w:val="00DE498C"/>
    <w:rsid w:val="00DE58C6"/>
    <w:rsid w:val="00DE6C80"/>
    <w:rsid w:val="00DF1540"/>
    <w:rsid w:val="00DF2209"/>
    <w:rsid w:val="00DF5EB4"/>
    <w:rsid w:val="00DF6495"/>
    <w:rsid w:val="00E02543"/>
    <w:rsid w:val="00E204B7"/>
    <w:rsid w:val="00E207F5"/>
    <w:rsid w:val="00E23538"/>
    <w:rsid w:val="00E25470"/>
    <w:rsid w:val="00E2563C"/>
    <w:rsid w:val="00E27471"/>
    <w:rsid w:val="00E310E1"/>
    <w:rsid w:val="00E32FF6"/>
    <w:rsid w:val="00E37448"/>
    <w:rsid w:val="00E37C3E"/>
    <w:rsid w:val="00E44564"/>
    <w:rsid w:val="00E45D2A"/>
    <w:rsid w:val="00E45E12"/>
    <w:rsid w:val="00E51F63"/>
    <w:rsid w:val="00E53FAF"/>
    <w:rsid w:val="00E55704"/>
    <w:rsid w:val="00E55C6C"/>
    <w:rsid w:val="00E565B9"/>
    <w:rsid w:val="00E56DB3"/>
    <w:rsid w:val="00E63192"/>
    <w:rsid w:val="00E64A63"/>
    <w:rsid w:val="00E67F0E"/>
    <w:rsid w:val="00E71DB3"/>
    <w:rsid w:val="00E72D70"/>
    <w:rsid w:val="00E747B4"/>
    <w:rsid w:val="00E80A46"/>
    <w:rsid w:val="00E83B02"/>
    <w:rsid w:val="00E85FA0"/>
    <w:rsid w:val="00E87997"/>
    <w:rsid w:val="00E9445F"/>
    <w:rsid w:val="00E95F38"/>
    <w:rsid w:val="00E96DB5"/>
    <w:rsid w:val="00E97249"/>
    <w:rsid w:val="00EA33CB"/>
    <w:rsid w:val="00EA7A67"/>
    <w:rsid w:val="00EC0B04"/>
    <w:rsid w:val="00EC1268"/>
    <w:rsid w:val="00EC3933"/>
    <w:rsid w:val="00EC4A51"/>
    <w:rsid w:val="00EC5C1D"/>
    <w:rsid w:val="00EC779B"/>
    <w:rsid w:val="00ED176B"/>
    <w:rsid w:val="00ED5CC6"/>
    <w:rsid w:val="00ED7943"/>
    <w:rsid w:val="00EE1C1B"/>
    <w:rsid w:val="00EE2FB3"/>
    <w:rsid w:val="00EE5BB9"/>
    <w:rsid w:val="00EF159C"/>
    <w:rsid w:val="00EF1E6B"/>
    <w:rsid w:val="00F07C69"/>
    <w:rsid w:val="00F1120C"/>
    <w:rsid w:val="00F1181E"/>
    <w:rsid w:val="00F13463"/>
    <w:rsid w:val="00F15669"/>
    <w:rsid w:val="00F20EBD"/>
    <w:rsid w:val="00F21856"/>
    <w:rsid w:val="00F31B35"/>
    <w:rsid w:val="00F339CD"/>
    <w:rsid w:val="00F33A43"/>
    <w:rsid w:val="00F41650"/>
    <w:rsid w:val="00F42510"/>
    <w:rsid w:val="00F46453"/>
    <w:rsid w:val="00F47143"/>
    <w:rsid w:val="00F511D4"/>
    <w:rsid w:val="00F51A77"/>
    <w:rsid w:val="00F61A5C"/>
    <w:rsid w:val="00F62C38"/>
    <w:rsid w:val="00F632CF"/>
    <w:rsid w:val="00F7140E"/>
    <w:rsid w:val="00F75567"/>
    <w:rsid w:val="00F83D95"/>
    <w:rsid w:val="00F84AC4"/>
    <w:rsid w:val="00F9569D"/>
    <w:rsid w:val="00F95F2C"/>
    <w:rsid w:val="00FA2567"/>
    <w:rsid w:val="00FA47C4"/>
    <w:rsid w:val="00FA68B7"/>
    <w:rsid w:val="00FB04B2"/>
    <w:rsid w:val="00FB4BA9"/>
    <w:rsid w:val="00FC306C"/>
    <w:rsid w:val="00FC3C9C"/>
    <w:rsid w:val="00FC6457"/>
    <w:rsid w:val="00FC6ECA"/>
    <w:rsid w:val="00FD3076"/>
    <w:rsid w:val="00FD46BA"/>
    <w:rsid w:val="00FD5FF1"/>
    <w:rsid w:val="00FE082C"/>
    <w:rsid w:val="00FE1CBC"/>
    <w:rsid w:val="00FE2E58"/>
    <w:rsid w:val="00FE5458"/>
    <w:rsid w:val="00FF245B"/>
    <w:rsid w:val="00FF28C4"/>
    <w:rsid w:val="00FF2E6F"/>
    <w:rsid w:val="00FF35CF"/>
    <w:rsid w:val="00FF467A"/>
    <w:rsid w:val="00FF5DCE"/>
    <w:rsid w:val="00FF6513"/>
    <w:rsid w:val="0B9E3A07"/>
    <w:rsid w:val="2DD5F5A5"/>
    <w:rsid w:val="2FDC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F4E11"/>
  <w15:docId w15:val="{DFADED81-2993-4F26-B64F-4861E374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aliases w:val="Recommendation,List Paragraph1,Bulleted Para,NFP GP Bulleted List,bullet point list,List 1 Paragraph,standard lewis,CDHP List Paragraph,Bullets,dot point 1,List Paragraph11,List Paragraph111,L,F5 List Paragraph,Dot pt,CV text"/>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aliases w:val="Recommendation Char,List Paragraph1 Char,Bulleted Para Char,NFP GP Bulleted List Char,bullet point list Char,List 1 Paragraph Char,standard lewis Char,CDHP List Paragraph Char,Bullets Char,dot point 1 Char,List Paragraph11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CommentSubject">
    <w:name w:val="annotation subject"/>
    <w:basedOn w:val="CommentText"/>
    <w:next w:val="CommentText"/>
    <w:link w:val="CommentSubjectChar"/>
    <w:uiPriority w:val="99"/>
    <w:semiHidden/>
    <w:unhideWhenUsed/>
    <w:rsid w:val="00C80D3A"/>
    <w:rPr>
      <w:b/>
      <w:bCs/>
    </w:rPr>
  </w:style>
  <w:style w:type="character" w:customStyle="1" w:styleId="CommentSubjectChar">
    <w:name w:val="Comment Subject Char"/>
    <w:basedOn w:val="CommentTextChar"/>
    <w:link w:val="CommentSubject"/>
    <w:uiPriority w:val="99"/>
    <w:semiHidden/>
    <w:rsid w:val="00C80D3A"/>
    <w:rPr>
      <w:b/>
      <w:bCs/>
      <w:sz w:val="20"/>
      <w:szCs w:val="20"/>
    </w:rPr>
  </w:style>
  <w:style w:type="paragraph" w:styleId="BodyText">
    <w:name w:val="Body Text"/>
    <w:basedOn w:val="Normal"/>
    <w:link w:val="BodyTextChar"/>
    <w:uiPriority w:val="1"/>
    <w:qFormat/>
    <w:rsid w:val="003D7DB7"/>
    <w:pPr>
      <w:widowControl w:val="0"/>
      <w:spacing w:before="2" w:after="0" w:line="240" w:lineRule="auto"/>
      <w:ind w:left="840" w:hanging="360"/>
    </w:pPr>
    <w:rPr>
      <w:rFonts w:eastAsia="Times New Roman" w:cs="Times New Roman"/>
    </w:rPr>
  </w:style>
  <w:style w:type="character" w:customStyle="1" w:styleId="BodyTextChar">
    <w:name w:val="Body Text Char"/>
    <w:basedOn w:val="DefaultParagraphFont"/>
    <w:link w:val="BodyText"/>
    <w:uiPriority w:val="1"/>
    <w:rsid w:val="003D7DB7"/>
    <w:rPr>
      <w:rFonts w:eastAsia="Times New Roman" w:cs="Times New Roman"/>
    </w:rPr>
  </w:style>
  <w:style w:type="character" w:customStyle="1" w:styleId="TableTextChar">
    <w:name w:val="Table Text Char"/>
    <w:link w:val="TableText"/>
    <w:locked/>
    <w:rsid w:val="007615F4"/>
    <w:rPr>
      <w:rFonts w:eastAsiaTheme="minorHAnsi" w:cs="Times New Roman"/>
      <w:sz w:val="20"/>
      <w:szCs w:val="20"/>
      <w:lang w:val="en-AU"/>
    </w:rPr>
  </w:style>
  <w:style w:type="character" w:styleId="FollowedHyperlink">
    <w:name w:val="FollowedHyperlink"/>
    <w:basedOn w:val="DefaultParagraphFont"/>
    <w:uiPriority w:val="99"/>
    <w:semiHidden/>
    <w:unhideWhenUsed/>
    <w:rsid w:val="00B36ACC"/>
    <w:rPr>
      <w:color w:val="800080" w:themeColor="followedHyperlink"/>
      <w:u w:val="single"/>
    </w:rPr>
  </w:style>
  <w:style w:type="paragraph" w:styleId="Revision">
    <w:name w:val="Revision"/>
    <w:hidden/>
    <w:uiPriority w:val="99"/>
    <w:semiHidden/>
    <w:rsid w:val="0032142A"/>
    <w:pPr>
      <w:spacing w:after="0" w:line="240" w:lineRule="auto"/>
    </w:pPr>
  </w:style>
  <w:style w:type="paragraph" w:styleId="BodyText3">
    <w:name w:val="Body Text 3"/>
    <w:basedOn w:val="Normal"/>
    <w:link w:val="BodyText3Char"/>
    <w:uiPriority w:val="97"/>
    <w:semiHidden/>
    <w:rsid w:val="001F4192"/>
    <w:pPr>
      <w:spacing w:after="80" w:line="240" w:lineRule="auto"/>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1F4192"/>
    <w:rPr>
      <w:rFonts w:eastAsiaTheme="minorHAnsi" w:cs="Times New Roman"/>
      <w:sz w:val="16"/>
      <w:szCs w:val="16"/>
      <w:lang w:val="en-AU"/>
    </w:rPr>
  </w:style>
  <w:style w:type="paragraph" w:customStyle="1" w:styleId="Default">
    <w:name w:val="Default"/>
    <w:rsid w:val="00DB06BC"/>
    <w:pPr>
      <w:autoSpaceDE w:val="0"/>
      <w:autoSpaceDN w:val="0"/>
      <w:adjustRightInd w:val="0"/>
      <w:spacing w:after="0" w:line="240" w:lineRule="auto"/>
    </w:pPr>
    <w:rPr>
      <w:rFonts w:cs="Arial"/>
      <w:color w:val="000000"/>
      <w:sz w:val="24"/>
      <w:szCs w:val="24"/>
      <w:lang w:val="en-AU"/>
    </w:rPr>
  </w:style>
  <w:style w:type="paragraph" w:customStyle="1" w:styleId="TableParagraph">
    <w:name w:val="Table Paragraph"/>
    <w:basedOn w:val="Normal"/>
    <w:uiPriority w:val="1"/>
    <w:qFormat/>
    <w:rsid w:val="00CB6D4F"/>
    <w:pPr>
      <w:widowControl w:val="0"/>
      <w:autoSpaceDE w:val="0"/>
      <w:autoSpaceDN w:val="0"/>
      <w:spacing w:after="0" w:line="240" w:lineRule="auto"/>
      <w:ind w:left="523"/>
    </w:pPr>
    <w:rPr>
      <w:rFonts w:eastAsia="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75904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0C993-5A35-45D4-A05D-6BE2E6AAFCB7}">
  <ds:schemaRefs>
    <ds:schemaRef ds:uri="http://schemas.microsoft.com/sharepoint/v3/contenttype/forms"/>
  </ds:schemaRefs>
</ds:datastoreItem>
</file>

<file path=customXml/itemProps2.xml><?xml version="1.0" encoding="utf-8"?>
<ds:datastoreItem xmlns:ds="http://schemas.openxmlformats.org/officeDocument/2006/customXml" ds:itemID="{7204044C-E130-4D9E-BE9F-34220C8B5231}">
  <ds:schemaRefs>
    <ds:schemaRef ds:uri="http://schemas.microsoft.com/office/2006/metadata/properties"/>
    <ds:schemaRef ds:uri="http://schemas.microsoft.com/office/infopath/2007/PartnerControls"/>
    <ds:schemaRef ds:uri="931bca31-6011-450a-b8d2-d91767a2a3aa"/>
    <ds:schemaRef ds:uri="61124d02-a506-4a4e-a704-85d172cd7910"/>
  </ds:schemaRefs>
</ds:datastoreItem>
</file>

<file path=customXml/itemProps3.xml><?xml version="1.0" encoding="utf-8"?>
<ds:datastoreItem xmlns:ds="http://schemas.openxmlformats.org/officeDocument/2006/customXml" ds:itemID="{8F44A2E6-E069-4867-BB36-DE63CF760AA7}">
  <ds:schemaRefs>
    <ds:schemaRef ds:uri="http://schemas.openxmlformats.org/officeDocument/2006/bibliography"/>
  </ds:schemaRefs>
</ds:datastoreItem>
</file>

<file path=customXml/itemProps4.xml><?xml version="1.0" encoding="utf-8"?>
<ds:datastoreItem xmlns:ds="http://schemas.openxmlformats.org/officeDocument/2006/customXml" ds:itemID="{E3BBB42A-4C1F-42DD-ADF6-108BA2F5D62A}"/>
</file>

<file path=docProps/app.xml><?xml version="1.0" encoding="utf-8"?>
<Properties xmlns="http://schemas.openxmlformats.org/officeDocument/2006/extended-properties" xmlns:vt="http://schemas.openxmlformats.org/officeDocument/2006/docPropsVTypes">
  <Template>PSC_Basic_Template.dotx</Template>
  <TotalTime>2</TotalTime>
  <Pages>9</Pages>
  <Words>2469</Words>
  <Characters>14078</Characters>
  <Application>Microsoft Office Word</Application>
  <DocSecurity>0</DocSecurity>
  <Lines>117</Lines>
  <Paragraphs>33</Paragraphs>
  <ScaleCrop>false</ScaleCrop>
  <Company>NSW Government</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Rachel White</cp:lastModifiedBy>
  <cp:revision>4</cp:revision>
  <cp:lastPrinted>2020-12-05T13:55:00Z</cp:lastPrinted>
  <dcterms:created xsi:type="dcterms:W3CDTF">2024-10-08T22:29:00Z</dcterms:created>
  <dcterms:modified xsi:type="dcterms:W3CDTF">2024-10-08T22:30:00Z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2073400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ContentTypeId">
    <vt:lpwstr>0x010100FF5AD86148DAF2468DFCE68D055790F1</vt:lpwstr>
  </property>
</Properties>
</file>