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4026"/>
        <w:gridCol w:w="6530"/>
      </w:tblGrid>
      <w:tr w:rsidR="002F56EF" w:rsidRPr="00C978B9" w14:paraId="301E6188" w14:textId="77777777" w:rsidTr="00533B51">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5D2A82ED" w14:textId="77777777" w:rsidR="002F56EF" w:rsidRPr="009E6312" w:rsidRDefault="002F56EF" w:rsidP="002F56EF">
            <w:pPr>
              <w:pStyle w:val="TableTextWhite"/>
              <w:rPr>
                <w:b/>
                <w:color w:val="000000"/>
                <w:sz w:val="24"/>
                <w:szCs w:val="24"/>
              </w:rPr>
            </w:pPr>
            <w:r w:rsidRPr="009E6312">
              <w:rPr>
                <w:b/>
              </w:rPr>
              <w:t>Cluster</w:t>
            </w:r>
          </w:p>
        </w:tc>
        <w:tc>
          <w:tcPr>
            <w:tcW w:w="6530" w:type="dxa"/>
          </w:tcPr>
          <w:p w14:paraId="42ED9949" w14:textId="334F02B8" w:rsidR="002F56EF" w:rsidRPr="00533B51" w:rsidRDefault="00533B51" w:rsidP="002F56EF">
            <w:pPr>
              <w:pStyle w:val="TableTextWhite"/>
              <w:rPr>
                <w:color w:val="FFFFFF" w:themeColor="background1"/>
              </w:rPr>
            </w:pPr>
            <w:bookmarkStart w:id="0" w:name="Cluster"/>
            <w:bookmarkEnd w:id="0"/>
            <w:r w:rsidRPr="00533B51">
              <w:rPr>
                <w:color w:val="FFFFFF" w:themeColor="background1"/>
              </w:rPr>
              <w:t>Planning and Environment</w:t>
            </w:r>
          </w:p>
        </w:tc>
      </w:tr>
      <w:tr w:rsidR="002F56EF" w:rsidRPr="00C978B9" w14:paraId="49BE0E47" w14:textId="77777777" w:rsidTr="00533B51">
        <w:tc>
          <w:tcPr>
            <w:tcW w:w="4026" w:type="dxa"/>
            <w:tcBorders>
              <w:top w:val="single" w:sz="8" w:space="0" w:color="FFFFFF" w:themeColor="background1"/>
              <w:bottom w:val="nil"/>
            </w:tcBorders>
            <w:vAlign w:val="center"/>
          </w:tcPr>
          <w:p w14:paraId="18907A59" w14:textId="77777777" w:rsidR="002F56EF" w:rsidRPr="009E6312" w:rsidRDefault="00914D12" w:rsidP="002F56EF">
            <w:pPr>
              <w:pStyle w:val="TableTextWhite"/>
              <w:rPr>
                <w:b/>
              </w:rPr>
            </w:pPr>
            <w:bookmarkStart w:id="1" w:name="DeptAgency"/>
            <w:bookmarkEnd w:id="1"/>
            <w:r>
              <w:rPr>
                <w:b/>
              </w:rPr>
              <w:t>Agency</w:t>
            </w:r>
          </w:p>
        </w:tc>
        <w:tc>
          <w:tcPr>
            <w:tcW w:w="6530" w:type="dxa"/>
          </w:tcPr>
          <w:p w14:paraId="79B256EF" w14:textId="79280EB4" w:rsidR="002F56EF" w:rsidRPr="00533B51" w:rsidRDefault="002F56EF" w:rsidP="002F56EF">
            <w:pPr>
              <w:pStyle w:val="TableTextWhite"/>
              <w:rPr>
                <w:color w:val="FFFFFF" w:themeColor="background1"/>
              </w:rPr>
            </w:pPr>
            <w:bookmarkStart w:id="2" w:name="Dept"/>
            <w:bookmarkEnd w:id="2"/>
            <w:r w:rsidRPr="00533B51">
              <w:rPr>
                <w:color w:val="FFFFFF" w:themeColor="background1"/>
              </w:rPr>
              <w:t>Department of Planning and Environment</w:t>
            </w:r>
          </w:p>
        </w:tc>
      </w:tr>
      <w:tr w:rsidR="00E54C90" w:rsidRPr="00C978B9" w14:paraId="46B1469A" w14:textId="77777777" w:rsidTr="00533B51">
        <w:tc>
          <w:tcPr>
            <w:tcW w:w="4026" w:type="dxa"/>
            <w:tcBorders>
              <w:top w:val="nil"/>
            </w:tcBorders>
            <w:vAlign w:val="center"/>
          </w:tcPr>
          <w:p w14:paraId="1B369296" w14:textId="77777777" w:rsidR="00E54C90" w:rsidRPr="009E6312" w:rsidRDefault="00E54C90" w:rsidP="002F56EF">
            <w:pPr>
              <w:pStyle w:val="TableTextWhite"/>
              <w:rPr>
                <w:b/>
                <w:color w:val="000000"/>
                <w:sz w:val="24"/>
                <w:szCs w:val="24"/>
              </w:rPr>
            </w:pPr>
            <w:r>
              <w:rPr>
                <w:b/>
              </w:rPr>
              <w:t>Division/</w:t>
            </w:r>
            <w:r w:rsidRPr="009E6312">
              <w:rPr>
                <w:b/>
              </w:rPr>
              <w:t>Branch/Unit</w:t>
            </w:r>
          </w:p>
        </w:tc>
        <w:tc>
          <w:tcPr>
            <w:tcW w:w="6530" w:type="dxa"/>
          </w:tcPr>
          <w:p w14:paraId="17A24156" w14:textId="7494845B" w:rsidR="00E54C90" w:rsidRPr="00533B51" w:rsidRDefault="005C79DB" w:rsidP="002F56EF">
            <w:pPr>
              <w:pStyle w:val="TableTextWhite"/>
              <w:rPr>
                <w:color w:val="FFFFFF" w:themeColor="background1"/>
              </w:rPr>
            </w:pPr>
            <w:bookmarkStart w:id="3" w:name="Branch"/>
            <w:bookmarkEnd w:id="3"/>
            <w:r>
              <w:rPr>
                <w:color w:val="FFFFFF" w:themeColor="background1"/>
              </w:rPr>
              <w:t xml:space="preserve">Homes, </w:t>
            </w:r>
            <w:r w:rsidR="00EA79FF" w:rsidRPr="00EA79FF">
              <w:rPr>
                <w:color w:val="FFFFFF" w:themeColor="background1"/>
              </w:rPr>
              <w:t>Property and Development / Hunter and Central Coast Development Corporation</w:t>
            </w:r>
          </w:p>
        </w:tc>
      </w:tr>
      <w:tr w:rsidR="00E54C90" w:rsidRPr="00C978B9" w14:paraId="27D1F14B" w14:textId="77777777" w:rsidTr="00A76532">
        <w:tc>
          <w:tcPr>
            <w:tcW w:w="4026" w:type="dxa"/>
          </w:tcPr>
          <w:p w14:paraId="19EE4AEE" w14:textId="77777777" w:rsidR="00E54C90" w:rsidRPr="009E6312" w:rsidRDefault="00E54C90" w:rsidP="002F56EF">
            <w:pPr>
              <w:pStyle w:val="TableTextWhite"/>
              <w:rPr>
                <w:b/>
                <w:color w:val="000000"/>
                <w:sz w:val="24"/>
                <w:szCs w:val="24"/>
              </w:rPr>
            </w:pPr>
            <w:r w:rsidRPr="009E6312">
              <w:rPr>
                <w:b/>
              </w:rPr>
              <w:t>Location</w:t>
            </w:r>
          </w:p>
        </w:tc>
        <w:tc>
          <w:tcPr>
            <w:tcW w:w="6530" w:type="dxa"/>
          </w:tcPr>
          <w:p w14:paraId="65BD3CCA" w14:textId="08476CC5" w:rsidR="00E54C90" w:rsidRPr="00533B51" w:rsidRDefault="00E54C90" w:rsidP="002F56EF">
            <w:pPr>
              <w:pStyle w:val="TableTextWhite"/>
              <w:rPr>
                <w:color w:val="FFFFFF" w:themeColor="background1"/>
              </w:rPr>
            </w:pPr>
            <w:bookmarkStart w:id="4" w:name="Location"/>
            <w:bookmarkEnd w:id="4"/>
            <w:r w:rsidRPr="00533B51">
              <w:rPr>
                <w:color w:val="FFFFFF" w:themeColor="background1"/>
              </w:rPr>
              <w:t>Newcastle</w:t>
            </w:r>
            <w:r w:rsidR="000646FD" w:rsidRPr="00533B51">
              <w:rPr>
                <w:color w:val="FFFFFF" w:themeColor="background1"/>
              </w:rPr>
              <w:t xml:space="preserve"> and </w:t>
            </w:r>
            <w:r w:rsidR="00241D43">
              <w:rPr>
                <w:color w:val="FFFFFF" w:themeColor="background1"/>
              </w:rPr>
              <w:t>Central Coast</w:t>
            </w:r>
          </w:p>
        </w:tc>
      </w:tr>
      <w:tr w:rsidR="00E54C90" w:rsidRPr="00C978B9" w14:paraId="342BBC23" w14:textId="77777777" w:rsidTr="00533B51">
        <w:tc>
          <w:tcPr>
            <w:tcW w:w="4026" w:type="dxa"/>
            <w:tcBorders>
              <w:bottom w:val="single" w:sz="8" w:space="0" w:color="FFFFFF" w:themeColor="background1"/>
            </w:tcBorders>
            <w:vAlign w:val="center"/>
          </w:tcPr>
          <w:p w14:paraId="3C2290E7" w14:textId="77777777" w:rsidR="00E54C90" w:rsidRPr="009E6312" w:rsidRDefault="00E54C90" w:rsidP="002F56EF">
            <w:pPr>
              <w:pStyle w:val="TableTextWhite"/>
              <w:rPr>
                <w:b/>
              </w:rPr>
            </w:pPr>
            <w:r w:rsidRPr="009E6312">
              <w:rPr>
                <w:b/>
              </w:rPr>
              <w:t>Classification/Grade/Band</w:t>
            </w:r>
          </w:p>
        </w:tc>
        <w:tc>
          <w:tcPr>
            <w:tcW w:w="6530" w:type="dxa"/>
          </w:tcPr>
          <w:p w14:paraId="151DD2C6" w14:textId="77777777" w:rsidR="00E54C90" w:rsidRPr="00533B51" w:rsidRDefault="006325CC" w:rsidP="00C87FC4">
            <w:pPr>
              <w:pStyle w:val="TableTextWhite"/>
              <w:rPr>
                <w:color w:val="FFFFFF" w:themeColor="background1"/>
              </w:rPr>
            </w:pPr>
            <w:r w:rsidRPr="00533B51">
              <w:rPr>
                <w:color w:val="FFFFFF" w:themeColor="background1"/>
              </w:rPr>
              <w:t>Planning Officer (Professional) 3</w:t>
            </w:r>
          </w:p>
        </w:tc>
      </w:tr>
      <w:tr w:rsidR="001123F9" w:rsidRPr="00C978B9" w14:paraId="309F1D53" w14:textId="77777777" w:rsidTr="00533B51">
        <w:tc>
          <w:tcPr>
            <w:tcW w:w="4026" w:type="dxa"/>
            <w:tcBorders>
              <w:top w:val="single" w:sz="8" w:space="0" w:color="FFFFFF" w:themeColor="background1"/>
              <w:bottom w:val="nil"/>
            </w:tcBorders>
            <w:vAlign w:val="center"/>
          </w:tcPr>
          <w:p w14:paraId="0CDD6C20" w14:textId="77777777" w:rsidR="001123F9" w:rsidRPr="009E6312" w:rsidRDefault="001123F9" w:rsidP="001123F9">
            <w:pPr>
              <w:pStyle w:val="TableTextWhite"/>
              <w:rPr>
                <w:b/>
                <w:color w:val="000000"/>
                <w:sz w:val="24"/>
                <w:szCs w:val="24"/>
              </w:rPr>
            </w:pPr>
            <w:r w:rsidRPr="009E6312">
              <w:rPr>
                <w:b/>
              </w:rPr>
              <w:t>ANZSCO Code</w:t>
            </w:r>
          </w:p>
        </w:tc>
        <w:tc>
          <w:tcPr>
            <w:tcW w:w="6530" w:type="dxa"/>
          </w:tcPr>
          <w:p w14:paraId="2589C033" w14:textId="5AAF4E43" w:rsidR="001123F9" w:rsidRPr="00533B51" w:rsidRDefault="00533B51" w:rsidP="001123F9">
            <w:pPr>
              <w:pStyle w:val="TableTextWhite"/>
              <w:rPr>
                <w:color w:val="FFFFFF" w:themeColor="background1"/>
              </w:rPr>
            </w:pPr>
            <w:bookmarkStart w:id="5" w:name="ANZSCO"/>
            <w:bookmarkEnd w:id="5"/>
            <w:r w:rsidRPr="00533B51">
              <w:rPr>
                <w:color w:val="FFFFFF" w:themeColor="background1"/>
              </w:rPr>
              <w:t>511112</w:t>
            </w:r>
          </w:p>
        </w:tc>
      </w:tr>
      <w:tr w:rsidR="001123F9" w:rsidRPr="00C978B9" w14:paraId="5306BA04" w14:textId="77777777" w:rsidTr="00533B51">
        <w:tc>
          <w:tcPr>
            <w:tcW w:w="4026" w:type="dxa"/>
            <w:tcBorders>
              <w:top w:val="nil"/>
            </w:tcBorders>
            <w:vAlign w:val="center"/>
          </w:tcPr>
          <w:p w14:paraId="6334C6DA" w14:textId="77777777" w:rsidR="001123F9" w:rsidRPr="009E6312" w:rsidRDefault="001123F9" w:rsidP="001123F9">
            <w:pPr>
              <w:pStyle w:val="TableTextWhite"/>
              <w:rPr>
                <w:b/>
              </w:rPr>
            </w:pPr>
            <w:r w:rsidRPr="009E6312">
              <w:rPr>
                <w:b/>
              </w:rPr>
              <w:t>Role Number</w:t>
            </w:r>
          </w:p>
        </w:tc>
        <w:tc>
          <w:tcPr>
            <w:tcW w:w="6530" w:type="dxa"/>
          </w:tcPr>
          <w:p w14:paraId="7ABD80E5" w14:textId="00A68B0D" w:rsidR="001123F9" w:rsidRPr="00533B51" w:rsidRDefault="00271C38" w:rsidP="001123F9">
            <w:pPr>
              <w:pStyle w:val="TableTextWhite"/>
              <w:rPr>
                <w:color w:val="FFFFFF" w:themeColor="background1"/>
              </w:rPr>
            </w:pPr>
            <w:bookmarkStart w:id="6" w:name="RoleNum"/>
            <w:bookmarkEnd w:id="6"/>
            <w:r>
              <w:rPr>
                <w:color w:val="FFFFFF" w:themeColor="background1"/>
              </w:rPr>
              <w:t>41892</w:t>
            </w:r>
          </w:p>
        </w:tc>
      </w:tr>
      <w:tr w:rsidR="001123F9" w:rsidRPr="00C978B9" w14:paraId="0469E534" w14:textId="77777777" w:rsidTr="00533B51">
        <w:tc>
          <w:tcPr>
            <w:tcW w:w="4026" w:type="dxa"/>
            <w:tcBorders>
              <w:bottom w:val="single" w:sz="8" w:space="0" w:color="FFFFFF" w:themeColor="background1"/>
            </w:tcBorders>
            <w:vAlign w:val="center"/>
          </w:tcPr>
          <w:p w14:paraId="441B09CA" w14:textId="77777777" w:rsidR="001123F9" w:rsidRPr="009E6312" w:rsidRDefault="001123F9" w:rsidP="001123F9">
            <w:pPr>
              <w:pStyle w:val="TableTextWhite"/>
              <w:rPr>
                <w:b/>
                <w:color w:val="000000"/>
                <w:sz w:val="24"/>
                <w:szCs w:val="24"/>
              </w:rPr>
            </w:pPr>
            <w:r w:rsidRPr="009E6312">
              <w:rPr>
                <w:b/>
              </w:rPr>
              <w:t>PCAT Code</w:t>
            </w:r>
          </w:p>
        </w:tc>
        <w:tc>
          <w:tcPr>
            <w:tcW w:w="6530" w:type="dxa"/>
          </w:tcPr>
          <w:p w14:paraId="5C535828" w14:textId="60FC2DF5" w:rsidR="001123F9" w:rsidRPr="00533B51" w:rsidRDefault="00533B51" w:rsidP="001123F9">
            <w:pPr>
              <w:pStyle w:val="TableTextWhite"/>
              <w:rPr>
                <w:color w:val="FFFFFF" w:themeColor="background1"/>
              </w:rPr>
            </w:pPr>
            <w:bookmarkStart w:id="7" w:name="PCAT"/>
            <w:bookmarkEnd w:id="7"/>
            <w:r w:rsidRPr="00533B51">
              <w:rPr>
                <w:color w:val="FFFFFF" w:themeColor="background1"/>
              </w:rPr>
              <w:t>1119192</w:t>
            </w:r>
          </w:p>
        </w:tc>
      </w:tr>
      <w:tr w:rsidR="002F56EF" w:rsidRPr="00C978B9" w14:paraId="5E349DE6" w14:textId="77777777" w:rsidTr="00533B51">
        <w:tc>
          <w:tcPr>
            <w:tcW w:w="4026" w:type="dxa"/>
            <w:tcBorders>
              <w:top w:val="single" w:sz="8" w:space="0" w:color="FFFFFF" w:themeColor="background1"/>
              <w:bottom w:val="nil"/>
            </w:tcBorders>
            <w:vAlign w:val="center"/>
          </w:tcPr>
          <w:p w14:paraId="6D8ABA3A" w14:textId="77777777" w:rsidR="002F56EF" w:rsidRPr="0070390D" w:rsidRDefault="002F56EF" w:rsidP="002F56EF">
            <w:pPr>
              <w:pStyle w:val="TableTextWhite"/>
              <w:rPr>
                <w:b/>
                <w:color w:val="000000"/>
                <w:sz w:val="24"/>
                <w:szCs w:val="24"/>
              </w:rPr>
            </w:pPr>
            <w:r w:rsidRPr="00DC3A26">
              <w:rPr>
                <w:b/>
              </w:rPr>
              <w:t>Date of Approval</w:t>
            </w:r>
          </w:p>
        </w:tc>
        <w:tc>
          <w:tcPr>
            <w:tcW w:w="6530" w:type="dxa"/>
          </w:tcPr>
          <w:p w14:paraId="7E174811" w14:textId="3B436ACA" w:rsidR="002F56EF" w:rsidRPr="007E0E10" w:rsidRDefault="00361C42" w:rsidP="00607CA0">
            <w:pPr>
              <w:pStyle w:val="TableTextWhite"/>
              <w:rPr>
                <w:color w:val="FFFFFF" w:themeColor="background1"/>
              </w:rPr>
            </w:pPr>
            <w:bookmarkStart w:id="8" w:name="Date"/>
            <w:bookmarkEnd w:id="8"/>
            <w:r>
              <w:rPr>
                <w:color w:val="FF0000"/>
              </w:rPr>
              <w:t>September</w:t>
            </w:r>
            <w:r w:rsidR="00607CA0" w:rsidRPr="00213EE0">
              <w:rPr>
                <w:color w:val="FF0000"/>
              </w:rPr>
              <w:t xml:space="preserve"> 202</w:t>
            </w:r>
            <w:r w:rsidR="009232D9">
              <w:rPr>
                <w:color w:val="FF0000"/>
              </w:rPr>
              <w:t>3</w:t>
            </w:r>
            <w:r w:rsidR="00607CA0" w:rsidRPr="00213EE0">
              <w:rPr>
                <w:color w:val="FF0000"/>
              </w:rPr>
              <w:t xml:space="preserve"> </w:t>
            </w:r>
            <w:r w:rsidR="00576FEA" w:rsidRPr="00DC3A26">
              <w:rPr>
                <w:color w:val="FFFFFF" w:themeColor="background1"/>
              </w:rPr>
              <w:t>(</w:t>
            </w:r>
            <w:r w:rsidR="006D667C" w:rsidRPr="007E0E10">
              <w:rPr>
                <w:color w:val="FFFFFF" w:themeColor="background1"/>
              </w:rPr>
              <w:t>previous May 2022</w:t>
            </w:r>
            <w:r w:rsidR="00576FEA" w:rsidRPr="007E0E10">
              <w:rPr>
                <w:color w:val="FFFFFF" w:themeColor="background1"/>
              </w:rPr>
              <w:t>)</w:t>
            </w:r>
          </w:p>
        </w:tc>
      </w:tr>
      <w:tr w:rsidR="002F56EF" w:rsidRPr="00C978B9" w14:paraId="22EBF68F" w14:textId="77777777" w:rsidTr="00533B51">
        <w:tc>
          <w:tcPr>
            <w:tcW w:w="4026" w:type="dxa"/>
            <w:tcBorders>
              <w:top w:val="nil"/>
            </w:tcBorders>
            <w:vAlign w:val="center"/>
          </w:tcPr>
          <w:p w14:paraId="239A65C9" w14:textId="77777777" w:rsidR="002F56EF" w:rsidRPr="003823EC" w:rsidRDefault="002F56EF" w:rsidP="002F56EF">
            <w:pPr>
              <w:pStyle w:val="TableTextWhite"/>
              <w:rPr>
                <w:b/>
                <w:color w:val="FFFFFF" w:themeColor="background1"/>
                <w:sz w:val="24"/>
                <w:szCs w:val="24"/>
              </w:rPr>
            </w:pPr>
            <w:r w:rsidRPr="003823EC">
              <w:rPr>
                <w:b/>
                <w:color w:val="FFFFFF" w:themeColor="background1"/>
              </w:rPr>
              <w:t>Agency Website</w:t>
            </w:r>
          </w:p>
        </w:tc>
        <w:tc>
          <w:tcPr>
            <w:tcW w:w="6530" w:type="dxa"/>
          </w:tcPr>
          <w:p w14:paraId="753F92B4" w14:textId="6322A029" w:rsidR="002F56EF" w:rsidRPr="00533B51" w:rsidRDefault="00533B51" w:rsidP="002F56EF">
            <w:pPr>
              <w:pStyle w:val="TableTextWhite"/>
              <w:rPr>
                <w:color w:val="FFFFFF" w:themeColor="background1"/>
              </w:rPr>
            </w:pPr>
            <w:bookmarkStart w:id="9" w:name="AgencyURL"/>
            <w:bookmarkEnd w:id="9"/>
            <w:r w:rsidRPr="00533B51">
              <w:rPr>
                <w:color w:val="FFFFFF" w:themeColor="background1"/>
              </w:rPr>
              <w:t>www.dpie.nsw.gov.au</w:t>
            </w:r>
          </w:p>
        </w:tc>
      </w:tr>
    </w:tbl>
    <w:p w14:paraId="515E8678" w14:textId="77777777" w:rsidR="002F56EF" w:rsidRPr="00614552" w:rsidRDefault="002F56EF" w:rsidP="002F56EF">
      <w:pPr>
        <w:tabs>
          <w:tab w:val="left" w:pos="2925"/>
        </w:tabs>
        <w:spacing w:before="240"/>
        <w:rPr>
          <w:rStyle w:val="Heading1Char"/>
        </w:rPr>
      </w:pPr>
      <w:bookmarkStart w:id="10" w:name="DeptAgency2"/>
      <w:bookmarkEnd w:id="10"/>
      <w:r w:rsidRPr="00614552">
        <w:rPr>
          <w:rStyle w:val="Heading1Char"/>
        </w:rPr>
        <w:t>Agency overview</w:t>
      </w:r>
    </w:p>
    <w:p w14:paraId="5573DC58" w14:textId="3C74EA8F" w:rsidR="00533B51" w:rsidRDefault="008F18EF" w:rsidP="00F20840">
      <w:pPr>
        <w:spacing w:after="0" w:line="240" w:lineRule="auto"/>
        <w:rPr>
          <w:rFonts w:cs="Arial"/>
        </w:rPr>
      </w:pPr>
      <w:r>
        <w:t xml:space="preserve">The </w:t>
      </w:r>
      <w:r w:rsidRPr="008F18EF">
        <w:t xml:space="preserve">Department of Planning and Environment </w:t>
      </w:r>
      <w:r w:rsidR="008F3E39">
        <w:t>(DPE)</w:t>
      </w:r>
      <w:r w:rsidR="00533B51">
        <w:t xml:space="preserve"> vision is to create thriving environments, communities and economies for the people of New South Wales. We </w:t>
      </w:r>
      <w:r w:rsidR="00533B51" w:rsidDel="0070390D">
        <w:t>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58D8EC37" w14:textId="77777777" w:rsidR="00533B51" w:rsidRDefault="00533B51" w:rsidP="00533B51">
      <w:pPr>
        <w:spacing w:after="0" w:line="240" w:lineRule="auto"/>
        <w:rPr>
          <w:rFonts w:cs="Arial"/>
        </w:rPr>
      </w:pPr>
    </w:p>
    <w:p w14:paraId="12E36D66" w14:textId="4ADAB92E" w:rsidR="00533B51" w:rsidRDefault="00533B51" w:rsidP="00533B51">
      <w:pPr>
        <w:spacing w:after="0" w:line="240" w:lineRule="auto"/>
        <w:rPr>
          <w:rFonts w:cs="Arial"/>
        </w:rPr>
      </w:pPr>
      <w:r>
        <w:rPr>
          <w:rFonts w:cs="Arial"/>
        </w:rPr>
        <w:t xml:space="preserve">The Hunter and Central Coast Development Corporation (HCCDC) is a State Government agency within the Department of Planning &amp; Environment. </w:t>
      </w:r>
      <w:r w:rsidRPr="00B57946">
        <w:rPr>
          <w:rFonts w:cs="Arial"/>
        </w:rPr>
        <w:t>It is responsible for the planning and delivery of economic and urban development in the Hunter and Central Coast regions. We work in collaboration with NSW Government agencies, councils and key stakeholders to best deliver outcomes that benefit and enhance our local communities.</w:t>
      </w:r>
    </w:p>
    <w:p w14:paraId="69B41334" w14:textId="77777777" w:rsidR="00DA7DDF" w:rsidRDefault="00DA7DDF" w:rsidP="00533B51">
      <w:pPr>
        <w:spacing w:after="0" w:line="240" w:lineRule="auto"/>
        <w:rPr>
          <w:rFonts w:cs="Arial"/>
        </w:rPr>
      </w:pPr>
    </w:p>
    <w:p w14:paraId="58EB5BC2" w14:textId="12D2C2E7" w:rsidR="00A2192A" w:rsidRDefault="00A2192A" w:rsidP="00A2192A">
      <w:pPr>
        <w:spacing w:after="0" w:line="240" w:lineRule="auto"/>
        <w:rPr>
          <w:rFonts w:cs="Arial"/>
        </w:rPr>
      </w:pPr>
      <w:r w:rsidRPr="00784B97">
        <w:rPr>
          <w:rFonts w:cs="Arial"/>
        </w:rPr>
        <w:t xml:space="preserve">HCCDC plans and delivers the renewal and rehabilitation of complex urban transformation projects for the NSW Government to create more </w:t>
      </w:r>
      <w:r w:rsidR="006E27C8">
        <w:rPr>
          <w:rFonts w:cs="Arial"/>
        </w:rPr>
        <w:t>housing</w:t>
      </w:r>
      <w:r w:rsidRPr="00784B97">
        <w:rPr>
          <w:rFonts w:cs="Arial"/>
        </w:rPr>
        <w:t xml:space="preserve">, more </w:t>
      </w:r>
      <w:r w:rsidR="006E27C8">
        <w:rPr>
          <w:rFonts w:cs="Arial"/>
        </w:rPr>
        <w:t>jobs</w:t>
      </w:r>
      <w:r w:rsidR="00AC0388">
        <w:rPr>
          <w:rFonts w:cs="Arial"/>
        </w:rPr>
        <w:t xml:space="preserve"> and</w:t>
      </w:r>
      <w:r w:rsidRPr="00784B97">
        <w:rPr>
          <w:rFonts w:cs="Arial"/>
        </w:rPr>
        <w:t xml:space="preserve"> </w:t>
      </w:r>
      <w:r w:rsidR="006E27C8">
        <w:rPr>
          <w:rFonts w:cs="Arial"/>
        </w:rPr>
        <w:t>better community outcomes</w:t>
      </w:r>
      <w:r w:rsidRPr="00784B97">
        <w:rPr>
          <w:rFonts w:cs="Arial"/>
        </w:rPr>
        <w:t>.</w:t>
      </w:r>
      <w:r>
        <w:rPr>
          <w:rFonts w:cs="Arial"/>
        </w:rPr>
        <w:t xml:space="preserve"> This includes urban renewal projects in Newcastle, delivering significant public parks in Honeysuckle and Gosford, managing the Mount Penang Parklands on the Central Coast, and facilitating </w:t>
      </w:r>
      <w:r w:rsidR="000A121E">
        <w:rPr>
          <w:rFonts w:cs="Arial"/>
        </w:rPr>
        <w:t xml:space="preserve">development </w:t>
      </w:r>
      <w:r>
        <w:rPr>
          <w:rFonts w:cs="Arial"/>
        </w:rPr>
        <w:t>outcomes for land holdings at Cockle Creek and West Wallsend.</w:t>
      </w:r>
    </w:p>
    <w:p w14:paraId="3D755C9E" w14:textId="77777777" w:rsidR="002D75E8" w:rsidRDefault="002D75E8" w:rsidP="00A2192A">
      <w:pPr>
        <w:spacing w:after="0" w:line="240" w:lineRule="auto"/>
        <w:rPr>
          <w:rFonts w:cs="Arial"/>
        </w:rPr>
      </w:pPr>
    </w:p>
    <w:p w14:paraId="7ED6BA80" w14:textId="04CE4BF4" w:rsidR="002D75E8" w:rsidRDefault="00A16262" w:rsidP="002D75E8">
      <w:pPr>
        <w:spacing w:after="0" w:line="240" w:lineRule="auto"/>
        <w:rPr>
          <w:rFonts w:cs="Arial"/>
        </w:rPr>
      </w:pPr>
      <w:r>
        <w:rPr>
          <w:rFonts w:cs="Arial"/>
        </w:rPr>
        <w:t>HCCDC</w:t>
      </w:r>
      <w:r w:rsidR="002C57D0">
        <w:rPr>
          <w:rFonts w:cs="Arial"/>
        </w:rPr>
        <w:t xml:space="preserve">’s </w:t>
      </w:r>
      <w:r w:rsidR="00CE066B">
        <w:rPr>
          <w:rFonts w:cs="Arial"/>
        </w:rPr>
        <w:t xml:space="preserve">work </w:t>
      </w:r>
      <w:r w:rsidR="002D75E8">
        <w:rPr>
          <w:rFonts w:cs="Arial"/>
        </w:rPr>
        <w:t xml:space="preserve">culture fosters </w:t>
      </w:r>
      <w:r w:rsidR="002D75E8" w:rsidRPr="007160BF">
        <w:rPr>
          <w:rFonts w:cs="Arial"/>
        </w:rPr>
        <w:t>an enjoyable team environment where people grow, work and achieve together.</w:t>
      </w:r>
      <w:r>
        <w:rPr>
          <w:rFonts w:cs="Arial"/>
        </w:rPr>
        <w:t xml:space="preserve"> We have shared </w:t>
      </w:r>
      <w:r w:rsidR="005A41A4">
        <w:rPr>
          <w:rFonts w:cs="Arial"/>
        </w:rPr>
        <w:t>behaviours of Collaborative, Enthusiastic, Supportive and Positive.</w:t>
      </w:r>
    </w:p>
    <w:p w14:paraId="6B2BD736" w14:textId="77777777" w:rsidR="002D75E8" w:rsidRDefault="002D75E8" w:rsidP="00A2192A">
      <w:pPr>
        <w:spacing w:after="0" w:line="240" w:lineRule="auto"/>
        <w:rPr>
          <w:rFonts w:cs="Arial"/>
        </w:rPr>
      </w:pPr>
    </w:p>
    <w:p w14:paraId="26D59869" w14:textId="77777777" w:rsidR="00057CB3" w:rsidRDefault="00057CB3" w:rsidP="003823EC">
      <w:pPr>
        <w:pStyle w:val="Heading1"/>
        <w:spacing w:before="240"/>
      </w:pPr>
      <w:r w:rsidRPr="00784B97">
        <w:t>Primary</w:t>
      </w:r>
      <w:r w:rsidRPr="002F13A0">
        <w:t xml:space="preserve"> purpose of the role</w:t>
      </w:r>
    </w:p>
    <w:p w14:paraId="6E55C3A0" w14:textId="3A8BE0AD" w:rsidR="00784B97" w:rsidRDefault="00533B51" w:rsidP="00860EC8">
      <w:pPr>
        <w:spacing w:after="0" w:line="240" w:lineRule="auto"/>
        <w:rPr>
          <w:rFonts w:cs="Arial"/>
        </w:rPr>
      </w:pPr>
      <w:bookmarkStart w:id="11" w:name="Purpose"/>
      <w:bookmarkEnd w:id="11"/>
      <w:r>
        <w:rPr>
          <w:rFonts w:cs="Arial"/>
        </w:rPr>
        <w:t>T</w:t>
      </w:r>
      <w:r w:rsidR="00784B97" w:rsidRPr="00784B97">
        <w:rPr>
          <w:rFonts w:cs="Arial"/>
        </w:rPr>
        <w:t xml:space="preserve">he </w:t>
      </w:r>
      <w:r w:rsidR="00784B97">
        <w:rPr>
          <w:rFonts w:cs="Arial"/>
        </w:rPr>
        <w:t>Senior Development Manager</w:t>
      </w:r>
      <w:r w:rsidR="00784B97" w:rsidRPr="00784B97">
        <w:rPr>
          <w:rFonts w:cs="Arial"/>
        </w:rPr>
        <w:t xml:space="preserve"> </w:t>
      </w:r>
      <w:r>
        <w:rPr>
          <w:rFonts w:cs="Arial"/>
        </w:rPr>
        <w:t xml:space="preserve">manages </w:t>
      </w:r>
      <w:r w:rsidR="00784B97" w:rsidRPr="00784B97">
        <w:rPr>
          <w:rFonts w:cs="Arial"/>
        </w:rPr>
        <w:t xml:space="preserve">development projects with accountability and responsibility for </w:t>
      </w:r>
      <w:bookmarkStart w:id="12" w:name="_Hlk38900390"/>
      <w:r w:rsidR="00784B97" w:rsidRPr="00784B97">
        <w:rPr>
          <w:rFonts w:cs="Arial"/>
        </w:rPr>
        <w:t xml:space="preserve">the planning, </w:t>
      </w:r>
      <w:r w:rsidR="00C94838">
        <w:rPr>
          <w:rFonts w:cs="Arial"/>
        </w:rPr>
        <w:t xml:space="preserve">approvals, </w:t>
      </w:r>
      <w:r w:rsidR="00784B97">
        <w:rPr>
          <w:rFonts w:cs="Arial"/>
        </w:rPr>
        <w:t>delivery</w:t>
      </w:r>
      <w:r w:rsidR="00784B97" w:rsidRPr="00784B97">
        <w:rPr>
          <w:rFonts w:cs="Arial"/>
        </w:rPr>
        <w:t>, financial control</w:t>
      </w:r>
      <w:r w:rsidR="006E65F7">
        <w:rPr>
          <w:rFonts w:cs="Arial"/>
        </w:rPr>
        <w:t xml:space="preserve"> and disposal </w:t>
      </w:r>
      <w:r w:rsidR="00784B97" w:rsidRPr="00784B97">
        <w:rPr>
          <w:rFonts w:cs="Arial"/>
        </w:rPr>
        <w:t>of these projects</w:t>
      </w:r>
      <w:r w:rsidR="00784B97">
        <w:rPr>
          <w:rFonts w:cs="Arial"/>
        </w:rPr>
        <w:t>.</w:t>
      </w:r>
      <w:r w:rsidR="00C94838">
        <w:rPr>
          <w:rFonts w:cs="Arial"/>
        </w:rPr>
        <w:t xml:space="preserve"> </w:t>
      </w:r>
      <w:bookmarkEnd w:id="12"/>
      <w:r w:rsidR="00C94838" w:rsidRPr="008E4498">
        <w:rPr>
          <w:rFonts w:cs="Arial"/>
        </w:rPr>
        <w:t>Critical to the success of this role is identifying and building relationships with targeted community, public and private stakeholders to forge, secure and deliver partnership opportunities.</w:t>
      </w:r>
      <w:r>
        <w:rPr>
          <w:rFonts w:cs="Arial"/>
        </w:rPr>
        <w:t xml:space="preserve"> </w:t>
      </w:r>
      <w:r w:rsidR="00784B97" w:rsidRPr="00784B97">
        <w:rPr>
          <w:rFonts w:cs="Arial"/>
        </w:rPr>
        <w:t>Th</w:t>
      </w:r>
      <w:r>
        <w:rPr>
          <w:rFonts w:cs="Arial"/>
        </w:rPr>
        <w:t>e role takes an i</w:t>
      </w:r>
      <w:r w:rsidR="00784B97" w:rsidRPr="00784B97">
        <w:rPr>
          <w:rFonts w:cs="Arial"/>
        </w:rPr>
        <w:t xml:space="preserve">nnovative and adaptable approach </w:t>
      </w:r>
      <w:r>
        <w:rPr>
          <w:rFonts w:cs="Arial"/>
        </w:rPr>
        <w:t xml:space="preserve">to </w:t>
      </w:r>
      <w:r w:rsidR="00784B97" w:rsidRPr="00784B97">
        <w:rPr>
          <w:rFonts w:cs="Arial"/>
        </w:rPr>
        <w:lastRenderedPageBreak/>
        <w:t xml:space="preserve">support the achievement of </w:t>
      </w:r>
      <w:r w:rsidR="00784B97">
        <w:rPr>
          <w:rFonts w:cs="Arial"/>
        </w:rPr>
        <w:t>HCCDC</w:t>
      </w:r>
      <w:r w:rsidR="00784B97" w:rsidRPr="00784B97">
        <w:rPr>
          <w:rFonts w:cs="Arial"/>
        </w:rPr>
        <w:t xml:space="preserve">’s vision to </w:t>
      </w:r>
      <w:r w:rsidR="00944136" w:rsidRPr="00944136">
        <w:rPr>
          <w:rFonts w:cs="Arial"/>
        </w:rPr>
        <w:t xml:space="preserve">be the leading go-to agency for unlocking and delivering regionally significant </w:t>
      </w:r>
      <w:proofErr w:type="gramStart"/>
      <w:r w:rsidR="00944136" w:rsidRPr="00944136">
        <w:rPr>
          <w:rFonts w:cs="Arial"/>
        </w:rPr>
        <w:t>projects</w:t>
      </w:r>
      <w:r w:rsidR="00944136" w:rsidRPr="00944136" w:rsidDel="00944136">
        <w:rPr>
          <w:rFonts w:cs="Arial"/>
        </w:rPr>
        <w:t xml:space="preserve"> </w:t>
      </w:r>
      <w:r w:rsidR="00784B97" w:rsidRPr="00784B97">
        <w:rPr>
          <w:rFonts w:cs="Arial"/>
        </w:rPr>
        <w:t>.</w:t>
      </w:r>
      <w:proofErr w:type="gramEnd"/>
    </w:p>
    <w:p w14:paraId="6B3EC410" w14:textId="172C6F34" w:rsidR="00057CB3" w:rsidRPr="003823EC" w:rsidRDefault="00057CB3" w:rsidP="003823EC">
      <w:pPr>
        <w:pStyle w:val="Heading1"/>
        <w:spacing w:before="240"/>
      </w:pPr>
      <w:r w:rsidRPr="003823EC">
        <w:t xml:space="preserve">Key </w:t>
      </w:r>
      <w:r w:rsidR="00043B92" w:rsidRPr="003823EC">
        <w:t>a</w:t>
      </w:r>
      <w:r w:rsidRPr="003823EC">
        <w:t>ccountabilities</w:t>
      </w:r>
    </w:p>
    <w:p w14:paraId="61F48C3A" w14:textId="23370EA3" w:rsidR="00FF0FE5" w:rsidRDefault="00FF0FE5" w:rsidP="00533B51">
      <w:pPr>
        <w:pStyle w:val="TableBullet"/>
        <w:numPr>
          <w:ilvl w:val="0"/>
          <w:numId w:val="44"/>
        </w:numPr>
        <w:spacing w:line="240" w:lineRule="auto"/>
        <w:ind w:left="714" w:hanging="357"/>
      </w:pPr>
      <w:r>
        <w:t xml:space="preserve">Lead </w:t>
      </w:r>
      <w:r w:rsidR="00385222">
        <w:t xml:space="preserve">and deliver </w:t>
      </w:r>
      <w:r>
        <w:t>development projects</w:t>
      </w:r>
      <w:r w:rsidR="00F849A9">
        <w:t xml:space="preserve"> </w:t>
      </w:r>
      <w:r>
        <w:t xml:space="preserve">ensuring </w:t>
      </w:r>
      <w:r w:rsidR="009E5A8F">
        <w:t xml:space="preserve">effective </w:t>
      </w:r>
      <w:r w:rsidRPr="00AB54B7">
        <w:t>planning,</w:t>
      </w:r>
      <w:r>
        <w:t xml:space="preserve"> approvals,</w:t>
      </w:r>
      <w:r w:rsidRPr="00AB54B7">
        <w:t xml:space="preserve"> </w:t>
      </w:r>
      <w:r>
        <w:t xml:space="preserve">research, feasibility analysis, financial </w:t>
      </w:r>
      <w:r w:rsidR="00F849A9">
        <w:t>control</w:t>
      </w:r>
      <w:r>
        <w:t>, procurement,</w:t>
      </w:r>
      <w:r w:rsidR="00F849A9">
        <w:t xml:space="preserve"> delivery,</w:t>
      </w:r>
      <w:r>
        <w:t xml:space="preserve"> marketing and disposal</w:t>
      </w:r>
      <w:r w:rsidR="009E5A8F">
        <w:t xml:space="preserve">, </w:t>
      </w:r>
      <w:r>
        <w:t xml:space="preserve">to </w:t>
      </w:r>
      <w:r w:rsidR="009E5A8F">
        <w:t xml:space="preserve">meet </w:t>
      </w:r>
      <w:r>
        <w:t>H</w:t>
      </w:r>
      <w:r w:rsidR="00784B97">
        <w:t>CC</w:t>
      </w:r>
      <w:r>
        <w:t>DC objectives</w:t>
      </w:r>
      <w:r w:rsidR="00252215">
        <w:t>.</w:t>
      </w:r>
    </w:p>
    <w:p w14:paraId="7DB474FE" w14:textId="77777777" w:rsidR="00F25982" w:rsidRPr="00533B51" w:rsidRDefault="00F25982" w:rsidP="00533B51">
      <w:pPr>
        <w:pStyle w:val="ListParagraph"/>
        <w:numPr>
          <w:ilvl w:val="0"/>
          <w:numId w:val="44"/>
        </w:numPr>
        <w:spacing w:after="0" w:line="240" w:lineRule="auto"/>
        <w:ind w:left="714" w:hanging="357"/>
        <w:rPr>
          <w:rFonts w:cs="Arial"/>
          <w:szCs w:val="22"/>
        </w:rPr>
      </w:pPr>
      <w:r w:rsidRPr="00533B51">
        <w:rPr>
          <w:rFonts w:cs="Arial"/>
          <w:szCs w:val="22"/>
        </w:rPr>
        <w:t>Drive project outcomes by ensuring all projects are scoped, planned, costed, resourced, managed</w:t>
      </w:r>
      <w:r w:rsidR="00662834" w:rsidRPr="00533B51">
        <w:rPr>
          <w:rFonts w:cs="Arial"/>
          <w:szCs w:val="22"/>
        </w:rPr>
        <w:t xml:space="preserve"> </w:t>
      </w:r>
      <w:r w:rsidRPr="00533B51">
        <w:rPr>
          <w:rFonts w:cs="Arial"/>
          <w:szCs w:val="22"/>
        </w:rPr>
        <w:t>and aligned with program objectives</w:t>
      </w:r>
      <w:r w:rsidR="00385222" w:rsidRPr="00533B51">
        <w:rPr>
          <w:rFonts w:cs="Arial"/>
          <w:szCs w:val="22"/>
        </w:rPr>
        <w:t>,</w:t>
      </w:r>
      <w:r w:rsidRPr="00533B51">
        <w:rPr>
          <w:rFonts w:cs="Arial"/>
          <w:szCs w:val="22"/>
        </w:rPr>
        <w:t xml:space="preserve"> and </w:t>
      </w:r>
      <w:r w:rsidR="00385222" w:rsidRPr="00533B51">
        <w:rPr>
          <w:rFonts w:cs="Arial"/>
          <w:szCs w:val="22"/>
        </w:rPr>
        <w:t xml:space="preserve">Government and </w:t>
      </w:r>
      <w:r w:rsidRPr="00533B51">
        <w:rPr>
          <w:rFonts w:cs="Arial"/>
          <w:szCs w:val="22"/>
        </w:rPr>
        <w:t>client needs.</w:t>
      </w:r>
    </w:p>
    <w:p w14:paraId="0EF93202" w14:textId="7DB8CA6C" w:rsidR="00F25982" w:rsidRPr="00662834" w:rsidRDefault="00385222" w:rsidP="00533B51">
      <w:pPr>
        <w:pStyle w:val="ListParagraph"/>
        <w:numPr>
          <w:ilvl w:val="0"/>
          <w:numId w:val="44"/>
        </w:numPr>
        <w:spacing w:after="0" w:line="240" w:lineRule="auto"/>
        <w:ind w:left="714" w:hanging="357"/>
      </w:pPr>
      <w:r>
        <w:t>Take a l</w:t>
      </w:r>
      <w:r w:rsidR="00F25982">
        <w:t xml:space="preserve">ead </w:t>
      </w:r>
      <w:r>
        <w:t xml:space="preserve">on </w:t>
      </w:r>
      <w:r w:rsidR="00F25982">
        <w:t>all</w:t>
      </w:r>
      <w:r w:rsidR="00F25982" w:rsidRPr="00AB54B7">
        <w:t xml:space="preserve"> project management activities</w:t>
      </w:r>
      <w:r w:rsidR="00F25982">
        <w:t xml:space="preserve"> to ensure </w:t>
      </w:r>
      <w:r w:rsidR="00F25982" w:rsidRPr="00F25982">
        <w:t>cost, time and quality</w:t>
      </w:r>
      <w:r w:rsidR="00F25982">
        <w:t xml:space="preserve"> control</w:t>
      </w:r>
      <w:r w:rsidR="00F25982" w:rsidRPr="00AB54B7">
        <w:t xml:space="preserve">, including risk </w:t>
      </w:r>
      <w:r w:rsidR="00F25982" w:rsidRPr="00533B51">
        <w:rPr>
          <w:rFonts w:cs="Arial"/>
          <w:szCs w:val="22"/>
        </w:rPr>
        <w:t>assessment and mitigation, WHS, environmental and quality planning, in compliance with established procedures and policy requirements.</w:t>
      </w:r>
    </w:p>
    <w:p w14:paraId="0900226A" w14:textId="353A9110" w:rsidR="00F25982" w:rsidRPr="00662834" w:rsidRDefault="00385222" w:rsidP="00533B51">
      <w:pPr>
        <w:pStyle w:val="ListParagraph"/>
        <w:numPr>
          <w:ilvl w:val="0"/>
          <w:numId w:val="44"/>
        </w:numPr>
        <w:spacing w:after="0" w:line="240" w:lineRule="auto"/>
        <w:ind w:left="714" w:hanging="357"/>
      </w:pPr>
      <w:r w:rsidRPr="00533B51">
        <w:rPr>
          <w:rFonts w:cs="Arial"/>
          <w:szCs w:val="22"/>
        </w:rPr>
        <w:t>Establish and m</w:t>
      </w:r>
      <w:r w:rsidR="00F25982" w:rsidRPr="00533B51">
        <w:rPr>
          <w:rFonts w:cs="Arial"/>
          <w:szCs w:val="22"/>
        </w:rPr>
        <w:t>anage contracts and agreements with contractors, developers and other parties to produce an optimal outcome for HCCDC’s development interests and ensure highest standards of probity and legal protection for the Corporation.</w:t>
      </w:r>
    </w:p>
    <w:p w14:paraId="3A4F0F13" w14:textId="77777777" w:rsidR="00F25982" w:rsidRPr="00662834" w:rsidRDefault="00F25982" w:rsidP="00533B51">
      <w:pPr>
        <w:pStyle w:val="ListParagraph"/>
        <w:numPr>
          <w:ilvl w:val="0"/>
          <w:numId w:val="44"/>
        </w:numPr>
        <w:spacing w:after="0" w:line="240" w:lineRule="auto"/>
        <w:ind w:left="714" w:hanging="357"/>
      </w:pPr>
      <w:r w:rsidRPr="00533B51">
        <w:rPr>
          <w:rFonts w:cs="Arial"/>
          <w:szCs w:val="22"/>
        </w:rPr>
        <w:t>Prepare a range of strategic and operational documentation, including business plans, briefing papers, discussion papers,</w:t>
      </w:r>
      <w:r w:rsidR="00385222" w:rsidRPr="00533B51">
        <w:rPr>
          <w:rFonts w:cs="Arial"/>
          <w:szCs w:val="22"/>
        </w:rPr>
        <w:t xml:space="preserve"> project plans,</w:t>
      </w:r>
      <w:r w:rsidRPr="00533B51">
        <w:rPr>
          <w:rFonts w:cs="Arial"/>
          <w:szCs w:val="22"/>
        </w:rPr>
        <w:t xml:space="preserve"> reports</w:t>
      </w:r>
      <w:r w:rsidR="00307DCE" w:rsidRPr="00533B51">
        <w:rPr>
          <w:rFonts w:cs="Arial"/>
          <w:szCs w:val="22"/>
        </w:rPr>
        <w:t xml:space="preserve"> and </w:t>
      </w:r>
      <w:r w:rsidRPr="00533B51">
        <w:rPr>
          <w:rFonts w:cs="Arial"/>
          <w:szCs w:val="22"/>
        </w:rPr>
        <w:t>submissions.</w:t>
      </w:r>
    </w:p>
    <w:p w14:paraId="06021988" w14:textId="77777777" w:rsidR="00FF0FE5" w:rsidRPr="001C6F2E" w:rsidRDefault="00FF0FE5" w:rsidP="00533B51">
      <w:pPr>
        <w:pStyle w:val="ListParagraph"/>
        <w:numPr>
          <w:ilvl w:val="0"/>
          <w:numId w:val="44"/>
        </w:numPr>
        <w:spacing w:after="0" w:line="240" w:lineRule="auto"/>
        <w:ind w:left="714" w:hanging="357"/>
      </w:pPr>
      <w:r w:rsidRPr="00533B51">
        <w:rPr>
          <w:rFonts w:cs="Arial"/>
          <w:szCs w:val="22"/>
        </w:rPr>
        <w:t>Manage strategic relationships with key stakeholders, including authorities, private sector organisations and community groups to facilitate cooperation and achievement of H</w:t>
      </w:r>
      <w:r w:rsidR="00641291" w:rsidRPr="00533B51">
        <w:rPr>
          <w:rFonts w:cs="Arial"/>
          <w:szCs w:val="22"/>
        </w:rPr>
        <w:t>CC</w:t>
      </w:r>
      <w:r w:rsidRPr="00533B51">
        <w:rPr>
          <w:rFonts w:cs="Arial"/>
          <w:szCs w:val="22"/>
        </w:rPr>
        <w:t>DC objectives.</w:t>
      </w:r>
    </w:p>
    <w:p w14:paraId="199A30C7" w14:textId="2E9EDA37" w:rsidR="0005450B" w:rsidRPr="00607CA0" w:rsidRDefault="0005450B" w:rsidP="00533B51">
      <w:pPr>
        <w:pStyle w:val="ListParagraph"/>
        <w:numPr>
          <w:ilvl w:val="0"/>
          <w:numId w:val="44"/>
        </w:numPr>
        <w:spacing w:after="0" w:line="240" w:lineRule="auto"/>
        <w:ind w:left="714" w:hanging="357"/>
      </w:pPr>
      <w:r w:rsidRPr="00533B51">
        <w:rPr>
          <w:rFonts w:cs="Arial"/>
          <w:szCs w:val="22"/>
        </w:rPr>
        <w:t>Collaborate</w:t>
      </w:r>
      <w:r w:rsidR="003E27EF" w:rsidRPr="00533B51">
        <w:rPr>
          <w:rFonts w:cs="Arial"/>
          <w:szCs w:val="22"/>
        </w:rPr>
        <w:t>, establish</w:t>
      </w:r>
      <w:r w:rsidRPr="00533B51">
        <w:rPr>
          <w:rFonts w:cs="Arial"/>
          <w:szCs w:val="22"/>
        </w:rPr>
        <w:t xml:space="preserve"> and maintain a positive</w:t>
      </w:r>
      <w:r w:rsidR="003E27EF" w:rsidRPr="00533B51">
        <w:rPr>
          <w:rFonts w:cs="Arial"/>
          <w:szCs w:val="22"/>
        </w:rPr>
        <w:t xml:space="preserve"> and high performing</w:t>
      </w:r>
      <w:r w:rsidRPr="00533B51">
        <w:rPr>
          <w:rFonts w:cs="Arial"/>
          <w:szCs w:val="22"/>
        </w:rPr>
        <w:t xml:space="preserve"> working relationship with internal team members, management and other resources.</w:t>
      </w:r>
    </w:p>
    <w:p w14:paraId="1F262A21" w14:textId="77777777" w:rsidR="00607CA0" w:rsidRPr="0005450B" w:rsidRDefault="00607CA0" w:rsidP="00607CA0">
      <w:pPr>
        <w:spacing w:after="0" w:line="240" w:lineRule="auto"/>
      </w:pPr>
    </w:p>
    <w:p w14:paraId="0BB75743" w14:textId="77777777" w:rsidR="00057CB3" w:rsidRPr="00C978B9" w:rsidRDefault="00057CB3" w:rsidP="003823EC">
      <w:pPr>
        <w:pStyle w:val="Heading1"/>
        <w:spacing w:before="240"/>
      </w:pPr>
      <w:r w:rsidRPr="000451AE">
        <w:t>Key</w:t>
      </w:r>
      <w:r w:rsidR="00E31CD3" w:rsidRPr="000451AE">
        <w:t xml:space="preserve"> </w:t>
      </w:r>
      <w:r w:rsidR="00043B92" w:rsidRPr="000451AE">
        <w:t>c</w:t>
      </w:r>
      <w:r w:rsidRPr="000451AE">
        <w:t>hallenges</w:t>
      </w:r>
    </w:p>
    <w:p w14:paraId="139B6FAC" w14:textId="2F8D1501" w:rsidR="002B4038" w:rsidRDefault="002B4038" w:rsidP="000D71AB">
      <w:pPr>
        <w:pStyle w:val="ListParagraph"/>
        <w:numPr>
          <w:ilvl w:val="0"/>
          <w:numId w:val="44"/>
        </w:numPr>
        <w:spacing w:after="0" w:line="240" w:lineRule="auto"/>
        <w:ind w:left="714" w:hanging="357"/>
      </w:pPr>
      <w:bookmarkStart w:id="13" w:name="Challenges"/>
      <w:bookmarkEnd w:id="13"/>
      <w:r w:rsidRPr="002B4038">
        <w:t xml:space="preserve">Identifying, analysing and critically evaluating </w:t>
      </w:r>
      <w:r>
        <w:t xml:space="preserve">project options </w:t>
      </w:r>
      <w:r w:rsidRPr="002B4038">
        <w:t xml:space="preserve">and recommending </w:t>
      </w:r>
      <w:r w:rsidR="00C22F9F">
        <w:t xml:space="preserve">and implementing </w:t>
      </w:r>
      <w:r w:rsidRPr="002B4038">
        <w:t>the most suitable alternative</w:t>
      </w:r>
      <w:r>
        <w:t xml:space="preserve"> </w:t>
      </w:r>
      <w:r w:rsidR="00752542">
        <w:t>that is</w:t>
      </w:r>
      <w:r w:rsidR="00752542" w:rsidRPr="002B4038">
        <w:t xml:space="preserve"> commercially viable </w:t>
      </w:r>
      <w:r w:rsidR="00752542">
        <w:t xml:space="preserve">and meets the projects’ environmental, social and economic goals and </w:t>
      </w:r>
      <w:r w:rsidR="003823EC">
        <w:t>H</w:t>
      </w:r>
      <w:r w:rsidR="00752542">
        <w:t>CC</w:t>
      </w:r>
      <w:r w:rsidR="003823EC">
        <w:t xml:space="preserve">DC’s </w:t>
      </w:r>
      <w:r w:rsidR="00752542">
        <w:t xml:space="preserve">delivery </w:t>
      </w:r>
      <w:r w:rsidR="003823EC">
        <w:t>objectives.</w:t>
      </w:r>
    </w:p>
    <w:p w14:paraId="2632BEA0" w14:textId="77777777" w:rsidR="00426D9A" w:rsidRDefault="009A3AD7" w:rsidP="000D71AB">
      <w:pPr>
        <w:pStyle w:val="ListParagraph"/>
        <w:numPr>
          <w:ilvl w:val="0"/>
          <w:numId w:val="44"/>
        </w:numPr>
        <w:spacing w:after="0" w:line="240" w:lineRule="auto"/>
        <w:ind w:left="714" w:hanging="357"/>
      </w:pPr>
      <w:r w:rsidRPr="005D4A10">
        <w:t>A</w:t>
      </w:r>
      <w:r w:rsidR="001A581F" w:rsidRPr="005D4A10">
        <w:t>ssess</w:t>
      </w:r>
      <w:r w:rsidRPr="005D4A10">
        <w:t>ing</w:t>
      </w:r>
      <w:r w:rsidR="001A581F" w:rsidRPr="005D4A10">
        <w:t xml:space="preserve"> </w:t>
      </w:r>
      <w:r w:rsidR="008A0703">
        <w:t xml:space="preserve">the </w:t>
      </w:r>
      <w:r w:rsidR="001A581F" w:rsidRPr="005D4A10">
        <w:t>risk profile of projects, determin</w:t>
      </w:r>
      <w:r w:rsidR="008A0703">
        <w:t>ing</w:t>
      </w:r>
      <w:r w:rsidR="001A581F" w:rsidRPr="005D4A10">
        <w:t xml:space="preserve"> appropriate delivery mechanisms to achieve desire</w:t>
      </w:r>
      <w:r w:rsidRPr="005D4A10">
        <w:t>d outcomes</w:t>
      </w:r>
      <w:r w:rsidR="000E6CA8">
        <w:t xml:space="preserve"> and </w:t>
      </w:r>
      <w:r w:rsidR="00426D9A">
        <w:t>ensuring projects are efficiently coordinated</w:t>
      </w:r>
      <w:r w:rsidR="000E6CA8">
        <w:t xml:space="preserve"> while </w:t>
      </w:r>
      <w:r w:rsidR="00426D9A">
        <w:t>meet</w:t>
      </w:r>
      <w:r w:rsidR="000E6CA8">
        <w:t>ing</w:t>
      </w:r>
      <w:r w:rsidR="00426D9A">
        <w:t xml:space="preserve"> the highest possible </w:t>
      </w:r>
      <w:r w:rsidR="002B4038">
        <w:t xml:space="preserve">legal and probity </w:t>
      </w:r>
      <w:r w:rsidR="00426D9A">
        <w:t>standards</w:t>
      </w:r>
      <w:r w:rsidR="00752542">
        <w:t>.</w:t>
      </w:r>
    </w:p>
    <w:p w14:paraId="03C7CD88" w14:textId="6F3F9851" w:rsidR="00752542" w:rsidRDefault="000E6CA8" w:rsidP="000D71AB">
      <w:pPr>
        <w:pStyle w:val="ListParagraph"/>
        <w:numPr>
          <w:ilvl w:val="0"/>
          <w:numId w:val="44"/>
        </w:numPr>
        <w:spacing w:after="0" w:line="240" w:lineRule="auto"/>
        <w:ind w:left="714" w:hanging="357"/>
      </w:pPr>
      <w:r>
        <w:t xml:space="preserve">Managing </w:t>
      </w:r>
      <w:r w:rsidRPr="001A3BEC">
        <w:t>tight timeframes</w:t>
      </w:r>
      <w:r w:rsidR="00A64FAA">
        <w:t>, fixed budgets</w:t>
      </w:r>
      <w:r w:rsidRPr="001A3BEC">
        <w:t xml:space="preserve"> and </w:t>
      </w:r>
      <w:r w:rsidR="00220EE5">
        <w:t xml:space="preserve">the </w:t>
      </w:r>
      <w:r w:rsidRPr="001A3BEC">
        <w:t>competing priorities</w:t>
      </w:r>
      <w:r>
        <w:t xml:space="preserve"> </w:t>
      </w:r>
      <w:r w:rsidR="00D9788E">
        <w:t xml:space="preserve">of multiple projects </w:t>
      </w:r>
      <w:r>
        <w:t xml:space="preserve">to ensure </w:t>
      </w:r>
      <w:r w:rsidR="00752542" w:rsidRPr="001A3BEC">
        <w:t xml:space="preserve">all projects meet </w:t>
      </w:r>
      <w:r w:rsidR="00D9788E">
        <w:t xml:space="preserve">their </w:t>
      </w:r>
      <w:r>
        <w:t>time, cost and quality objectives</w:t>
      </w:r>
      <w:r w:rsidR="00C22F9F">
        <w:t>, having regard to the activities and needs of internal and external stakeholders and a changing political and operating environment</w:t>
      </w:r>
      <w:r>
        <w:t>.</w:t>
      </w:r>
    </w:p>
    <w:p w14:paraId="24AA28D5" w14:textId="77777777" w:rsidR="00607CA0" w:rsidRPr="001A3BEC" w:rsidRDefault="00607CA0" w:rsidP="00607CA0">
      <w:pPr>
        <w:spacing w:after="0" w:line="240" w:lineRule="auto"/>
      </w:pPr>
    </w:p>
    <w:p w14:paraId="4A4A60F5" w14:textId="77777777" w:rsidR="00057CB3" w:rsidRDefault="00043B92" w:rsidP="003823EC">
      <w:pPr>
        <w:pStyle w:val="Heading1"/>
        <w:spacing w:before="240"/>
      </w:pPr>
      <w:r w:rsidRPr="00986F58">
        <w:t>Key r</w:t>
      </w:r>
      <w:r w:rsidR="00057CB3" w:rsidRPr="00986F58">
        <w:t>elationships</w:t>
      </w:r>
    </w:p>
    <w:tbl>
      <w:tblPr>
        <w:tblStyle w:val="PSCPurple"/>
        <w:tblW w:w="10547" w:type="dxa"/>
        <w:tblLayout w:type="fixed"/>
        <w:tblLook w:val="04A0" w:firstRow="1" w:lastRow="0" w:firstColumn="1" w:lastColumn="0" w:noHBand="0" w:noVBand="1"/>
        <w:tblCaption w:val="PSC_Key_RelationshipsTable"/>
        <w:tblDescription w:val="PSC_Key_RelationshipsTable"/>
      </w:tblPr>
      <w:tblGrid>
        <w:gridCol w:w="3601"/>
        <w:gridCol w:w="6946"/>
      </w:tblGrid>
      <w:tr w:rsidR="000D18C1" w:rsidRPr="000D18C1" w14:paraId="0C04C035" w14:textId="77777777" w:rsidTr="00F97ED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27673C4" w14:textId="77777777" w:rsidR="000D18C1" w:rsidRPr="000D18C1" w:rsidRDefault="000D18C1" w:rsidP="00C80C39">
            <w:pPr>
              <w:pStyle w:val="TableTextWhite0"/>
              <w:rPr>
                <w:rFonts w:asciiTheme="minorHAnsi" w:hAnsiTheme="minorHAnsi" w:cstheme="minorHAnsi"/>
                <w:sz w:val="20"/>
              </w:rPr>
            </w:pPr>
            <w:r w:rsidRPr="000D18C1">
              <w:rPr>
                <w:rFonts w:asciiTheme="minorHAnsi" w:hAnsiTheme="minorHAnsi" w:cstheme="minorHAnsi"/>
                <w:sz w:val="20"/>
              </w:rPr>
              <w:t>Who</w:t>
            </w:r>
          </w:p>
        </w:tc>
        <w:tc>
          <w:tcPr>
            <w:tcW w:w="6946" w:type="dxa"/>
          </w:tcPr>
          <w:p w14:paraId="3543FB19" w14:textId="77777777" w:rsidR="000D18C1" w:rsidRPr="000D18C1" w:rsidRDefault="000D18C1" w:rsidP="00C80C39">
            <w:pPr>
              <w:pStyle w:val="TableTextWhite0"/>
              <w:rPr>
                <w:rFonts w:asciiTheme="minorHAnsi" w:hAnsiTheme="minorHAnsi" w:cstheme="minorHAnsi"/>
                <w:sz w:val="20"/>
              </w:rPr>
            </w:pPr>
            <w:r w:rsidRPr="000D18C1">
              <w:rPr>
                <w:rFonts w:asciiTheme="minorHAnsi" w:hAnsiTheme="minorHAnsi" w:cstheme="minorHAnsi"/>
                <w:sz w:val="20"/>
              </w:rPr>
              <w:t>Why</w:t>
            </w:r>
          </w:p>
        </w:tc>
      </w:tr>
      <w:tr w:rsidR="000D18C1" w:rsidRPr="000D18C1" w14:paraId="52453E53" w14:textId="77777777" w:rsidTr="00F97ED8">
        <w:trPr>
          <w:cantSplit/>
        </w:trPr>
        <w:tc>
          <w:tcPr>
            <w:tcW w:w="3601" w:type="dxa"/>
            <w:tcBorders>
              <w:top w:val="single" w:sz="8" w:space="0" w:color="auto"/>
              <w:bottom w:val="single" w:sz="8" w:space="0" w:color="auto"/>
            </w:tcBorders>
            <w:shd w:val="clear" w:color="auto" w:fill="BCBEC0"/>
          </w:tcPr>
          <w:p w14:paraId="2D4E67BA" w14:textId="77777777" w:rsidR="000D18C1" w:rsidRPr="000D18C1" w:rsidRDefault="000D18C1" w:rsidP="00C80C39">
            <w:pPr>
              <w:pStyle w:val="TableText"/>
              <w:keepNext/>
              <w:rPr>
                <w:rFonts w:asciiTheme="minorHAnsi" w:hAnsiTheme="minorHAnsi" w:cstheme="minorHAnsi"/>
                <w:b/>
              </w:rPr>
            </w:pPr>
            <w:bookmarkStart w:id="14" w:name="InternalRelationships"/>
            <w:r w:rsidRPr="000D18C1">
              <w:rPr>
                <w:rFonts w:asciiTheme="minorHAnsi" w:hAnsiTheme="minorHAnsi" w:cstheme="minorHAnsi"/>
                <w:b/>
              </w:rPr>
              <w:t>Internal</w:t>
            </w:r>
          </w:p>
        </w:tc>
        <w:tc>
          <w:tcPr>
            <w:tcW w:w="6946" w:type="dxa"/>
            <w:tcBorders>
              <w:top w:val="single" w:sz="8" w:space="0" w:color="auto"/>
              <w:bottom w:val="single" w:sz="8" w:space="0" w:color="auto"/>
            </w:tcBorders>
            <w:shd w:val="clear" w:color="auto" w:fill="BCBEC0"/>
          </w:tcPr>
          <w:p w14:paraId="33EE266F" w14:textId="77777777" w:rsidR="000D18C1" w:rsidRPr="000D18C1" w:rsidRDefault="000D18C1" w:rsidP="00C80C39">
            <w:pPr>
              <w:pStyle w:val="TableText"/>
              <w:keepNext/>
              <w:rPr>
                <w:rFonts w:asciiTheme="minorHAnsi" w:hAnsiTheme="minorHAnsi" w:cstheme="minorHAnsi"/>
                <w:b/>
              </w:rPr>
            </w:pPr>
          </w:p>
        </w:tc>
      </w:tr>
      <w:tr w:rsidR="000D18C1" w:rsidRPr="000D18C1" w14:paraId="4D672AAB" w14:textId="77777777" w:rsidTr="00F97ED8">
        <w:tc>
          <w:tcPr>
            <w:tcW w:w="3601" w:type="dxa"/>
            <w:tcBorders>
              <w:top w:val="single" w:sz="8" w:space="0" w:color="auto"/>
              <w:bottom w:val="single" w:sz="8" w:space="0" w:color="BCBEC0"/>
            </w:tcBorders>
          </w:tcPr>
          <w:p w14:paraId="4574D35D" w14:textId="77777777" w:rsidR="000D18C1" w:rsidRPr="000D18C1" w:rsidRDefault="005D4A10" w:rsidP="00B65CA7">
            <w:pPr>
              <w:pStyle w:val="TableText"/>
              <w:rPr>
                <w:rFonts w:asciiTheme="minorHAnsi" w:hAnsiTheme="minorHAnsi" w:cstheme="minorHAnsi"/>
              </w:rPr>
            </w:pPr>
            <w:r>
              <w:rPr>
                <w:rFonts w:asciiTheme="minorHAnsi" w:hAnsiTheme="minorHAnsi" w:cstheme="minorHAnsi"/>
              </w:rPr>
              <w:t>Director</w:t>
            </w:r>
          </w:p>
        </w:tc>
        <w:tc>
          <w:tcPr>
            <w:tcW w:w="6946" w:type="dxa"/>
            <w:tcBorders>
              <w:top w:val="single" w:sz="8" w:space="0" w:color="auto"/>
              <w:bottom w:val="single" w:sz="8" w:space="0" w:color="BCBEC0"/>
            </w:tcBorders>
          </w:tcPr>
          <w:p w14:paraId="2DDD6F21" w14:textId="77777777" w:rsidR="0082521F" w:rsidRPr="00195547" w:rsidRDefault="001C6F2E" w:rsidP="0082521F">
            <w:pPr>
              <w:pStyle w:val="TableBullet"/>
              <w:rPr>
                <w:sz w:val="20"/>
                <w:szCs w:val="20"/>
              </w:rPr>
            </w:pPr>
            <w:r>
              <w:rPr>
                <w:sz w:val="20"/>
                <w:szCs w:val="20"/>
              </w:rPr>
              <w:t>Receive instructions, p</w:t>
            </w:r>
            <w:r w:rsidR="0082521F" w:rsidRPr="00195547">
              <w:rPr>
                <w:sz w:val="20"/>
                <w:szCs w:val="20"/>
              </w:rPr>
              <w:t>rovide advice and recommendations to influence organisat</w:t>
            </w:r>
            <w:r w:rsidR="003823EC">
              <w:rPr>
                <w:sz w:val="20"/>
                <w:szCs w:val="20"/>
              </w:rPr>
              <w:t>ional decisions and initiatives.</w:t>
            </w:r>
          </w:p>
          <w:p w14:paraId="22FCFE63" w14:textId="77777777" w:rsidR="0082521F" w:rsidRPr="00195547" w:rsidRDefault="0082521F" w:rsidP="0082521F">
            <w:pPr>
              <w:pStyle w:val="TableBullet"/>
              <w:rPr>
                <w:sz w:val="20"/>
                <w:szCs w:val="20"/>
              </w:rPr>
            </w:pPr>
            <w:r w:rsidRPr="00195547">
              <w:rPr>
                <w:sz w:val="20"/>
                <w:szCs w:val="20"/>
              </w:rPr>
              <w:t>Communicate information related to outcomes against budgets and performance measures</w:t>
            </w:r>
            <w:r w:rsidR="003823EC">
              <w:rPr>
                <w:sz w:val="20"/>
                <w:szCs w:val="20"/>
              </w:rPr>
              <w:t>.</w:t>
            </w:r>
          </w:p>
          <w:p w14:paraId="5EB7D4AF" w14:textId="77777777" w:rsidR="00986F58" w:rsidRPr="00986F58" w:rsidRDefault="0082521F" w:rsidP="00986F58">
            <w:pPr>
              <w:pStyle w:val="TableBullet"/>
              <w:rPr>
                <w:rFonts w:asciiTheme="minorHAnsi" w:hAnsiTheme="minorHAnsi" w:cstheme="minorHAnsi"/>
              </w:rPr>
            </w:pPr>
            <w:r w:rsidRPr="00195547">
              <w:rPr>
                <w:sz w:val="20"/>
                <w:szCs w:val="20"/>
              </w:rPr>
              <w:t>Identify and inform of major, new or emerging issues and recommend new approaches, strategies, practices, solutions, alternative options and responses</w:t>
            </w:r>
            <w:r w:rsidR="003823EC">
              <w:rPr>
                <w:sz w:val="20"/>
                <w:szCs w:val="20"/>
              </w:rPr>
              <w:t>.</w:t>
            </w:r>
          </w:p>
        </w:tc>
      </w:tr>
      <w:tr w:rsidR="00986F58" w:rsidRPr="000D18C1" w14:paraId="1E1AA30E" w14:textId="77777777" w:rsidTr="00F97ED8">
        <w:tc>
          <w:tcPr>
            <w:tcW w:w="3601" w:type="dxa"/>
            <w:tcBorders>
              <w:top w:val="single" w:sz="8" w:space="0" w:color="auto"/>
              <w:bottom w:val="single" w:sz="8" w:space="0" w:color="BCBEC0"/>
            </w:tcBorders>
          </w:tcPr>
          <w:p w14:paraId="09DCCDF2" w14:textId="77777777" w:rsidR="00986F58" w:rsidRDefault="00986F58" w:rsidP="00B65CA7">
            <w:pPr>
              <w:pStyle w:val="TableText"/>
              <w:rPr>
                <w:rFonts w:asciiTheme="minorHAnsi" w:hAnsiTheme="minorHAnsi" w:cstheme="minorHAnsi"/>
              </w:rPr>
            </w:pPr>
            <w:r>
              <w:rPr>
                <w:rFonts w:asciiTheme="minorHAnsi" w:hAnsiTheme="minorHAnsi" w:cstheme="minorHAnsi"/>
              </w:rPr>
              <w:t>Direct Reports</w:t>
            </w:r>
          </w:p>
        </w:tc>
        <w:tc>
          <w:tcPr>
            <w:tcW w:w="6946" w:type="dxa"/>
            <w:tcBorders>
              <w:top w:val="single" w:sz="8" w:space="0" w:color="auto"/>
              <w:bottom w:val="single" w:sz="8" w:space="0" w:color="BCBEC0"/>
            </w:tcBorders>
          </w:tcPr>
          <w:p w14:paraId="76D57EFF" w14:textId="77777777" w:rsidR="00986F58" w:rsidRPr="00986F58" w:rsidRDefault="00986F58" w:rsidP="0082521F">
            <w:pPr>
              <w:pStyle w:val="TableBullet"/>
              <w:rPr>
                <w:sz w:val="20"/>
                <w:szCs w:val="20"/>
              </w:rPr>
            </w:pPr>
            <w:r w:rsidRPr="00986F58">
              <w:rPr>
                <w:rFonts w:asciiTheme="minorHAnsi" w:hAnsiTheme="minorHAnsi" w:cstheme="minorHAnsi"/>
                <w:sz w:val="20"/>
                <w:szCs w:val="20"/>
              </w:rPr>
              <w:t>Provide leadership, guidance and support</w:t>
            </w:r>
            <w:r w:rsidR="003823EC">
              <w:rPr>
                <w:rFonts w:asciiTheme="minorHAnsi" w:hAnsiTheme="minorHAnsi" w:cstheme="minorHAnsi"/>
                <w:sz w:val="20"/>
                <w:szCs w:val="20"/>
              </w:rPr>
              <w:t>.</w:t>
            </w:r>
          </w:p>
          <w:p w14:paraId="777604C7" w14:textId="77777777" w:rsidR="00986F58" w:rsidRPr="00986F58" w:rsidRDefault="00986F58" w:rsidP="0082521F">
            <w:pPr>
              <w:pStyle w:val="TableBullet"/>
              <w:rPr>
                <w:sz w:val="20"/>
                <w:szCs w:val="20"/>
              </w:rPr>
            </w:pPr>
            <w:r w:rsidRPr="00986F58">
              <w:rPr>
                <w:rFonts w:asciiTheme="minorHAnsi" w:hAnsiTheme="minorHAnsi" w:cstheme="minorHAnsi"/>
                <w:sz w:val="20"/>
                <w:szCs w:val="20"/>
              </w:rPr>
              <w:t>Set performance requirements and manage t</w:t>
            </w:r>
            <w:r w:rsidR="003823EC">
              <w:rPr>
                <w:rFonts w:asciiTheme="minorHAnsi" w:hAnsiTheme="minorHAnsi" w:cstheme="minorHAnsi"/>
                <w:sz w:val="20"/>
                <w:szCs w:val="20"/>
              </w:rPr>
              <w:t>eam performance and development.</w:t>
            </w:r>
          </w:p>
          <w:p w14:paraId="05A24826" w14:textId="77777777" w:rsidR="00986F58" w:rsidRPr="00533B51" w:rsidRDefault="00986F58" w:rsidP="00986F58">
            <w:pPr>
              <w:pStyle w:val="TableBullet"/>
              <w:rPr>
                <w:sz w:val="20"/>
                <w:szCs w:val="20"/>
              </w:rPr>
            </w:pPr>
            <w:r w:rsidRPr="00986F58">
              <w:rPr>
                <w:rFonts w:asciiTheme="minorHAnsi" w:hAnsiTheme="minorHAnsi" w:cstheme="minorHAnsi"/>
                <w:sz w:val="20"/>
                <w:szCs w:val="20"/>
              </w:rPr>
              <w:lastRenderedPageBreak/>
              <w:t>Share information and encourage contribution to ideas to improve program/service delivery outcomes</w:t>
            </w:r>
            <w:r w:rsidR="003823EC">
              <w:rPr>
                <w:rFonts w:asciiTheme="minorHAnsi" w:hAnsiTheme="minorHAnsi" w:cstheme="minorHAnsi"/>
                <w:sz w:val="20"/>
                <w:szCs w:val="20"/>
              </w:rPr>
              <w:t>.</w:t>
            </w:r>
          </w:p>
          <w:p w14:paraId="3DB6850A" w14:textId="77777777" w:rsidR="00385222" w:rsidRPr="00986F58" w:rsidRDefault="00385222" w:rsidP="00986F58">
            <w:pPr>
              <w:pStyle w:val="TableBullet"/>
              <w:rPr>
                <w:sz w:val="20"/>
                <w:szCs w:val="20"/>
              </w:rPr>
            </w:pPr>
            <w:r>
              <w:rPr>
                <w:rFonts w:asciiTheme="minorHAnsi" w:hAnsiTheme="minorHAnsi" w:cstheme="minorHAnsi"/>
                <w:sz w:val="20"/>
                <w:szCs w:val="20"/>
              </w:rPr>
              <w:t>Prioritise workload and assigned tasks to ensure key deliverables are met and identify</w:t>
            </w:r>
            <w:r w:rsidR="00EC596C">
              <w:rPr>
                <w:rFonts w:asciiTheme="minorHAnsi" w:hAnsiTheme="minorHAnsi" w:cstheme="minorHAnsi"/>
                <w:sz w:val="20"/>
                <w:szCs w:val="20"/>
              </w:rPr>
              <w:t xml:space="preserve"> and manage</w:t>
            </w:r>
            <w:r>
              <w:rPr>
                <w:rFonts w:asciiTheme="minorHAnsi" w:hAnsiTheme="minorHAnsi" w:cstheme="minorHAnsi"/>
                <w:sz w:val="20"/>
                <w:szCs w:val="20"/>
              </w:rPr>
              <w:t xml:space="preserve"> </w:t>
            </w:r>
            <w:r w:rsidR="00EC596C">
              <w:rPr>
                <w:rFonts w:asciiTheme="minorHAnsi" w:hAnsiTheme="minorHAnsi" w:cstheme="minorHAnsi"/>
                <w:sz w:val="20"/>
                <w:szCs w:val="20"/>
              </w:rPr>
              <w:t>resource constraints</w:t>
            </w:r>
          </w:p>
        </w:tc>
      </w:tr>
      <w:tr w:rsidR="000D18C1" w:rsidRPr="000D18C1" w14:paraId="2919140B" w14:textId="77777777" w:rsidTr="00F97ED8">
        <w:tc>
          <w:tcPr>
            <w:tcW w:w="3601" w:type="dxa"/>
            <w:tcBorders>
              <w:top w:val="single" w:sz="8" w:space="0" w:color="BCBEC0"/>
              <w:bottom w:val="single" w:sz="8" w:space="0" w:color="BCBEC0"/>
            </w:tcBorders>
            <w:shd w:val="clear" w:color="auto" w:fill="BCBEC0"/>
          </w:tcPr>
          <w:p w14:paraId="7EEE226E" w14:textId="77777777" w:rsidR="000D18C1" w:rsidRPr="000D18C1" w:rsidRDefault="000D18C1" w:rsidP="00C80C39">
            <w:pPr>
              <w:pStyle w:val="TableText"/>
              <w:rPr>
                <w:rFonts w:asciiTheme="minorHAnsi" w:hAnsiTheme="minorHAnsi" w:cstheme="minorHAnsi"/>
                <w:b/>
              </w:rPr>
            </w:pPr>
            <w:bookmarkStart w:id="15" w:name="ExternalRelationships"/>
            <w:bookmarkEnd w:id="14"/>
            <w:r w:rsidRPr="000D18C1">
              <w:rPr>
                <w:rFonts w:asciiTheme="minorHAnsi" w:hAnsiTheme="minorHAnsi" w:cstheme="minorHAnsi"/>
                <w:b/>
              </w:rPr>
              <w:lastRenderedPageBreak/>
              <w:t>External</w:t>
            </w:r>
          </w:p>
        </w:tc>
        <w:tc>
          <w:tcPr>
            <w:tcW w:w="6946" w:type="dxa"/>
            <w:tcBorders>
              <w:top w:val="single" w:sz="8" w:space="0" w:color="BCBEC0"/>
              <w:bottom w:val="single" w:sz="8" w:space="0" w:color="BCBEC0"/>
            </w:tcBorders>
            <w:shd w:val="clear" w:color="auto" w:fill="BCBEC0"/>
          </w:tcPr>
          <w:p w14:paraId="10ABC7B5" w14:textId="77777777" w:rsidR="000D18C1" w:rsidRPr="000D18C1" w:rsidRDefault="000D18C1" w:rsidP="00C80C39">
            <w:pPr>
              <w:pStyle w:val="TableText"/>
              <w:rPr>
                <w:rFonts w:asciiTheme="minorHAnsi" w:hAnsiTheme="minorHAnsi" w:cstheme="minorHAnsi"/>
                <w:b/>
              </w:rPr>
            </w:pPr>
          </w:p>
        </w:tc>
      </w:tr>
      <w:tr w:rsidR="005D4A10" w:rsidRPr="000D18C1" w14:paraId="6C96BA59" w14:textId="77777777" w:rsidTr="00A55BC7">
        <w:tc>
          <w:tcPr>
            <w:tcW w:w="3601" w:type="dxa"/>
            <w:tcBorders>
              <w:top w:val="single" w:sz="8" w:space="0" w:color="BCBEC0"/>
              <w:bottom w:val="single" w:sz="8" w:space="0" w:color="BCBEC0"/>
            </w:tcBorders>
          </w:tcPr>
          <w:p w14:paraId="4222A0B2" w14:textId="77777777" w:rsidR="005D4A10" w:rsidRPr="000D18C1" w:rsidRDefault="005D4A10" w:rsidP="00A55BC7">
            <w:pPr>
              <w:pStyle w:val="TableText"/>
              <w:rPr>
                <w:rFonts w:asciiTheme="minorHAnsi" w:hAnsiTheme="minorHAnsi" w:cstheme="minorHAnsi"/>
              </w:rPr>
            </w:pPr>
            <w:r>
              <w:rPr>
                <w:rFonts w:asciiTheme="minorHAnsi" w:hAnsiTheme="minorHAnsi" w:cstheme="minorHAnsi"/>
              </w:rPr>
              <w:t xml:space="preserve">Contractors and Consultants </w:t>
            </w:r>
          </w:p>
        </w:tc>
        <w:tc>
          <w:tcPr>
            <w:tcW w:w="6946" w:type="dxa"/>
            <w:tcBorders>
              <w:top w:val="single" w:sz="8" w:space="0" w:color="BCBEC0"/>
              <w:bottom w:val="single" w:sz="8" w:space="0" w:color="BCBEC0"/>
            </w:tcBorders>
          </w:tcPr>
          <w:p w14:paraId="457B9711" w14:textId="77777777" w:rsidR="005D4A10" w:rsidRPr="00195547" w:rsidRDefault="005D4A10" w:rsidP="00A55BC7">
            <w:pPr>
              <w:pStyle w:val="TableBullet"/>
              <w:rPr>
                <w:sz w:val="20"/>
                <w:szCs w:val="20"/>
              </w:rPr>
            </w:pPr>
            <w:r w:rsidRPr="00195547">
              <w:rPr>
                <w:sz w:val="20"/>
                <w:szCs w:val="20"/>
              </w:rPr>
              <w:t>Provide l</w:t>
            </w:r>
            <w:r w:rsidR="003823EC">
              <w:rPr>
                <w:sz w:val="20"/>
                <w:szCs w:val="20"/>
              </w:rPr>
              <w:t>eadership, guidance and support.</w:t>
            </w:r>
          </w:p>
          <w:p w14:paraId="315F4F2D" w14:textId="77777777" w:rsidR="005D4A10" w:rsidRPr="00195547" w:rsidRDefault="005D4A10" w:rsidP="00A55BC7">
            <w:pPr>
              <w:pStyle w:val="TableBullet"/>
              <w:rPr>
                <w:sz w:val="20"/>
                <w:szCs w:val="20"/>
              </w:rPr>
            </w:pPr>
            <w:r w:rsidRPr="00195547">
              <w:rPr>
                <w:sz w:val="20"/>
                <w:szCs w:val="20"/>
              </w:rPr>
              <w:t xml:space="preserve">Set performance requirements and manage </w:t>
            </w:r>
            <w:r w:rsidR="00195547" w:rsidRPr="00195547">
              <w:rPr>
                <w:sz w:val="20"/>
                <w:szCs w:val="20"/>
              </w:rPr>
              <w:t>contractual agreements</w:t>
            </w:r>
            <w:r w:rsidR="003823EC">
              <w:rPr>
                <w:sz w:val="20"/>
                <w:szCs w:val="20"/>
              </w:rPr>
              <w:t>.</w:t>
            </w:r>
          </w:p>
          <w:p w14:paraId="306D4FAF" w14:textId="77777777" w:rsidR="005D4A10" w:rsidRPr="00195547" w:rsidRDefault="005D4A10" w:rsidP="00A55BC7">
            <w:pPr>
              <w:pStyle w:val="TableBullet"/>
              <w:rPr>
                <w:rFonts w:asciiTheme="minorHAnsi" w:hAnsiTheme="minorHAnsi" w:cstheme="minorHAnsi"/>
                <w:sz w:val="20"/>
                <w:szCs w:val="20"/>
              </w:rPr>
            </w:pPr>
            <w:r w:rsidRPr="00195547">
              <w:rPr>
                <w:sz w:val="20"/>
                <w:szCs w:val="20"/>
              </w:rPr>
              <w:t>Share information and encourage contribution to ideas to improve program/service delivery outcomes</w:t>
            </w:r>
            <w:r w:rsidR="003823EC">
              <w:rPr>
                <w:sz w:val="20"/>
                <w:szCs w:val="20"/>
              </w:rPr>
              <w:t>.</w:t>
            </w:r>
          </w:p>
        </w:tc>
      </w:tr>
      <w:tr w:rsidR="00F97ED8" w:rsidRPr="0029603B" w14:paraId="4DF6234B" w14:textId="77777777" w:rsidTr="00F97ED8">
        <w:tc>
          <w:tcPr>
            <w:tcW w:w="3601" w:type="dxa"/>
            <w:tcBorders>
              <w:top w:val="single" w:sz="8" w:space="0" w:color="auto"/>
              <w:bottom w:val="single" w:sz="8" w:space="0" w:color="auto"/>
            </w:tcBorders>
          </w:tcPr>
          <w:p w14:paraId="6D77D700" w14:textId="77777777" w:rsidR="00F97ED8" w:rsidRPr="00C57C9E" w:rsidRDefault="00F97ED8" w:rsidP="007D6927">
            <w:pPr>
              <w:rPr>
                <w:rFonts w:cs="Arial"/>
                <w:color w:val="000000"/>
                <w:sz w:val="20"/>
              </w:rPr>
            </w:pPr>
            <w:r w:rsidRPr="00C57C9E">
              <w:rPr>
                <w:rFonts w:cs="Arial"/>
                <w:color w:val="000000"/>
                <w:sz w:val="20"/>
              </w:rPr>
              <w:t xml:space="preserve">Key Stakeholders - </w:t>
            </w:r>
            <w:r w:rsidRPr="00C57C9E">
              <w:rPr>
                <w:sz w:val="20"/>
              </w:rPr>
              <w:t>private business</w:t>
            </w:r>
            <w:r>
              <w:rPr>
                <w:sz w:val="20"/>
              </w:rPr>
              <w:t>, investors</w:t>
            </w:r>
            <w:r w:rsidRPr="00C57C9E">
              <w:rPr>
                <w:sz w:val="20"/>
              </w:rPr>
              <w:t xml:space="preserve"> and non-government organisations</w:t>
            </w:r>
          </w:p>
        </w:tc>
        <w:tc>
          <w:tcPr>
            <w:tcW w:w="6946" w:type="dxa"/>
            <w:tcBorders>
              <w:top w:val="single" w:sz="8" w:space="0" w:color="auto"/>
              <w:bottom w:val="single" w:sz="8" w:space="0" w:color="auto"/>
            </w:tcBorders>
          </w:tcPr>
          <w:p w14:paraId="297FFFC8" w14:textId="77777777" w:rsidR="00F97ED8" w:rsidRDefault="00F97ED8" w:rsidP="00386057">
            <w:pPr>
              <w:pStyle w:val="ListParagraph"/>
              <w:numPr>
                <w:ilvl w:val="0"/>
                <w:numId w:val="14"/>
              </w:numPr>
              <w:rPr>
                <w:rFonts w:cs="Arial"/>
                <w:sz w:val="20"/>
              </w:rPr>
            </w:pPr>
            <w:r w:rsidRPr="00195547">
              <w:rPr>
                <w:rFonts w:cs="Arial"/>
                <w:sz w:val="20"/>
              </w:rPr>
              <w:t>Foster and sustain key relationships</w:t>
            </w:r>
            <w:r w:rsidR="003823EC">
              <w:rPr>
                <w:rFonts w:cs="Arial"/>
                <w:sz w:val="20"/>
              </w:rPr>
              <w:t>.</w:t>
            </w:r>
          </w:p>
          <w:p w14:paraId="2E845AF9" w14:textId="77777777" w:rsidR="00210698" w:rsidRPr="00195547" w:rsidRDefault="00210698" w:rsidP="00386057">
            <w:pPr>
              <w:pStyle w:val="ListParagraph"/>
              <w:numPr>
                <w:ilvl w:val="0"/>
                <w:numId w:val="14"/>
              </w:numPr>
              <w:rPr>
                <w:rFonts w:cs="Arial"/>
                <w:sz w:val="20"/>
              </w:rPr>
            </w:pPr>
            <w:r w:rsidRPr="00210698">
              <w:rPr>
                <w:rFonts w:cs="Arial"/>
                <w:sz w:val="20"/>
              </w:rPr>
              <w:t xml:space="preserve">Represent </w:t>
            </w:r>
            <w:r>
              <w:rPr>
                <w:rFonts w:cs="Arial"/>
                <w:sz w:val="20"/>
              </w:rPr>
              <w:t>HCCDC</w:t>
            </w:r>
            <w:r w:rsidRPr="00210698">
              <w:rPr>
                <w:rFonts w:cs="Arial"/>
                <w:sz w:val="20"/>
              </w:rPr>
              <w:t>’s interests, provide expert advice, influence decision making, build collaborative strategic alliances and partnerships to identify opportunities and facilitate innovation</w:t>
            </w:r>
          </w:p>
          <w:p w14:paraId="26A2C897" w14:textId="77777777" w:rsidR="00DB6CB5" w:rsidRPr="00DB6CB5" w:rsidRDefault="00F97ED8" w:rsidP="00386057">
            <w:pPr>
              <w:pStyle w:val="ListParagraph"/>
              <w:numPr>
                <w:ilvl w:val="0"/>
                <w:numId w:val="14"/>
              </w:numPr>
              <w:rPr>
                <w:rFonts w:cs="Arial"/>
                <w:sz w:val="20"/>
              </w:rPr>
            </w:pPr>
            <w:r w:rsidRPr="00195547">
              <w:rPr>
                <w:rFonts w:cs="Arial"/>
                <w:sz w:val="20"/>
              </w:rPr>
              <w:t>Manage expectations and achieve mutual objectives</w:t>
            </w:r>
            <w:r w:rsidR="00DB6CB5">
              <w:rPr>
                <w:rFonts w:cs="Arial"/>
                <w:sz w:val="20"/>
              </w:rPr>
              <w:t xml:space="preserve">, including community and stakeholder expectations around </w:t>
            </w:r>
            <w:proofErr w:type="gramStart"/>
            <w:r w:rsidR="00DB6CB5">
              <w:rPr>
                <w:rFonts w:cs="Arial"/>
                <w:sz w:val="20"/>
              </w:rPr>
              <w:t>particular projects</w:t>
            </w:r>
            <w:proofErr w:type="gramEnd"/>
            <w:r w:rsidR="003823EC">
              <w:rPr>
                <w:rFonts w:cs="Arial"/>
                <w:sz w:val="20"/>
              </w:rPr>
              <w:t>.</w:t>
            </w:r>
          </w:p>
        </w:tc>
      </w:tr>
    </w:tbl>
    <w:bookmarkEnd w:id="15"/>
    <w:p w14:paraId="76B4D74C" w14:textId="77777777" w:rsidR="00057CB3" w:rsidRPr="00C978B9" w:rsidRDefault="0002436B" w:rsidP="003823EC">
      <w:pPr>
        <w:pStyle w:val="Heading1"/>
        <w:spacing w:before="240"/>
      </w:pPr>
      <w:r w:rsidRPr="004063C9">
        <w:t xml:space="preserve">Role </w:t>
      </w:r>
      <w:r w:rsidR="00043B92" w:rsidRPr="004063C9">
        <w:t>d</w:t>
      </w:r>
      <w:r w:rsidRPr="004063C9">
        <w:t>imensions</w:t>
      </w:r>
    </w:p>
    <w:p w14:paraId="12B483C3" w14:textId="77777777" w:rsidR="0002436B" w:rsidRDefault="001D133A" w:rsidP="0002436B">
      <w:pPr>
        <w:pStyle w:val="Heading2"/>
      </w:pPr>
      <w:r w:rsidRPr="00C978B9">
        <w:t>Decision making</w:t>
      </w:r>
    </w:p>
    <w:p w14:paraId="322F7AC6" w14:textId="77777777" w:rsidR="005207A9" w:rsidRPr="001A2DB6" w:rsidRDefault="005207A9" w:rsidP="005207A9">
      <w:pPr>
        <w:rPr>
          <w:rFonts w:cs="Arial"/>
          <w:szCs w:val="26"/>
        </w:rPr>
      </w:pPr>
      <w:bookmarkStart w:id="16" w:name="DecisionMaking"/>
      <w:bookmarkStart w:id="17" w:name="ReportingLine"/>
      <w:bookmarkEnd w:id="16"/>
      <w:bookmarkEnd w:id="17"/>
      <w:r w:rsidRPr="00603D53">
        <w:rPr>
          <w:rFonts w:cs="Arial"/>
          <w:szCs w:val="26"/>
        </w:rPr>
        <w:t xml:space="preserve">The </w:t>
      </w:r>
      <w:r w:rsidR="004E628E">
        <w:rPr>
          <w:rFonts w:cs="Arial"/>
          <w:szCs w:val="26"/>
        </w:rPr>
        <w:t>Senior Development Manager</w:t>
      </w:r>
      <w:r w:rsidRPr="00603D53">
        <w:rPr>
          <w:rFonts w:cs="Arial"/>
          <w:szCs w:val="26"/>
        </w:rPr>
        <w:t xml:space="preserve">: </w:t>
      </w:r>
    </w:p>
    <w:p w14:paraId="6285DAD7" w14:textId="37847CD5" w:rsidR="00AD3554" w:rsidRDefault="005207A9" w:rsidP="00386057">
      <w:pPr>
        <w:pStyle w:val="ListParagraph"/>
        <w:numPr>
          <w:ilvl w:val="0"/>
          <w:numId w:val="15"/>
        </w:numPr>
        <w:spacing w:after="200" w:line="276" w:lineRule="auto"/>
        <w:rPr>
          <w:rFonts w:cs="Arial"/>
          <w:szCs w:val="26"/>
        </w:rPr>
      </w:pPr>
      <w:r w:rsidRPr="000F5E2B">
        <w:rPr>
          <w:rFonts w:cs="Arial"/>
          <w:szCs w:val="26"/>
        </w:rPr>
        <w:t xml:space="preserve">is accountable for the </w:t>
      </w:r>
      <w:r>
        <w:rPr>
          <w:rFonts w:cs="Arial"/>
          <w:szCs w:val="26"/>
        </w:rPr>
        <w:t xml:space="preserve">management of </w:t>
      </w:r>
      <w:r w:rsidR="004063C9">
        <w:rPr>
          <w:rFonts w:cs="Arial"/>
          <w:szCs w:val="26"/>
        </w:rPr>
        <w:t xml:space="preserve">direct reports and </w:t>
      </w:r>
      <w:r w:rsidR="00BD52B4">
        <w:rPr>
          <w:rFonts w:cs="Arial"/>
          <w:szCs w:val="26"/>
        </w:rPr>
        <w:t xml:space="preserve">external </w:t>
      </w:r>
      <w:r w:rsidR="004133D2">
        <w:rPr>
          <w:rFonts w:cs="Arial"/>
          <w:szCs w:val="26"/>
        </w:rPr>
        <w:t xml:space="preserve">consultants and </w:t>
      </w:r>
      <w:r w:rsidR="00BD52B4">
        <w:rPr>
          <w:rFonts w:cs="Arial"/>
          <w:szCs w:val="26"/>
        </w:rPr>
        <w:t>contractors</w:t>
      </w:r>
      <w:r w:rsidR="00AD3554">
        <w:rPr>
          <w:rFonts w:cs="Arial"/>
          <w:szCs w:val="26"/>
        </w:rPr>
        <w:t>.</w:t>
      </w:r>
    </w:p>
    <w:p w14:paraId="44294CF0" w14:textId="77777777" w:rsidR="00AD3554" w:rsidRDefault="00AD3554" w:rsidP="00386057">
      <w:pPr>
        <w:pStyle w:val="ListParagraph"/>
        <w:numPr>
          <w:ilvl w:val="0"/>
          <w:numId w:val="15"/>
        </w:numPr>
        <w:spacing w:after="200" w:line="276" w:lineRule="auto"/>
        <w:rPr>
          <w:rFonts w:cs="Arial"/>
          <w:szCs w:val="26"/>
        </w:rPr>
      </w:pPr>
      <w:r w:rsidRPr="00603D53">
        <w:rPr>
          <w:rFonts w:cs="Arial"/>
          <w:szCs w:val="26"/>
        </w:rPr>
        <w:t xml:space="preserve">is accountable for the quality, accuracy and integrity of advice provided and for the delivery of </w:t>
      </w:r>
      <w:r>
        <w:rPr>
          <w:rFonts w:cs="Arial"/>
          <w:szCs w:val="26"/>
        </w:rPr>
        <w:t xml:space="preserve">agreed </w:t>
      </w:r>
      <w:r w:rsidRPr="00603D53">
        <w:rPr>
          <w:rFonts w:cs="Arial"/>
          <w:szCs w:val="26"/>
        </w:rPr>
        <w:t>project</w:t>
      </w:r>
      <w:r>
        <w:rPr>
          <w:rFonts w:cs="Arial"/>
          <w:szCs w:val="26"/>
        </w:rPr>
        <w:t xml:space="preserve"> outcomes,</w:t>
      </w:r>
      <w:r w:rsidRPr="00603D53">
        <w:rPr>
          <w:rFonts w:cs="Arial"/>
          <w:szCs w:val="26"/>
        </w:rPr>
        <w:t xml:space="preserve"> on time and </w:t>
      </w:r>
      <w:r>
        <w:rPr>
          <w:rFonts w:cs="Arial"/>
          <w:szCs w:val="26"/>
        </w:rPr>
        <w:t xml:space="preserve">within </w:t>
      </w:r>
      <w:r w:rsidRPr="00603D53">
        <w:rPr>
          <w:rFonts w:cs="Arial"/>
          <w:szCs w:val="26"/>
        </w:rPr>
        <w:t>budget.</w:t>
      </w:r>
    </w:p>
    <w:p w14:paraId="7F795D10" w14:textId="77777777" w:rsidR="005207A9" w:rsidRPr="00AD3554" w:rsidRDefault="005207A9">
      <w:pPr>
        <w:pStyle w:val="ListParagraph"/>
        <w:numPr>
          <w:ilvl w:val="0"/>
          <w:numId w:val="15"/>
        </w:numPr>
        <w:spacing w:after="200" w:line="276" w:lineRule="auto"/>
        <w:rPr>
          <w:rFonts w:cs="Arial"/>
          <w:szCs w:val="26"/>
        </w:rPr>
      </w:pPr>
      <w:r w:rsidRPr="00AD3554">
        <w:rPr>
          <w:rFonts w:cs="Arial"/>
          <w:szCs w:val="26"/>
        </w:rPr>
        <w:t>has autonomy and independence to determine day to day work priorities, deploy resources and allocate duties</w:t>
      </w:r>
      <w:r w:rsidR="003823EC" w:rsidRPr="00AD3554">
        <w:rPr>
          <w:rFonts w:cs="Arial"/>
          <w:szCs w:val="26"/>
        </w:rPr>
        <w:t>.</w:t>
      </w:r>
    </w:p>
    <w:p w14:paraId="6DF432C2" w14:textId="77777777" w:rsidR="005207A9" w:rsidRPr="000F5E2B" w:rsidRDefault="005207A9" w:rsidP="00386057">
      <w:pPr>
        <w:pStyle w:val="ListParagraph"/>
        <w:numPr>
          <w:ilvl w:val="0"/>
          <w:numId w:val="15"/>
        </w:numPr>
        <w:spacing w:after="200" w:line="276" w:lineRule="auto"/>
        <w:rPr>
          <w:rFonts w:cs="Arial"/>
          <w:szCs w:val="26"/>
        </w:rPr>
      </w:pPr>
      <w:r>
        <w:rPr>
          <w:rFonts w:cs="Arial"/>
          <w:szCs w:val="26"/>
        </w:rPr>
        <w:t>makes decisions and acts within Government sector core values, strategic plans and priorities, legislative and regulatory frameworks, delegations</w:t>
      </w:r>
      <w:r w:rsidRPr="000F5E2B">
        <w:rPr>
          <w:rFonts w:cs="Arial"/>
          <w:szCs w:val="26"/>
        </w:rPr>
        <w:t xml:space="preserve">, and </w:t>
      </w:r>
      <w:r>
        <w:rPr>
          <w:rFonts w:cs="Arial"/>
          <w:szCs w:val="26"/>
        </w:rPr>
        <w:t xml:space="preserve">Department </w:t>
      </w:r>
      <w:r w:rsidRPr="000F5E2B">
        <w:rPr>
          <w:rFonts w:cs="Arial"/>
          <w:szCs w:val="26"/>
        </w:rPr>
        <w:t>policy and proce</w:t>
      </w:r>
      <w:r w:rsidR="003823EC">
        <w:rPr>
          <w:rFonts w:cs="Arial"/>
          <w:szCs w:val="26"/>
        </w:rPr>
        <w:t>dural frameworks and guidelines.</w:t>
      </w:r>
    </w:p>
    <w:p w14:paraId="4C4C37BC" w14:textId="77777777" w:rsidR="005207A9" w:rsidRDefault="005207A9" w:rsidP="00386057">
      <w:pPr>
        <w:pStyle w:val="ListParagraph"/>
        <w:numPr>
          <w:ilvl w:val="0"/>
          <w:numId w:val="15"/>
        </w:numPr>
        <w:spacing w:after="200" w:line="276" w:lineRule="auto"/>
        <w:rPr>
          <w:rFonts w:cs="Arial"/>
          <w:szCs w:val="26"/>
        </w:rPr>
      </w:pPr>
      <w:r>
        <w:rPr>
          <w:rFonts w:cs="Arial"/>
          <w:szCs w:val="26"/>
        </w:rPr>
        <w:t xml:space="preserve">is accountable and responsible for the effective management and use of human, financial and other </w:t>
      </w:r>
      <w:r w:rsidR="004063C9">
        <w:rPr>
          <w:rFonts w:cs="Arial"/>
          <w:szCs w:val="26"/>
        </w:rPr>
        <w:t>r</w:t>
      </w:r>
      <w:r>
        <w:rPr>
          <w:rFonts w:cs="Arial"/>
          <w:szCs w:val="26"/>
        </w:rPr>
        <w:t xml:space="preserve">esources </w:t>
      </w:r>
      <w:r w:rsidRPr="000F5E2B">
        <w:rPr>
          <w:rFonts w:cs="Arial"/>
          <w:szCs w:val="26"/>
        </w:rPr>
        <w:t xml:space="preserve">within set </w:t>
      </w:r>
      <w:r>
        <w:rPr>
          <w:rFonts w:cs="Arial"/>
          <w:szCs w:val="26"/>
        </w:rPr>
        <w:t>budget and resource</w:t>
      </w:r>
      <w:r w:rsidRPr="000F5E2B">
        <w:rPr>
          <w:rFonts w:cs="Arial"/>
          <w:szCs w:val="26"/>
        </w:rPr>
        <w:t xml:space="preserve"> parameters</w:t>
      </w:r>
      <w:r w:rsidR="003823EC">
        <w:rPr>
          <w:rFonts w:cs="Arial"/>
          <w:szCs w:val="26"/>
        </w:rPr>
        <w:t>.</w:t>
      </w:r>
    </w:p>
    <w:p w14:paraId="2302F97F" w14:textId="77777777" w:rsidR="00E24345" w:rsidRPr="00614552" w:rsidRDefault="00E24345" w:rsidP="00E24345">
      <w:pPr>
        <w:pStyle w:val="Heading2"/>
      </w:pPr>
      <w:r w:rsidRPr="00614552">
        <w:t>Reporting line</w:t>
      </w:r>
    </w:p>
    <w:p w14:paraId="442A3A94" w14:textId="26F4D657" w:rsidR="00090994" w:rsidRDefault="00090994" w:rsidP="00EE7F38">
      <w:pPr>
        <w:spacing w:after="0" w:line="240" w:lineRule="auto"/>
        <w:rPr>
          <w:rFonts w:asciiTheme="minorHAnsi" w:hAnsiTheme="minorHAnsi" w:cstheme="minorBidi"/>
        </w:rPr>
      </w:pPr>
      <w:r>
        <w:rPr>
          <w:rFonts w:asciiTheme="minorHAnsi" w:hAnsiTheme="minorHAnsi" w:cstheme="minorBidi"/>
        </w:rPr>
        <w:t>The role r</w:t>
      </w:r>
      <w:r w:rsidR="00EE7F38">
        <w:rPr>
          <w:rFonts w:asciiTheme="minorHAnsi" w:hAnsiTheme="minorHAnsi" w:cstheme="minorBidi"/>
        </w:rPr>
        <w:t xml:space="preserve">eports to the allocated </w:t>
      </w:r>
      <w:r>
        <w:rPr>
          <w:rFonts w:asciiTheme="minorHAnsi" w:hAnsiTheme="minorHAnsi" w:cstheme="minorBidi"/>
        </w:rPr>
        <w:t>Director</w:t>
      </w:r>
      <w:r w:rsidR="00533B51">
        <w:rPr>
          <w:rFonts w:asciiTheme="minorHAnsi" w:hAnsiTheme="minorHAnsi" w:cstheme="minorBidi"/>
        </w:rPr>
        <w:t xml:space="preserve"> or Project Leader</w:t>
      </w:r>
      <w:r w:rsidR="00EE7F38">
        <w:rPr>
          <w:rFonts w:asciiTheme="minorHAnsi" w:hAnsiTheme="minorHAnsi" w:cstheme="minorBidi"/>
        </w:rPr>
        <w:t>.</w:t>
      </w:r>
    </w:p>
    <w:p w14:paraId="2190A49B" w14:textId="77777777" w:rsidR="001D133A" w:rsidRDefault="001D133A" w:rsidP="000D71AB">
      <w:pPr>
        <w:pStyle w:val="Heading2"/>
        <w:spacing w:before="240"/>
      </w:pPr>
      <w:r w:rsidRPr="00C978B9">
        <w:t>Direct reports</w:t>
      </w:r>
    </w:p>
    <w:p w14:paraId="450781A2" w14:textId="77777777" w:rsidR="001D133A" w:rsidRDefault="00090994" w:rsidP="00090994">
      <w:pPr>
        <w:rPr>
          <w:rFonts w:asciiTheme="minorHAnsi" w:hAnsiTheme="minorHAnsi" w:cstheme="minorHAnsi"/>
        </w:rPr>
      </w:pPr>
      <w:bookmarkStart w:id="18" w:name="DirectReports"/>
      <w:bookmarkEnd w:id="18"/>
      <w:r>
        <w:rPr>
          <w:rFonts w:asciiTheme="minorHAnsi" w:hAnsiTheme="minorHAnsi" w:cstheme="minorHAnsi"/>
        </w:rPr>
        <w:t>The role has</w:t>
      </w:r>
      <w:r w:rsidR="00EE7F38">
        <w:rPr>
          <w:rFonts w:asciiTheme="minorHAnsi" w:hAnsiTheme="minorHAnsi" w:cstheme="minorHAnsi"/>
        </w:rPr>
        <w:t xml:space="preserve"> up to</w:t>
      </w:r>
      <w:r>
        <w:rPr>
          <w:rFonts w:asciiTheme="minorHAnsi" w:hAnsiTheme="minorHAnsi" w:cstheme="minorHAnsi"/>
        </w:rPr>
        <w:t xml:space="preserve"> </w:t>
      </w:r>
      <w:r w:rsidRPr="00090994">
        <w:rPr>
          <w:rFonts w:asciiTheme="minorHAnsi" w:hAnsiTheme="minorHAnsi" w:cstheme="minorHAnsi"/>
        </w:rPr>
        <w:t xml:space="preserve">6 </w:t>
      </w:r>
      <w:r w:rsidR="00EE7F38">
        <w:rPr>
          <w:rFonts w:asciiTheme="minorHAnsi" w:hAnsiTheme="minorHAnsi" w:cstheme="minorHAnsi"/>
        </w:rPr>
        <w:t>direct reports and s</w:t>
      </w:r>
      <w:r w:rsidR="003823EC" w:rsidRPr="00090994">
        <w:rPr>
          <w:rFonts w:asciiTheme="minorHAnsi" w:hAnsiTheme="minorHAnsi" w:cstheme="minorHAnsi"/>
        </w:rPr>
        <w:t>upervise</w:t>
      </w:r>
      <w:r w:rsidR="00EE7F38">
        <w:rPr>
          <w:rFonts w:asciiTheme="minorHAnsi" w:hAnsiTheme="minorHAnsi" w:cstheme="minorHAnsi"/>
        </w:rPr>
        <w:t>s</w:t>
      </w:r>
      <w:r w:rsidR="003823EC" w:rsidRPr="00090994">
        <w:rPr>
          <w:rFonts w:asciiTheme="minorHAnsi" w:hAnsiTheme="minorHAnsi" w:cstheme="minorHAnsi"/>
        </w:rPr>
        <w:t xml:space="preserve"> consultants and contractors </w:t>
      </w:r>
      <w:r w:rsidR="00392D9D" w:rsidRPr="00090994">
        <w:rPr>
          <w:rFonts w:asciiTheme="minorHAnsi" w:hAnsiTheme="minorHAnsi" w:cstheme="minorHAnsi"/>
        </w:rPr>
        <w:t>as required.</w:t>
      </w:r>
    </w:p>
    <w:p w14:paraId="78F504E8" w14:textId="77777777" w:rsidR="001D133A" w:rsidRDefault="001D133A" w:rsidP="000D71AB">
      <w:pPr>
        <w:pStyle w:val="Heading2"/>
        <w:spacing w:before="240"/>
      </w:pPr>
      <w:r w:rsidRPr="00C978B9">
        <w:t>Budget/Expenditure</w:t>
      </w:r>
    </w:p>
    <w:p w14:paraId="6ACA2C1E" w14:textId="77777777" w:rsidR="001D133A" w:rsidRPr="00C978B9" w:rsidRDefault="00392D9D" w:rsidP="001D133A">
      <w:bookmarkStart w:id="19" w:name="Budget"/>
      <w:bookmarkEnd w:id="19"/>
      <w:r>
        <w:t>As per financial delegations.</w:t>
      </w:r>
    </w:p>
    <w:p w14:paraId="2A7A1A9E" w14:textId="0971614B" w:rsidR="000D71AB" w:rsidRDefault="000D71AB" w:rsidP="001D133A">
      <w:pPr>
        <w:pStyle w:val="Heading1"/>
      </w:pPr>
      <w:r>
        <w:t>Key knowledge and experience</w:t>
      </w:r>
    </w:p>
    <w:p w14:paraId="1657FD36" w14:textId="6C145D6B" w:rsidR="000D71AB" w:rsidRDefault="000D71AB" w:rsidP="000D71AB">
      <w:pPr>
        <w:pStyle w:val="ListParagraph"/>
        <w:numPr>
          <w:ilvl w:val="0"/>
          <w:numId w:val="15"/>
        </w:numPr>
        <w:spacing w:after="200" w:line="276" w:lineRule="auto"/>
        <w:rPr>
          <w:rFonts w:cs="Arial"/>
          <w:szCs w:val="26"/>
        </w:rPr>
      </w:pPr>
      <w:r w:rsidRPr="00780264">
        <w:rPr>
          <w:rFonts w:cs="Arial"/>
          <w:szCs w:val="26"/>
        </w:rPr>
        <w:t>Demonstrated experience overseeing</w:t>
      </w:r>
      <w:r>
        <w:rPr>
          <w:rFonts w:cs="Arial"/>
          <w:szCs w:val="26"/>
        </w:rPr>
        <w:t xml:space="preserve">, </w:t>
      </w:r>
      <w:r w:rsidRPr="00780264">
        <w:rPr>
          <w:rFonts w:cs="Arial"/>
          <w:szCs w:val="26"/>
        </w:rPr>
        <w:t xml:space="preserve">managing </w:t>
      </w:r>
      <w:r>
        <w:rPr>
          <w:rFonts w:cs="Arial"/>
          <w:szCs w:val="26"/>
        </w:rPr>
        <w:t xml:space="preserve">and delivering </w:t>
      </w:r>
      <w:r w:rsidRPr="00780264">
        <w:rPr>
          <w:rFonts w:cs="Arial"/>
          <w:szCs w:val="26"/>
        </w:rPr>
        <w:t>the complete land and property development process.</w:t>
      </w:r>
    </w:p>
    <w:p w14:paraId="4899C3AE" w14:textId="3DA4AA30" w:rsidR="000D71AB" w:rsidRPr="00780264" w:rsidRDefault="000D71AB" w:rsidP="000D71AB">
      <w:pPr>
        <w:pStyle w:val="ListParagraph"/>
        <w:numPr>
          <w:ilvl w:val="0"/>
          <w:numId w:val="15"/>
        </w:numPr>
        <w:spacing w:after="200" w:line="276" w:lineRule="auto"/>
        <w:rPr>
          <w:rFonts w:cs="Arial"/>
          <w:szCs w:val="26"/>
        </w:rPr>
      </w:pPr>
      <w:r w:rsidRPr="00780264">
        <w:rPr>
          <w:rFonts w:cs="Arial"/>
          <w:szCs w:val="26"/>
        </w:rPr>
        <w:t xml:space="preserve">Demonstrated </w:t>
      </w:r>
      <w:r>
        <w:rPr>
          <w:rFonts w:cs="Arial"/>
          <w:szCs w:val="26"/>
        </w:rPr>
        <w:t>experience o</w:t>
      </w:r>
      <w:r w:rsidRPr="00780264">
        <w:rPr>
          <w:rFonts w:cs="Arial"/>
          <w:szCs w:val="26"/>
        </w:rPr>
        <w:t>versee</w:t>
      </w:r>
      <w:r>
        <w:rPr>
          <w:rFonts w:cs="Arial"/>
          <w:szCs w:val="26"/>
        </w:rPr>
        <w:t>ing</w:t>
      </w:r>
      <w:r w:rsidRPr="00780264">
        <w:rPr>
          <w:rFonts w:cs="Arial"/>
          <w:szCs w:val="26"/>
        </w:rPr>
        <w:t>, direct</w:t>
      </w:r>
      <w:r>
        <w:rPr>
          <w:rFonts w:cs="Arial"/>
          <w:szCs w:val="26"/>
        </w:rPr>
        <w:t xml:space="preserve">ing and managing </w:t>
      </w:r>
      <w:r w:rsidRPr="00780264">
        <w:rPr>
          <w:rFonts w:cs="Arial"/>
          <w:szCs w:val="26"/>
        </w:rPr>
        <w:t>project team</w:t>
      </w:r>
      <w:r>
        <w:rPr>
          <w:rFonts w:cs="Arial"/>
          <w:szCs w:val="26"/>
        </w:rPr>
        <w:t>s</w:t>
      </w:r>
      <w:r w:rsidRPr="00780264">
        <w:rPr>
          <w:rFonts w:cs="Arial"/>
          <w:szCs w:val="26"/>
        </w:rPr>
        <w:t xml:space="preserve"> and interact</w:t>
      </w:r>
      <w:r>
        <w:rPr>
          <w:rFonts w:cs="Arial"/>
          <w:szCs w:val="26"/>
        </w:rPr>
        <w:t>ing</w:t>
      </w:r>
      <w:r w:rsidRPr="00780264">
        <w:rPr>
          <w:rFonts w:cs="Arial"/>
          <w:szCs w:val="26"/>
        </w:rPr>
        <w:t xml:space="preserve"> positively and successfully with diverse groups of stakeholders.</w:t>
      </w:r>
    </w:p>
    <w:p w14:paraId="4DF4B37E" w14:textId="1EB2DC62" w:rsidR="000D71AB" w:rsidRPr="00780264" w:rsidRDefault="000D71AB" w:rsidP="000D71AB">
      <w:pPr>
        <w:pStyle w:val="ListParagraph"/>
        <w:numPr>
          <w:ilvl w:val="0"/>
          <w:numId w:val="15"/>
        </w:numPr>
        <w:spacing w:after="200" w:line="276" w:lineRule="auto"/>
        <w:rPr>
          <w:rFonts w:cs="Arial"/>
        </w:rPr>
      </w:pPr>
      <w:r w:rsidRPr="1678377E">
        <w:rPr>
          <w:rFonts w:cs="Arial"/>
        </w:rPr>
        <w:t>Experience in the following aspects:</w:t>
      </w:r>
    </w:p>
    <w:p w14:paraId="3F96B4FA" w14:textId="77777777" w:rsidR="000D71AB" w:rsidRPr="00780264" w:rsidRDefault="000D71AB" w:rsidP="000D71AB">
      <w:pPr>
        <w:pStyle w:val="ListParagraph"/>
        <w:numPr>
          <w:ilvl w:val="0"/>
          <w:numId w:val="41"/>
        </w:numPr>
        <w:spacing w:after="200" w:line="276" w:lineRule="auto"/>
        <w:rPr>
          <w:rFonts w:cs="Arial"/>
          <w:szCs w:val="26"/>
        </w:rPr>
      </w:pPr>
      <w:r w:rsidRPr="00780264">
        <w:rPr>
          <w:rFonts w:cs="Arial"/>
          <w:szCs w:val="26"/>
        </w:rPr>
        <w:t xml:space="preserve">the identification of </w:t>
      </w:r>
      <w:r>
        <w:rPr>
          <w:rFonts w:cs="Arial"/>
          <w:szCs w:val="26"/>
        </w:rPr>
        <w:t xml:space="preserve">project </w:t>
      </w:r>
      <w:r w:rsidRPr="00780264">
        <w:rPr>
          <w:rFonts w:cs="Arial"/>
          <w:szCs w:val="26"/>
        </w:rPr>
        <w:t xml:space="preserve">opportunities, </w:t>
      </w:r>
      <w:r>
        <w:rPr>
          <w:rFonts w:cs="Arial"/>
          <w:szCs w:val="26"/>
        </w:rPr>
        <w:t xml:space="preserve">including </w:t>
      </w:r>
      <w:r w:rsidRPr="00780264">
        <w:rPr>
          <w:rFonts w:cs="Arial"/>
          <w:szCs w:val="26"/>
        </w:rPr>
        <w:t>project feasibility studies</w:t>
      </w:r>
    </w:p>
    <w:p w14:paraId="13A9AA3F" w14:textId="77777777" w:rsidR="000D71AB" w:rsidRPr="00780264" w:rsidRDefault="000D71AB" w:rsidP="000D71AB">
      <w:pPr>
        <w:pStyle w:val="ListParagraph"/>
        <w:numPr>
          <w:ilvl w:val="0"/>
          <w:numId w:val="41"/>
        </w:numPr>
        <w:spacing w:after="200" w:line="276" w:lineRule="auto"/>
        <w:rPr>
          <w:rFonts w:cs="Arial"/>
          <w:szCs w:val="26"/>
        </w:rPr>
      </w:pPr>
      <w:r w:rsidRPr="00780264">
        <w:rPr>
          <w:rFonts w:cs="Arial"/>
          <w:szCs w:val="26"/>
        </w:rPr>
        <w:lastRenderedPageBreak/>
        <w:t xml:space="preserve">the due diligence </w:t>
      </w:r>
      <w:proofErr w:type="gramStart"/>
      <w:r w:rsidRPr="00780264">
        <w:rPr>
          <w:rFonts w:cs="Arial"/>
          <w:szCs w:val="26"/>
        </w:rPr>
        <w:t>process</w:t>
      </w:r>
      <w:proofErr w:type="gramEnd"/>
    </w:p>
    <w:p w14:paraId="78FD7BC4" w14:textId="6ED73C27" w:rsidR="00341608" w:rsidRDefault="00341608" w:rsidP="000D71AB">
      <w:pPr>
        <w:pStyle w:val="ListParagraph"/>
        <w:numPr>
          <w:ilvl w:val="0"/>
          <w:numId w:val="41"/>
        </w:numPr>
        <w:spacing w:after="200" w:line="276" w:lineRule="auto"/>
        <w:rPr>
          <w:rFonts w:cs="Arial"/>
          <w:szCs w:val="26"/>
        </w:rPr>
      </w:pPr>
      <w:r>
        <w:rPr>
          <w:rFonts w:cs="Arial"/>
          <w:szCs w:val="26"/>
        </w:rPr>
        <w:t xml:space="preserve">land use </w:t>
      </w:r>
      <w:r w:rsidRPr="00780264">
        <w:rPr>
          <w:rFonts w:cs="Arial"/>
          <w:szCs w:val="26"/>
        </w:rPr>
        <w:t>planning and re-zoning</w:t>
      </w:r>
    </w:p>
    <w:p w14:paraId="474FABC3" w14:textId="77777777" w:rsidR="000D71AB" w:rsidRPr="00780264" w:rsidRDefault="000D71AB" w:rsidP="000D71AB">
      <w:pPr>
        <w:pStyle w:val="ListParagraph"/>
        <w:numPr>
          <w:ilvl w:val="0"/>
          <w:numId w:val="41"/>
        </w:numPr>
        <w:spacing w:after="200" w:line="276" w:lineRule="auto"/>
        <w:rPr>
          <w:rFonts w:cs="Arial"/>
          <w:szCs w:val="26"/>
        </w:rPr>
      </w:pPr>
      <w:r w:rsidRPr="00780264">
        <w:rPr>
          <w:rFonts w:cs="Arial"/>
          <w:szCs w:val="26"/>
        </w:rPr>
        <w:t>obtaining Development Consents</w:t>
      </w:r>
    </w:p>
    <w:p w14:paraId="567D3EDD" w14:textId="77777777" w:rsidR="000D71AB" w:rsidRDefault="000D71AB" w:rsidP="000D71AB">
      <w:pPr>
        <w:pStyle w:val="ListParagraph"/>
        <w:numPr>
          <w:ilvl w:val="0"/>
          <w:numId w:val="41"/>
        </w:numPr>
        <w:spacing w:after="200" w:line="276" w:lineRule="auto"/>
        <w:rPr>
          <w:rFonts w:cs="Arial"/>
          <w:szCs w:val="26"/>
        </w:rPr>
      </w:pPr>
      <w:r w:rsidRPr="00780264">
        <w:rPr>
          <w:rFonts w:cs="Arial"/>
          <w:szCs w:val="26"/>
        </w:rPr>
        <w:t>successful project delivery</w:t>
      </w:r>
    </w:p>
    <w:p w14:paraId="007EE78B" w14:textId="42D52820" w:rsidR="00513CC0" w:rsidRPr="00780264" w:rsidRDefault="00DC3A26" w:rsidP="000D71AB">
      <w:pPr>
        <w:pStyle w:val="ListParagraph"/>
        <w:numPr>
          <w:ilvl w:val="0"/>
          <w:numId w:val="41"/>
        </w:numPr>
        <w:spacing w:after="200" w:line="276" w:lineRule="auto"/>
        <w:rPr>
          <w:rFonts w:cs="Arial"/>
          <w:szCs w:val="26"/>
        </w:rPr>
      </w:pPr>
      <w:r>
        <w:rPr>
          <w:rFonts w:cs="Arial"/>
          <w:szCs w:val="26"/>
        </w:rPr>
        <w:t xml:space="preserve">competitive land </w:t>
      </w:r>
      <w:proofErr w:type="gramStart"/>
      <w:r>
        <w:rPr>
          <w:rFonts w:cs="Arial"/>
          <w:szCs w:val="26"/>
        </w:rPr>
        <w:t>divestment;</w:t>
      </w:r>
      <w:proofErr w:type="gramEnd"/>
    </w:p>
    <w:p w14:paraId="38A65DA0" w14:textId="4834E5F1" w:rsidR="00251851" w:rsidRPr="00780264" w:rsidRDefault="00251851" w:rsidP="00251851">
      <w:pPr>
        <w:pStyle w:val="ListParagraph"/>
        <w:numPr>
          <w:ilvl w:val="0"/>
          <w:numId w:val="41"/>
        </w:numPr>
        <w:spacing w:after="200" w:line="276" w:lineRule="auto"/>
        <w:rPr>
          <w:rFonts w:cs="Arial"/>
          <w:szCs w:val="26"/>
        </w:rPr>
      </w:pPr>
      <w:r w:rsidRPr="00780264">
        <w:rPr>
          <w:rFonts w:cs="Arial"/>
          <w:szCs w:val="26"/>
        </w:rPr>
        <w:t>contract negotiation and administration</w:t>
      </w:r>
      <w:r w:rsidR="00A04471">
        <w:rPr>
          <w:rFonts w:cs="Arial"/>
          <w:szCs w:val="26"/>
        </w:rPr>
        <w:t>; and</w:t>
      </w:r>
    </w:p>
    <w:p w14:paraId="7308D13F" w14:textId="4FB9756C" w:rsidR="000D71AB" w:rsidRPr="00780264" w:rsidRDefault="000D71AB" w:rsidP="002B5204">
      <w:pPr>
        <w:pStyle w:val="ListParagraph"/>
        <w:numPr>
          <w:ilvl w:val="0"/>
          <w:numId w:val="41"/>
        </w:numPr>
        <w:spacing w:after="200" w:line="276" w:lineRule="auto"/>
        <w:rPr>
          <w:rFonts w:cs="Arial"/>
          <w:szCs w:val="26"/>
        </w:rPr>
      </w:pPr>
      <w:r w:rsidRPr="00780264">
        <w:rPr>
          <w:rFonts w:cs="Arial"/>
          <w:szCs w:val="26"/>
        </w:rPr>
        <w:t>managing the consultation process with stakeholders.</w:t>
      </w:r>
    </w:p>
    <w:p w14:paraId="690B7435" w14:textId="295BEE73" w:rsidR="001D133A" w:rsidRDefault="001D133A" w:rsidP="001D133A">
      <w:pPr>
        <w:pStyle w:val="Heading1"/>
      </w:pPr>
      <w:r w:rsidRPr="004063C9">
        <w:t>Essential requir</w:t>
      </w:r>
      <w:r w:rsidR="00E31CD3" w:rsidRPr="004063C9">
        <w:t>e</w:t>
      </w:r>
      <w:r w:rsidRPr="004063C9">
        <w:t>ments</w:t>
      </w:r>
    </w:p>
    <w:p w14:paraId="49BA8D39" w14:textId="5725D56D" w:rsidR="004D53D0" w:rsidRPr="00392D9D" w:rsidRDefault="00C657CE" w:rsidP="00860EC8">
      <w:pPr>
        <w:pStyle w:val="ListParagraph"/>
        <w:numPr>
          <w:ilvl w:val="0"/>
          <w:numId w:val="15"/>
        </w:numPr>
        <w:spacing w:after="60" w:line="276" w:lineRule="auto"/>
        <w:ind w:left="714" w:hanging="357"/>
        <w:contextualSpacing w:val="0"/>
        <w:rPr>
          <w:rFonts w:cs="Arial"/>
          <w:szCs w:val="26"/>
        </w:rPr>
      </w:pPr>
      <w:bookmarkStart w:id="20" w:name="EssentialReqs"/>
      <w:bookmarkEnd w:id="20"/>
      <w:r w:rsidRPr="00780264">
        <w:rPr>
          <w:rFonts w:cs="Arial"/>
          <w:szCs w:val="26"/>
        </w:rPr>
        <w:t xml:space="preserve">Tertiary qualifications in a </w:t>
      </w:r>
      <w:r w:rsidR="00954BE8" w:rsidRPr="00780264">
        <w:rPr>
          <w:rFonts w:cs="Arial"/>
          <w:szCs w:val="26"/>
        </w:rPr>
        <w:t>relevant</w:t>
      </w:r>
      <w:r w:rsidRPr="00780264">
        <w:rPr>
          <w:rFonts w:cs="Arial"/>
          <w:szCs w:val="26"/>
        </w:rPr>
        <w:t xml:space="preserve"> discipline such </w:t>
      </w:r>
      <w:r w:rsidR="00954BE8" w:rsidRPr="00780264">
        <w:rPr>
          <w:rFonts w:cs="Arial"/>
          <w:szCs w:val="26"/>
        </w:rPr>
        <w:t xml:space="preserve">as </w:t>
      </w:r>
      <w:r w:rsidR="004D53D0">
        <w:rPr>
          <w:rFonts w:cs="Arial"/>
          <w:szCs w:val="26"/>
        </w:rPr>
        <w:t xml:space="preserve">property development, </w:t>
      </w:r>
      <w:r w:rsidR="00954BE8" w:rsidRPr="00780264">
        <w:rPr>
          <w:rFonts w:cs="Arial"/>
          <w:szCs w:val="26"/>
        </w:rPr>
        <w:t>engineering</w:t>
      </w:r>
      <w:r w:rsidR="004063C9" w:rsidRPr="00780264">
        <w:rPr>
          <w:rFonts w:cs="Arial"/>
          <w:szCs w:val="26"/>
        </w:rPr>
        <w:t>, land economics, valuation, commerce, construction management,</w:t>
      </w:r>
      <w:r w:rsidR="00B55D8F">
        <w:rPr>
          <w:rFonts w:cs="Arial"/>
          <w:szCs w:val="26"/>
        </w:rPr>
        <w:t xml:space="preserve"> architecture,</w:t>
      </w:r>
      <w:r w:rsidR="004063C9" w:rsidRPr="00780264">
        <w:rPr>
          <w:rFonts w:cs="Arial"/>
          <w:szCs w:val="26"/>
        </w:rPr>
        <w:t xml:space="preserve"> project management</w:t>
      </w:r>
      <w:r w:rsidR="004D53D0">
        <w:rPr>
          <w:rFonts w:cs="Arial"/>
          <w:szCs w:val="26"/>
        </w:rPr>
        <w:t xml:space="preserve"> or</w:t>
      </w:r>
      <w:r w:rsidR="004063C9" w:rsidRPr="00780264">
        <w:rPr>
          <w:rFonts w:cs="Arial"/>
          <w:szCs w:val="26"/>
        </w:rPr>
        <w:t xml:space="preserve"> planning</w:t>
      </w:r>
      <w:r w:rsidR="00392D9D" w:rsidRPr="00780264">
        <w:rPr>
          <w:rFonts w:cs="Arial"/>
          <w:szCs w:val="26"/>
        </w:rPr>
        <w:t>.</w:t>
      </w:r>
    </w:p>
    <w:p w14:paraId="6DC42760" w14:textId="77777777" w:rsidR="004D53D0" w:rsidRPr="004D53D0" w:rsidRDefault="004D53D0" w:rsidP="00860EC8">
      <w:pPr>
        <w:pStyle w:val="Heading1"/>
      </w:pPr>
      <w:bookmarkStart w:id="21" w:name="_Hlk38902008"/>
      <w:r w:rsidRPr="00BF371B">
        <w:t>WHS Obligations</w:t>
      </w:r>
    </w:p>
    <w:p w14:paraId="4BA87362" w14:textId="77777777" w:rsidR="000D71AB" w:rsidRDefault="00E369EA" w:rsidP="000D71AB">
      <w:pPr>
        <w:spacing w:after="60" w:line="240" w:lineRule="auto"/>
        <w:rPr>
          <w:rFonts w:eastAsia="Times New Roman" w:cs="Arial"/>
        </w:rPr>
      </w:pPr>
      <w:r w:rsidRPr="00E369EA">
        <w:rPr>
          <w:rFonts w:eastAsia="Times New Roman" w:cs="Arial"/>
        </w:rPr>
        <w:t xml:space="preserve">HCCDC’s most important asset is its </w:t>
      </w:r>
      <w:proofErr w:type="gramStart"/>
      <w:r w:rsidRPr="00E369EA">
        <w:rPr>
          <w:rFonts w:eastAsia="Times New Roman" w:cs="Arial"/>
        </w:rPr>
        <w:t>people</w:t>
      </w:r>
      <w:proofErr w:type="gramEnd"/>
      <w:r w:rsidRPr="00E369EA">
        <w:rPr>
          <w:rFonts w:eastAsia="Times New Roman" w:cs="Arial"/>
        </w:rPr>
        <w:t xml:space="preserve"> and we are committed to ensuring all employees are provided with a safe and healthy environment, so everyone arrives home without harm every time.</w:t>
      </w:r>
    </w:p>
    <w:p w14:paraId="1C3909BE" w14:textId="77777777" w:rsidR="000D71AB" w:rsidRDefault="000D71AB" w:rsidP="000D71AB">
      <w:pPr>
        <w:spacing w:after="60" w:line="240" w:lineRule="auto"/>
        <w:rPr>
          <w:rFonts w:eastAsia="Times New Roman" w:cs="Arial"/>
        </w:rPr>
      </w:pPr>
    </w:p>
    <w:p w14:paraId="544F08F1" w14:textId="185F547D" w:rsidR="00E369EA" w:rsidRDefault="00E369EA" w:rsidP="000D71AB">
      <w:pPr>
        <w:spacing w:after="60" w:line="240" w:lineRule="auto"/>
        <w:rPr>
          <w:rFonts w:eastAsia="Times New Roman" w:cs="Arial"/>
        </w:rPr>
      </w:pPr>
      <w:r>
        <w:rPr>
          <w:rFonts w:eastAsia="Times New Roman" w:cs="Arial"/>
        </w:rPr>
        <w:t>All staff at HCCDC are required to:</w:t>
      </w:r>
    </w:p>
    <w:p w14:paraId="7716F86A"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Lead by example and demonstrate genuine care for others, being involved and providing feedback</w:t>
      </w:r>
      <w:r>
        <w:rPr>
          <w:rFonts w:cs="Arial"/>
          <w:szCs w:val="26"/>
        </w:rPr>
        <w:t>.</w:t>
      </w:r>
    </w:p>
    <w:p w14:paraId="4744E5CE"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 xml:space="preserve">Stop work and seek advice from supervisors if </w:t>
      </w:r>
      <w:r>
        <w:rPr>
          <w:rFonts w:cs="Arial"/>
          <w:szCs w:val="26"/>
        </w:rPr>
        <w:t xml:space="preserve">they </w:t>
      </w:r>
      <w:r w:rsidRPr="00860EC8">
        <w:rPr>
          <w:rFonts w:cs="Arial"/>
          <w:szCs w:val="26"/>
        </w:rPr>
        <w:t xml:space="preserve">believe </w:t>
      </w:r>
      <w:r>
        <w:rPr>
          <w:rFonts w:cs="Arial"/>
          <w:szCs w:val="26"/>
        </w:rPr>
        <w:t xml:space="preserve">the </w:t>
      </w:r>
      <w:r w:rsidRPr="00860EC8">
        <w:rPr>
          <w:rFonts w:cs="Arial"/>
          <w:szCs w:val="26"/>
        </w:rPr>
        <w:t>workplace is unsafe</w:t>
      </w:r>
      <w:r>
        <w:rPr>
          <w:rFonts w:cs="Arial"/>
          <w:szCs w:val="26"/>
        </w:rPr>
        <w:t>.</w:t>
      </w:r>
    </w:p>
    <w:p w14:paraId="3930EDDF"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Take reasonable steps to ensure health &amp; safety</w:t>
      </w:r>
      <w:r>
        <w:rPr>
          <w:rFonts w:cs="Arial"/>
          <w:szCs w:val="26"/>
        </w:rPr>
        <w:t>.</w:t>
      </w:r>
    </w:p>
    <w:p w14:paraId="25225C47"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Understand and comply with procedures</w:t>
      </w:r>
      <w:r>
        <w:rPr>
          <w:rFonts w:cs="Arial"/>
          <w:szCs w:val="26"/>
        </w:rPr>
        <w:t>.</w:t>
      </w:r>
    </w:p>
    <w:p w14:paraId="323AE896"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Participate in risk management activities, e.g. Take 5</w:t>
      </w:r>
      <w:r>
        <w:rPr>
          <w:rFonts w:cs="Arial"/>
          <w:szCs w:val="26"/>
        </w:rPr>
        <w:t>.</w:t>
      </w:r>
    </w:p>
    <w:p w14:paraId="18F97F56"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Ensure visitors, consultants and contractors are aware of hazards, risks and controls</w:t>
      </w:r>
      <w:r>
        <w:rPr>
          <w:rFonts w:cs="Arial"/>
          <w:szCs w:val="26"/>
        </w:rPr>
        <w:t>.</w:t>
      </w:r>
    </w:p>
    <w:p w14:paraId="3696CC9A" w14:textId="77777777" w:rsidR="00E369EA" w:rsidRPr="00860EC8" w:rsidRDefault="00E369EA" w:rsidP="000D71AB">
      <w:pPr>
        <w:pStyle w:val="ListParagraph"/>
        <w:numPr>
          <w:ilvl w:val="0"/>
          <w:numId w:val="15"/>
        </w:numPr>
        <w:spacing w:after="200" w:line="276" w:lineRule="auto"/>
        <w:rPr>
          <w:rFonts w:cs="Arial"/>
          <w:szCs w:val="26"/>
        </w:rPr>
      </w:pPr>
      <w:r w:rsidRPr="00860EC8">
        <w:rPr>
          <w:rFonts w:cs="Arial"/>
          <w:szCs w:val="26"/>
        </w:rPr>
        <w:t>Ensure contractors and consultants complete risk assessments prior to undertaking onsite activities Team Leaders and Supervisors</w:t>
      </w:r>
      <w:r>
        <w:rPr>
          <w:rFonts w:cs="Arial"/>
          <w:szCs w:val="26"/>
        </w:rPr>
        <w:t>.</w:t>
      </w:r>
    </w:p>
    <w:bookmarkEnd w:id="21"/>
    <w:p w14:paraId="2EE172CB" w14:textId="3088D4EF" w:rsidR="00E369EA" w:rsidRPr="00860EC8" w:rsidRDefault="00E369EA" w:rsidP="00860EC8">
      <w:pPr>
        <w:spacing w:after="60" w:line="276" w:lineRule="auto"/>
        <w:rPr>
          <w:rFonts w:cs="Arial"/>
          <w:szCs w:val="26"/>
        </w:rPr>
      </w:pPr>
      <w:proofErr w:type="gramStart"/>
      <w:r>
        <w:rPr>
          <w:rFonts w:cs="Arial"/>
          <w:szCs w:val="26"/>
        </w:rPr>
        <w:t xml:space="preserve">As a supervisor, the </w:t>
      </w:r>
      <w:r w:rsidR="000D71AB">
        <w:rPr>
          <w:rFonts w:cs="Arial"/>
          <w:szCs w:val="26"/>
        </w:rPr>
        <w:t>role</w:t>
      </w:r>
      <w:proofErr w:type="gramEnd"/>
      <w:r w:rsidR="000D71AB">
        <w:rPr>
          <w:rFonts w:cs="Arial"/>
          <w:szCs w:val="26"/>
        </w:rPr>
        <w:t xml:space="preserve"> i</w:t>
      </w:r>
      <w:r>
        <w:rPr>
          <w:rFonts w:cs="Arial"/>
          <w:szCs w:val="26"/>
        </w:rPr>
        <w:t>s also required to:</w:t>
      </w:r>
    </w:p>
    <w:p w14:paraId="19FD8F4B" w14:textId="77777777" w:rsidR="00E369EA" w:rsidRPr="003500A1" w:rsidRDefault="00E369EA" w:rsidP="000D71AB">
      <w:pPr>
        <w:pStyle w:val="ListParagraph"/>
        <w:numPr>
          <w:ilvl w:val="0"/>
          <w:numId w:val="15"/>
        </w:numPr>
        <w:spacing w:after="200" w:line="276" w:lineRule="auto"/>
        <w:rPr>
          <w:rFonts w:cs="Arial"/>
          <w:szCs w:val="26"/>
        </w:rPr>
      </w:pPr>
      <w:r w:rsidRPr="003500A1">
        <w:rPr>
          <w:rFonts w:cs="Arial"/>
          <w:szCs w:val="26"/>
        </w:rPr>
        <w:t>Review the management of hazards and corrective actions</w:t>
      </w:r>
      <w:r>
        <w:rPr>
          <w:rFonts w:cs="Arial"/>
          <w:szCs w:val="26"/>
        </w:rPr>
        <w:t>.</w:t>
      </w:r>
    </w:p>
    <w:p w14:paraId="2F6EF6E8" w14:textId="77777777" w:rsidR="00E369EA" w:rsidRPr="003500A1" w:rsidRDefault="00E369EA" w:rsidP="000D71AB">
      <w:pPr>
        <w:pStyle w:val="ListParagraph"/>
        <w:numPr>
          <w:ilvl w:val="0"/>
          <w:numId w:val="15"/>
        </w:numPr>
        <w:spacing w:after="200" w:line="276" w:lineRule="auto"/>
        <w:rPr>
          <w:rFonts w:cs="Arial"/>
          <w:szCs w:val="26"/>
        </w:rPr>
      </w:pPr>
      <w:r w:rsidRPr="003500A1">
        <w:rPr>
          <w:rFonts w:cs="Arial"/>
          <w:szCs w:val="26"/>
        </w:rPr>
        <w:t>Support workers to complete risk assessments</w:t>
      </w:r>
      <w:r>
        <w:rPr>
          <w:rFonts w:cs="Arial"/>
          <w:szCs w:val="26"/>
        </w:rPr>
        <w:t>.</w:t>
      </w:r>
    </w:p>
    <w:p w14:paraId="4F02E0C5" w14:textId="77777777" w:rsidR="00E369EA" w:rsidRPr="003500A1" w:rsidRDefault="00E369EA" w:rsidP="000D71AB">
      <w:pPr>
        <w:pStyle w:val="ListParagraph"/>
        <w:numPr>
          <w:ilvl w:val="0"/>
          <w:numId w:val="15"/>
        </w:numPr>
        <w:spacing w:after="200" w:line="276" w:lineRule="auto"/>
        <w:rPr>
          <w:rFonts w:cs="Arial"/>
          <w:szCs w:val="26"/>
        </w:rPr>
      </w:pPr>
      <w:r w:rsidRPr="003500A1">
        <w:rPr>
          <w:rFonts w:cs="Arial"/>
          <w:szCs w:val="26"/>
        </w:rPr>
        <w:t>Assist with incident response and injured/ill employee return to work</w:t>
      </w:r>
      <w:r>
        <w:rPr>
          <w:rFonts w:cs="Arial"/>
          <w:szCs w:val="26"/>
        </w:rPr>
        <w:t>.</w:t>
      </w:r>
    </w:p>
    <w:p w14:paraId="3C75D223" w14:textId="77777777" w:rsidR="00E369EA" w:rsidRDefault="00E369EA" w:rsidP="000D71AB">
      <w:pPr>
        <w:pStyle w:val="ListParagraph"/>
        <w:numPr>
          <w:ilvl w:val="0"/>
          <w:numId w:val="15"/>
        </w:numPr>
        <w:spacing w:after="200" w:line="276" w:lineRule="auto"/>
        <w:rPr>
          <w:rFonts w:cs="Arial"/>
          <w:szCs w:val="26"/>
        </w:rPr>
      </w:pPr>
      <w:r w:rsidRPr="003500A1">
        <w:rPr>
          <w:rFonts w:cs="Arial"/>
          <w:szCs w:val="26"/>
        </w:rPr>
        <w:t>Encourage and monitor staff</w:t>
      </w:r>
      <w:r>
        <w:rPr>
          <w:rFonts w:cs="Arial"/>
          <w:szCs w:val="26"/>
        </w:rPr>
        <w:t>.</w:t>
      </w:r>
    </w:p>
    <w:p w14:paraId="34E5D4F1" w14:textId="5B4851ED" w:rsidR="0029069B" w:rsidRDefault="001E2398" w:rsidP="000D71AB">
      <w:pPr>
        <w:pStyle w:val="ListParagraph"/>
        <w:numPr>
          <w:ilvl w:val="0"/>
          <w:numId w:val="15"/>
        </w:numPr>
        <w:spacing w:after="200" w:line="276" w:lineRule="auto"/>
        <w:rPr>
          <w:rFonts w:cs="Arial"/>
          <w:szCs w:val="26"/>
        </w:rPr>
      </w:pPr>
      <w:r>
        <w:rPr>
          <w:rFonts w:cs="Arial"/>
          <w:szCs w:val="26"/>
        </w:rPr>
        <w:t>Demonstrate and p</w:t>
      </w:r>
      <w:r w:rsidR="0029069B">
        <w:rPr>
          <w:rFonts w:cs="Arial"/>
          <w:szCs w:val="26"/>
        </w:rPr>
        <w:t xml:space="preserve">romote </w:t>
      </w:r>
      <w:r w:rsidR="001A2AC8">
        <w:rPr>
          <w:rFonts w:cs="Arial"/>
          <w:szCs w:val="26"/>
        </w:rPr>
        <w:t xml:space="preserve">and </w:t>
      </w:r>
      <w:r w:rsidR="000C4C8F">
        <w:rPr>
          <w:rFonts w:cs="Arial"/>
          <w:szCs w:val="26"/>
        </w:rPr>
        <w:t xml:space="preserve">HCCDC’s culture statement and </w:t>
      </w:r>
      <w:r w:rsidR="001A2AC8">
        <w:rPr>
          <w:rFonts w:cs="Arial"/>
          <w:szCs w:val="26"/>
        </w:rPr>
        <w:t>behaviour.</w:t>
      </w:r>
    </w:p>
    <w:p w14:paraId="7A2FE86D" w14:textId="77777777" w:rsidR="001E6660" w:rsidRPr="00C978B9" w:rsidRDefault="001E6660" w:rsidP="001E6660">
      <w:pPr>
        <w:pStyle w:val="Heading1"/>
      </w:pPr>
      <w:r w:rsidRPr="00C978B9">
        <w:t>Capabilities for the role</w:t>
      </w:r>
    </w:p>
    <w:p w14:paraId="1AF490D7" w14:textId="77777777" w:rsidR="001E6660" w:rsidRPr="00175AAF" w:rsidRDefault="001E6660" w:rsidP="001E6660">
      <w:r w:rsidRPr="001E6660">
        <w:rPr>
          <w:szCs w:val="22"/>
        </w:rPr>
        <w:t xml:space="preserve">The </w:t>
      </w:r>
      <w:hyperlink r:id="rId11" w:history="1">
        <w:r w:rsidRPr="001E6660">
          <w:rPr>
            <w:rStyle w:val="Hyperlink"/>
            <w:sz w:val="22"/>
            <w:szCs w:val="22"/>
          </w:rPr>
          <w:t>NSW public sector capability framework</w:t>
        </w:r>
      </w:hyperlink>
      <w:r w:rsidRPr="001E6660">
        <w:rPr>
          <w:szCs w:val="22"/>
        </w:rPr>
        <w:t xml:space="preserve"> describes the capabilities (knowledge, skills and abilities) needed</w:t>
      </w:r>
      <w:r>
        <w:t xml:space="preserve">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36549AB" w14:textId="77777777" w:rsidR="001E6660" w:rsidRPr="00175AAF" w:rsidRDefault="001E6660" w:rsidP="001E6660">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FC7FC7D" w14:textId="77777777" w:rsidR="001E6660" w:rsidRPr="00C978B9" w:rsidRDefault="001E6660" w:rsidP="001E6660">
      <w:pPr>
        <w:pStyle w:val="Heading1"/>
      </w:pPr>
      <w:r w:rsidRPr="00C978B9">
        <w:t xml:space="preserve">Focus </w:t>
      </w:r>
      <w:r>
        <w:t>c</w:t>
      </w:r>
      <w:r w:rsidRPr="00C978B9">
        <w:t>apabilities</w:t>
      </w:r>
    </w:p>
    <w:p w14:paraId="462E194F" w14:textId="77777777" w:rsidR="001E6660" w:rsidRDefault="001E6660" w:rsidP="001E666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718DB3A1" w14:textId="7E4ACA02" w:rsidR="001E6660" w:rsidRDefault="001E6660" w:rsidP="001E6660">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498C676" w14:textId="77777777" w:rsidR="001E6660" w:rsidRPr="00BB12E9" w:rsidRDefault="001E6660" w:rsidP="001E6660">
      <w:pPr>
        <w:pStyle w:val="PlainText"/>
        <w:spacing w:before="62" w:line="276" w:lineRule="auto"/>
        <w:rPr>
          <w:rFonts w:eastAsiaTheme="minorEastAsia"/>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E6660" w:rsidRPr="00803E47" w14:paraId="02F77139" w14:textId="77777777" w:rsidTr="001122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4029ABF" w14:textId="77777777" w:rsidR="001E6660" w:rsidRPr="00803E47" w:rsidRDefault="001E6660" w:rsidP="0011225C">
            <w:pPr>
              <w:pStyle w:val="TableTextWhite0"/>
              <w:keepNext/>
              <w:jc w:val="both"/>
            </w:pPr>
            <w:r w:rsidRPr="00051E80">
              <w:rPr>
                <w:sz w:val="24"/>
                <w:szCs w:val="24"/>
              </w:rPr>
              <w:t>FOCUS CAPABILITIES</w:t>
            </w:r>
          </w:p>
        </w:tc>
      </w:tr>
      <w:tr w:rsidR="001E6660" w:rsidRPr="00C978B9" w14:paraId="43844568" w14:textId="77777777" w:rsidTr="001122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9BF5765" w14:textId="77777777" w:rsidR="001E6660" w:rsidRPr="00C978B9" w:rsidRDefault="001E6660" w:rsidP="0011225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C88A6AA" w14:textId="77777777" w:rsidR="001E6660" w:rsidRPr="00C978B9" w:rsidRDefault="001E6660" w:rsidP="0011225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16ECAF5" w14:textId="77777777" w:rsidR="001E6660" w:rsidRDefault="001E6660" w:rsidP="0011225C">
            <w:pPr>
              <w:pStyle w:val="TableText"/>
              <w:keepNext/>
              <w:rPr>
                <w:b/>
              </w:rPr>
            </w:pPr>
          </w:p>
        </w:tc>
        <w:tc>
          <w:tcPr>
            <w:tcW w:w="4770" w:type="dxa"/>
            <w:tcBorders>
              <w:bottom w:val="single" w:sz="12" w:space="0" w:color="auto"/>
            </w:tcBorders>
            <w:shd w:val="clear" w:color="auto" w:fill="BCBEC0"/>
          </w:tcPr>
          <w:p w14:paraId="226CF4F1" w14:textId="77777777" w:rsidR="001E6660" w:rsidRDefault="001E6660" w:rsidP="0011225C">
            <w:pPr>
              <w:pStyle w:val="TableText"/>
              <w:keepNext/>
              <w:rPr>
                <w:b/>
              </w:rPr>
            </w:pPr>
            <w:r>
              <w:rPr>
                <w:b/>
              </w:rPr>
              <w:t>Behavioural indicators</w:t>
            </w:r>
          </w:p>
        </w:tc>
        <w:tc>
          <w:tcPr>
            <w:tcW w:w="1606" w:type="dxa"/>
            <w:tcBorders>
              <w:bottom w:val="single" w:sz="12" w:space="0" w:color="auto"/>
            </w:tcBorders>
            <w:shd w:val="clear" w:color="auto" w:fill="BCBEC0"/>
          </w:tcPr>
          <w:p w14:paraId="48FD9685" w14:textId="77777777" w:rsidR="001E6660" w:rsidRDefault="001E6660" w:rsidP="0011225C">
            <w:pPr>
              <w:pStyle w:val="TableText"/>
              <w:keepNext/>
              <w:jc w:val="both"/>
              <w:rPr>
                <w:b/>
              </w:rPr>
            </w:pPr>
            <w:r>
              <w:rPr>
                <w:b/>
              </w:rPr>
              <w:t xml:space="preserve">Level </w:t>
            </w:r>
          </w:p>
        </w:tc>
      </w:tr>
      <w:tr w:rsidR="001E6660" w:rsidRPr="00527E66" w14:paraId="543A8F2E" w14:textId="77777777" w:rsidTr="0011225C">
        <w:tc>
          <w:tcPr>
            <w:tcW w:w="1406" w:type="dxa"/>
            <w:tcBorders>
              <w:bottom w:val="single" w:sz="4" w:space="0" w:color="BCBEC0"/>
            </w:tcBorders>
          </w:tcPr>
          <w:p w14:paraId="44677F7F" w14:textId="77777777" w:rsidR="001E6660" w:rsidRPr="00527E66" w:rsidRDefault="001E6660" w:rsidP="00527E66">
            <w:pPr>
              <w:keepNext/>
              <w:spacing w:after="0" w:line="240" w:lineRule="auto"/>
              <w:rPr>
                <w:rFonts w:asciiTheme="majorHAnsi" w:hAnsiTheme="majorHAnsi" w:cstheme="majorHAnsi"/>
                <w:sz w:val="20"/>
              </w:rPr>
            </w:pPr>
            <w:r w:rsidRPr="00527E66">
              <w:rPr>
                <w:rFonts w:asciiTheme="majorHAnsi" w:hAnsiTheme="majorHAnsi" w:cstheme="majorHAnsi"/>
                <w:noProof/>
                <w:sz w:val="20"/>
                <w:lang w:eastAsia="en-AU"/>
              </w:rPr>
              <w:drawing>
                <wp:inline distT="0" distB="0" distL="0" distR="0" wp14:anchorId="7739CAED" wp14:editId="7F2AE53F">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193075F"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Act with Integrity</w:t>
            </w:r>
          </w:p>
          <w:p w14:paraId="108EB85B" w14:textId="77777777" w:rsidR="001E6660" w:rsidRPr="00527E66" w:rsidRDefault="001E6660" w:rsidP="00527E66">
            <w:pPr>
              <w:pStyle w:val="TableText"/>
              <w:keepNext/>
              <w:spacing w:before="0" w:after="0" w:line="240" w:lineRule="auto"/>
              <w:rPr>
                <w:rFonts w:asciiTheme="majorHAnsi" w:hAnsiTheme="majorHAnsi" w:cstheme="majorHAnsi"/>
              </w:rPr>
            </w:pPr>
            <w:r w:rsidRPr="00527E66">
              <w:rPr>
                <w:rFonts w:asciiTheme="majorHAnsi" w:hAnsiTheme="majorHAnsi" w:cstheme="majorHAnsi"/>
              </w:rPr>
              <w:t>Be ethical and professional, and uphold and promote the public sector values</w:t>
            </w:r>
          </w:p>
        </w:tc>
        <w:tc>
          <w:tcPr>
            <w:tcW w:w="4770" w:type="dxa"/>
            <w:tcBorders>
              <w:bottom w:val="single" w:sz="4" w:space="0" w:color="BCBEC0"/>
            </w:tcBorders>
          </w:tcPr>
          <w:p w14:paraId="4E4343A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Model the highest standards of ethical and professional behaviour and reinforce their use</w:t>
            </w:r>
          </w:p>
          <w:p w14:paraId="0587AAF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Represent the organisation in an honest, ethical and professional way and set an example for others to follow</w:t>
            </w:r>
          </w:p>
          <w:p w14:paraId="40B6E09C"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Promote a culture of integrity and professionalism within the organisation and in dealings external to government</w:t>
            </w:r>
          </w:p>
          <w:p w14:paraId="42D38575"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Monitor ethical practices, standards and systems and reinforce their use</w:t>
            </w:r>
          </w:p>
          <w:p w14:paraId="47B3A99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Act promptly on reported breaches of legislation, policies and guidelines</w:t>
            </w:r>
          </w:p>
        </w:tc>
        <w:tc>
          <w:tcPr>
            <w:tcW w:w="1606" w:type="dxa"/>
            <w:tcBorders>
              <w:bottom w:val="single" w:sz="4" w:space="0" w:color="BCBEC0"/>
            </w:tcBorders>
          </w:tcPr>
          <w:p w14:paraId="527E5974"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Advanced</w:t>
            </w:r>
          </w:p>
        </w:tc>
      </w:tr>
      <w:tr w:rsidR="001E6660" w:rsidRPr="00527E66" w14:paraId="10A04AF2" w14:textId="77777777" w:rsidTr="0011225C">
        <w:tc>
          <w:tcPr>
            <w:tcW w:w="1406" w:type="dxa"/>
            <w:vMerge w:val="restart"/>
            <w:tcBorders>
              <w:bottom w:val="single" w:sz="4" w:space="0" w:color="BCBEC0"/>
            </w:tcBorders>
          </w:tcPr>
          <w:p w14:paraId="6593C1F5" w14:textId="77777777" w:rsidR="001E6660" w:rsidRPr="00527E66" w:rsidRDefault="001E6660" w:rsidP="00527E66">
            <w:pPr>
              <w:keepNext/>
              <w:spacing w:after="0" w:line="240" w:lineRule="auto"/>
              <w:rPr>
                <w:rFonts w:asciiTheme="majorHAnsi" w:hAnsiTheme="majorHAnsi" w:cstheme="majorHAnsi"/>
                <w:sz w:val="20"/>
              </w:rPr>
            </w:pPr>
            <w:r w:rsidRPr="00527E66">
              <w:rPr>
                <w:rFonts w:asciiTheme="majorHAnsi" w:hAnsiTheme="majorHAnsi" w:cstheme="majorHAnsi"/>
                <w:noProof/>
                <w:sz w:val="20"/>
                <w:lang w:eastAsia="en-AU"/>
              </w:rPr>
              <w:drawing>
                <wp:inline distT="0" distB="0" distL="0" distR="0" wp14:anchorId="2BA9AB88" wp14:editId="27264DCF">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084C392"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Communicate Effectively</w:t>
            </w:r>
          </w:p>
          <w:p w14:paraId="304FA3A3" w14:textId="77777777" w:rsidR="001E6660" w:rsidRPr="00527E66" w:rsidRDefault="001E6660" w:rsidP="00527E66">
            <w:pPr>
              <w:pStyle w:val="TableText"/>
              <w:keepNext/>
              <w:spacing w:before="0" w:after="0" w:line="240" w:lineRule="auto"/>
              <w:rPr>
                <w:rFonts w:asciiTheme="majorHAnsi" w:hAnsiTheme="majorHAnsi" w:cstheme="majorHAnsi"/>
              </w:rPr>
            </w:pPr>
            <w:r w:rsidRPr="00527E66">
              <w:rPr>
                <w:rFonts w:asciiTheme="majorHAnsi" w:hAnsiTheme="majorHAnsi" w:cstheme="majorHAnsi"/>
              </w:rPr>
              <w:t>Communicate clearly, actively listen to others, and respond with understanding and respect</w:t>
            </w:r>
          </w:p>
        </w:tc>
        <w:tc>
          <w:tcPr>
            <w:tcW w:w="4770" w:type="dxa"/>
            <w:tcBorders>
              <w:bottom w:val="single" w:sz="4" w:space="0" w:color="BCBEC0"/>
            </w:tcBorders>
          </w:tcPr>
          <w:p w14:paraId="7A4577C2"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Present with credibility, engage diverse audiences and test levels of understanding</w:t>
            </w:r>
          </w:p>
          <w:p w14:paraId="56103B9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Translate technical and complex information clearly and concisely for diverse audiences</w:t>
            </w:r>
          </w:p>
          <w:p w14:paraId="47CC1D33"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Create opportunities for others to contribute to discussion and debate</w:t>
            </w:r>
          </w:p>
          <w:p w14:paraId="7C891094"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Contribute to and promote information sharing across the organisation</w:t>
            </w:r>
          </w:p>
          <w:p w14:paraId="314E02E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Manage complex communications that involve understanding and responding to multiple and divergent viewpoints</w:t>
            </w:r>
          </w:p>
          <w:p w14:paraId="18D29C4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Explore creative ways to engage diverse audiences and communicate information</w:t>
            </w:r>
          </w:p>
          <w:p w14:paraId="62C3393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Adjust style and approach to optimise outcomes</w:t>
            </w:r>
          </w:p>
          <w:p w14:paraId="767808B7"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Write fluently and persuasively in plain English and in a range of styles and formats</w:t>
            </w:r>
          </w:p>
        </w:tc>
        <w:tc>
          <w:tcPr>
            <w:tcW w:w="1606" w:type="dxa"/>
            <w:tcBorders>
              <w:bottom w:val="single" w:sz="4" w:space="0" w:color="BCBEC0"/>
            </w:tcBorders>
          </w:tcPr>
          <w:p w14:paraId="75F344B8"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Advanced</w:t>
            </w:r>
          </w:p>
        </w:tc>
      </w:tr>
      <w:tr w:rsidR="001E6660" w:rsidRPr="00527E66" w14:paraId="452521D4" w14:textId="77777777" w:rsidTr="0011225C">
        <w:tc>
          <w:tcPr>
            <w:tcW w:w="1406" w:type="dxa"/>
            <w:vMerge/>
            <w:tcBorders>
              <w:bottom w:val="single" w:sz="4" w:space="0" w:color="BCBEC0"/>
            </w:tcBorders>
          </w:tcPr>
          <w:p w14:paraId="7067E261" w14:textId="77777777" w:rsidR="001E6660" w:rsidRPr="00527E66" w:rsidRDefault="001E6660" w:rsidP="00527E66">
            <w:pPr>
              <w:keepNext/>
              <w:spacing w:after="0" w:line="240" w:lineRule="auto"/>
              <w:rPr>
                <w:rFonts w:asciiTheme="majorHAnsi" w:hAnsiTheme="majorHAnsi" w:cstheme="majorHAnsi"/>
                <w:noProof/>
                <w:sz w:val="20"/>
                <w:lang w:eastAsia="en-AU"/>
              </w:rPr>
            </w:pPr>
          </w:p>
        </w:tc>
        <w:tc>
          <w:tcPr>
            <w:tcW w:w="2971" w:type="dxa"/>
            <w:gridSpan w:val="2"/>
            <w:tcBorders>
              <w:bottom w:val="single" w:sz="4" w:space="0" w:color="BCBEC0"/>
            </w:tcBorders>
          </w:tcPr>
          <w:p w14:paraId="5C64937B"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Influence and Negotiate</w:t>
            </w:r>
          </w:p>
          <w:p w14:paraId="197AB36C"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rPr>
              <w:t>Gain consensus and commitment from others, and resolve issues and conflicts</w:t>
            </w:r>
          </w:p>
        </w:tc>
        <w:tc>
          <w:tcPr>
            <w:tcW w:w="4770" w:type="dxa"/>
            <w:tcBorders>
              <w:bottom w:val="single" w:sz="4" w:space="0" w:color="BCBEC0"/>
            </w:tcBorders>
          </w:tcPr>
          <w:p w14:paraId="6405CD66"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Influence others with a fair and considered approach and present persuasive counter-</w:t>
            </w:r>
            <w:proofErr w:type="gramStart"/>
            <w:r w:rsidRPr="00527E66">
              <w:rPr>
                <w:rFonts w:asciiTheme="majorHAnsi" w:hAnsiTheme="majorHAnsi" w:cstheme="majorHAnsi"/>
                <w:sz w:val="20"/>
                <w:szCs w:val="20"/>
              </w:rPr>
              <w:t>arguments</w:t>
            </w:r>
            <w:proofErr w:type="gramEnd"/>
          </w:p>
          <w:p w14:paraId="4DA5A3C3"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Work towards mutually beneficial ‘win-win’ outcomes</w:t>
            </w:r>
          </w:p>
          <w:p w14:paraId="6688444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Show sensitivity and understanding in resolving acute and complex conflicts and differences</w:t>
            </w:r>
          </w:p>
          <w:p w14:paraId="14B07332"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Identify key stakeholders and gain their support in advance</w:t>
            </w:r>
          </w:p>
          <w:p w14:paraId="5040145D"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Establish a clear negotiation position based on research, a firm grasp of key issues, likely arguments, points of difference and areas for compromise</w:t>
            </w:r>
          </w:p>
          <w:p w14:paraId="455A0D66"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Anticipate and minimise conflict within the organisation and with external stakeholders</w:t>
            </w:r>
          </w:p>
        </w:tc>
        <w:tc>
          <w:tcPr>
            <w:tcW w:w="1606" w:type="dxa"/>
            <w:tcBorders>
              <w:bottom w:val="single" w:sz="4" w:space="0" w:color="BCBEC0"/>
            </w:tcBorders>
          </w:tcPr>
          <w:p w14:paraId="2AC0E530"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Advanced</w:t>
            </w:r>
          </w:p>
        </w:tc>
      </w:tr>
      <w:tr w:rsidR="001E6660" w:rsidRPr="00527E66" w14:paraId="64336B11" w14:textId="77777777" w:rsidTr="0011225C">
        <w:tc>
          <w:tcPr>
            <w:tcW w:w="1406" w:type="dxa"/>
            <w:vMerge w:val="restart"/>
            <w:tcBorders>
              <w:bottom w:val="single" w:sz="4" w:space="0" w:color="BCBEC0"/>
            </w:tcBorders>
          </w:tcPr>
          <w:p w14:paraId="3C8F8F1E" w14:textId="77777777" w:rsidR="001E6660" w:rsidRPr="00527E66" w:rsidRDefault="001E6660" w:rsidP="00527E66">
            <w:pPr>
              <w:keepNext/>
              <w:spacing w:after="0" w:line="240" w:lineRule="auto"/>
              <w:rPr>
                <w:rFonts w:asciiTheme="majorHAnsi" w:hAnsiTheme="majorHAnsi" w:cstheme="majorHAnsi"/>
                <w:sz w:val="20"/>
              </w:rPr>
            </w:pPr>
            <w:r w:rsidRPr="00527E66">
              <w:rPr>
                <w:rFonts w:asciiTheme="majorHAnsi" w:hAnsiTheme="majorHAnsi" w:cstheme="majorHAnsi"/>
                <w:noProof/>
                <w:sz w:val="20"/>
                <w:lang w:eastAsia="en-AU"/>
              </w:rPr>
              <w:drawing>
                <wp:inline distT="0" distB="0" distL="0" distR="0" wp14:anchorId="0383CA08" wp14:editId="71EA417C">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A724837"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Deliver Results</w:t>
            </w:r>
          </w:p>
          <w:p w14:paraId="3D494969" w14:textId="77777777" w:rsidR="001E6660" w:rsidRPr="00527E66" w:rsidRDefault="001E6660" w:rsidP="00527E66">
            <w:pPr>
              <w:pStyle w:val="TableText"/>
              <w:keepNext/>
              <w:spacing w:before="0" w:after="0" w:line="240" w:lineRule="auto"/>
              <w:rPr>
                <w:rFonts w:asciiTheme="majorHAnsi" w:hAnsiTheme="majorHAnsi" w:cstheme="majorHAnsi"/>
              </w:rPr>
            </w:pPr>
            <w:r w:rsidRPr="00527E66">
              <w:rPr>
                <w:rFonts w:asciiTheme="majorHAnsi" w:hAnsiTheme="majorHAnsi" w:cstheme="majorHAnsi"/>
              </w:rPr>
              <w:t>Achieve results through the efficient use of resources and a commitment to quality outcomes</w:t>
            </w:r>
          </w:p>
        </w:tc>
        <w:tc>
          <w:tcPr>
            <w:tcW w:w="4770" w:type="dxa"/>
            <w:tcBorders>
              <w:bottom w:val="single" w:sz="4" w:space="0" w:color="BCBEC0"/>
            </w:tcBorders>
          </w:tcPr>
          <w:p w14:paraId="3F921C6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Seek and apply the expertise of key individuals to achieve organisational outcomes</w:t>
            </w:r>
          </w:p>
          <w:p w14:paraId="6358A4C2"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Drive a culture of achievement and acknowledge input from others</w:t>
            </w:r>
          </w:p>
          <w:p w14:paraId="5AB5A4A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Determine how outcomes will be measured and guide others on evaluation methods</w:t>
            </w:r>
          </w:p>
          <w:p w14:paraId="057A9661"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Investigate and create opportunities to enhance the achievement of organisational objectives</w:t>
            </w:r>
          </w:p>
          <w:p w14:paraId="4AE7B671"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Make sure others understand that on-time and on-budget results are required and how overall success is defined</w:t>
            </w:r>
          </w:p>
          <w:p w14:paraId="364EF786"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lastRenderedPageBreak/>
              <w:t>Control business unit output to ensure government outcomes are achieved within budgets</w:t>
            </w:r>
          </w:p>
          <w:p w14:paraId="0E7AADCB"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Progress organisational priorities and ensure that resources are acquired and used effectively</w:t>
            </w:r>
          </w:p>
        </w:tc>
        <w:tc>
          <w:tcPr>
            <w:tcW w:w="1606" w:type="dxa"/>
            <w:tcBorders>
              <w:bottom w:val="single" w:sz="4" w:space="0" w:color="BCBEC0"/>
            </w:tcBorders>
          </w:tcPr>
          <w:p w14:paraId="1369FD9F"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lastRenderedPageBreak/>
              <w:t>Advanced</w:t>
            </w:r>
          </w:p>
        </w:tc>
      </w:tr>
      <w:tr w:rsidR="001E6660" w:rsidRPr="00527E66" w14:paraId="60A725AA" w14:textId="77777777" w:rsidTr="0011225C">
        <w:tc>
          <w:tcPr>
            <w:tcW w:w="1406" w:type="dxa"/>
            <w:vMerge/>
            <w:tcBorders>
              <w:bottom w:val="single" w:sz="4" w:space="0" w:color="BCBEC0"/>
            </w:tcBorders>
          </w:tcPr>
          <w:p w14:paraId="239F4EC2" w14:textId="77777777" w:rsidR="001E6660" w:rsidRPr="00527E66" w:rsidRDefault="001E6660" w:rsidP="00527E66">
            <w:pPr>
              <w:keepNext/>
              <w:spacing w:after="0" w:line="240" w:lineRule="auto"/>
              <w:rPr>
                <w:rFonts w:asciiTheme="majorHAnsi" w:hAnsiTheme="majorHAnsi" w:cstheme="majorHAnsi"/>
                <w:noProof/>
                <w:sz w:val="20"/>
                <w:lang w:eastAsia="en-AU"/>
              </w:rPr>
            </w:pPr>
          </w:p>
        </w:tc>
        <w:tc>
          <w:tcPr>
            <w:tcW w:w="2971" w:type="dxa"/>
            <w:gridSpan w:val="2"/>
            <w:tcBorders>
              <w:bottom w:val="single" w:sz="4" w:space="0" w:color="BCBEC0"/>
            </w:tcBorders>
          </w:tcPr>
          <w:p w14:paraId="319D2B50"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Plan and Prioritise</w:t>
            </w:r>
          </w:p>
          <w:p w14:paraId="759376CC"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rPr>
              <w:t>Plan to achieve priority outcomes and respond flexibly to changing circumstances</w:t>
            </w:r>
          </w:p>
        </w:tc>
        <w:tc>
          <w:tcPr>
            <w:tcW w:w="4770" w:type="dxa"/>
            <w:tcBorders>
              <w:bottom w:val="single" w:sz="4" w:space="0" w:color="BCBEC0"/>
            </w:tcBorders>
          </w:tcPr>
          <w:p w14:paraId="2A4DA116"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Understand the links between the business unit, organisation and the whole-of-government agenda</w:t>
            </w:r>
          </w:p>
          <w:p w14:paraId="7F29834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Ensure business plan goals are clear and appropriate and include contingency provisions</w:t>
            </w:r>
          </w:p>
          <w:p w14:paraId="769E6D7E"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Monitor the progress of initiatives and make necessary adjustments</w:t>
            </w:r>
          </w:p>
          <w:p w14:paraId="36DB833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Anticipate and assess the impact of changes, including government policy and economic conditions, on business plans and initiatives and respond appropriately</w:t>
            </w:r>
          </w:p>
          <w:p w14:paraId="1E45CC5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Consider the implications of a wide range of complex issues and shift business priorities when necessary</w:t>
            </w:r>
          </w:p>
          <w:p w14:paraId="76BD0D01"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Undertake planning to help the organisation transition through change initiatives, and evaluate progress and outcomes to inform future planning</w:t>
            </w:r>
          </w:p>
        </w:tc>
        <w:tc>
          <w:tcPr>
            <w:tcW w:w="1606" w:type="dxa"/>
            <w:tcBorders>
              <w:bottom w:val="single" w:sz="4" w:space="0" w:color="BCBEC0"/>
            </w:tcBorders>
          </w:tcPr>
          <w:p w14:paraId="4DA8D2AD"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Advanced</w:t>
            </w:r>
          </w:p>
        </w:tc>
      </w:tr>
      <w:tr w:rsidR="001E6660" w:rsidRPr="00527E66" w14:paraId="5A83BCFD" w14:textId="77777777" w:rsidTr="0011225C">
        <w:tc>
          <w:tcPr>
            <w:tcW w:w="1406" w:type="dxa"/>
            <w:vMerge/>
            <w:tcBorders>
              <w:bottom w:val="single" w:sz="4" w:space="0" w:color="BCBEC0"/>
            </w:tcBorders>
          </w:tcPr>
          <w:p w14:paraId="075CDD67" w14:textId="77777777" w:rsidR="001E6660" w:rsidRPr="00527E66" w:rsidRDefault="001E6660" w:rsidP="00527E66">
            <w:pPr>
              <w:keepNext/>
              <w:spacing w:after="0" w:line="240" w:lineRule="auto"/>
              <w:rPr>
                <w:rFonts w:asciiTheme="majorHAnsi" w:hAnsiTheme="majorHAnsi" w:cstheme="majorHAnsi"/>
                <w:noProof/>
                <w:sz w:val="20"/>
                <w:lang w:eastAsia="en-AU"/>
              </w:rPr>
            </w:pPr>
          </w:p>
        </w:tc>
        <w:tc>
          <w:tcPr>
            <w:tcW w:w="2971" w:type="dxa"/>
            <w:gridSpan w:val="2"/>
            <w:tcBorders>
              <w:bottom w:val="single" w:sz="4" w:space="0" w:color="BCBEC0"/>
            </w:tcBorders>
          </w:tcPr>
          <w:p w14:paraId="10A66873"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Think and Solve Problems</w:t>
            </w:r>
          </w:p>
          <w:p w14:paraId="5B01C7D0"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rPr>
              <w:t>Think, analyse and consider the broader context to develop practical solutions</w:t>
            </w:r>
          </w:p>
        </w:tc>
        <w:tc>
          <w:tcPr>
            <w:tcW w:w="4770" w:type="dxa"/>
            <w:tcBorders>
              <w:bottom w:val="single" w:sz="4" w:space="0" w:color="BCBEC0"/>
            </w:tcBorders>
          </w:tcPr>
          <w:p w14:paraId="3FC0D5B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Research and apply critical-thinking techniques in analysing information, identify interrelationships and make recommendations based on relevant evidence</w:t>
            </w:r>
          </w:p>
          <w:p w14:paraId="63D4D4D4"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Anticipate, identify and address issues and potential problems that may have an impact on organisational objectives and the user experience</w:t>
            </w:r>
          </w:p>
          <w:p w14:paraId="76F5BE0D"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Apply creative-thinking techniques to generate new ideas and options to address issues and improve the user experience</w:t>
            </w:r>
          </w:p>
          <w:p w14:paraId="4C88EE49"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Seek contributions and ideas from people with diverse backgrounds and experience</w:t>
            </w:r>
          </w:p>
          <w:p w14:paraId="3C2A4036"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Participate in and contribute to team or unit initiatives to resolve common issues or barriers to effectiveness</w:t>
            </w:r>
          </w:p>
          <w:p w14:paraId="3BEE1B5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Identify and share business process improvements to enhance effectiveness</w:t>
            </w:r>
          </w:p>
        </w:tc>
        <w:tc>
          <w:tcPr>
            <w:tcW w:w="1606" w:type="dxa"/>
            <w:tcBorders>
              <w:bottom w:val="single" w:sz="4" w:space="0" w:color="BCBEC0"/>
            </w:tcBorders>
          </w:tcPr>
          <w:p w14:paraId="389C2D54"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Adept</w:t>
            </w:r>
          </w:p>
        </w:tc>
      </w:tr>
      <w:tr w:rsidR="001E6660" w:rsidRPr="00527E66" w14:paraId="085A5528" w14:textId="77777777" w:rsidTr="0011225C">
        <w:tc>
          <w:tcPr>
            <w:tcW w:w="1406" w:type="dxa"/>
            <w:vMerge w:val="restart"/>
            <w:tcBorders>
              <w:bottom w:val="single" w:sz="4" w:space="0" w:color="BCBEC0"/>
            </w:tcBorders>
          </w:tcPr>
          <w:p w14:paraId="0AF62F13" w14:textId="77777777" w:rsidR="001E6660" w:rsidRPr="00527E66" w:rsidRDefault="001E6660" w:rsidP="00527E66">
            <w:pPr>
              <w:keepNext/>
              <w:spacing w:after="0" w:line="240" w:lineRule="auto"/>
              <w:rPr>
                <w:rFonts w:asciiTheme="majorHAnsi" w:hAnsiTheme="majorHAnsi" w:cstheme="majorHAnsi"/>
                <w:sz w:val="20"/>
              </w:rPr>
            </w:pPr>
            <w:r w:rsidRPr="00527E66">
              <w:rPr>
                <w:rFonts w:asciiTheme="majorHAnsi" w:hAnsiTheme="majorHAnsi" w:cstheme="majorHAnsi"/>
                <w:noProof/>
                <w:sz w:val="20"/>
                <w:lang w:eastAsia="en-AU"/>
              </w:rPr>
              <w:drawing>
                <wp:inline distT="0" distB="0" distL="0" distR="0" wp14:anchorId="42DF352C" wp14:editId="0807AE0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178945E"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Procurement and Contract Management</w:t>
            </w:r>
          </w:p>
          <w:p w14:paraId="29E090EC" w14:textId="77777777" w:rsidR="001E6660" w:rsidRPr="00527E66" w:rsidRDefault="001E6660" w:rsidP="00527E66">
            <w:pPr>
              <w:pStyle w:val="TableText"/>
              <w:keepNext/>
              <w:spacing w:before="0" w:after="0" w:line="240" w:lineRule="auto"/>
              <w:rPr>
                <w:rFonts w:asciiTheme="majorHAnsi" w:hAnsiTheme="majorHAnsi" w:cstheme="majorHAnsi"/>
              </w:rPr>
            </w:pPr>
            <w:r w:rsidRPr="00527E66">
              <w:rPr>
                <w:rFonts w:asciiTheme="majorHAnsi" w:hAnsiTheme="majorHAnsi" w:cstheme="majorHAnsi"/>
              </w:rPr>
              <w:t>Understand and apply procurement processes to ensure effective purchasing and contract performance</w:t>
            </w:r>
          </w:p>
        </w:tc>
        <w:tc>
          <w:tcPr>
            <w:tcW w:w="4770" w:type="dxa"/>
            <w:tcBorders>
              <w:bottom w:val="single" w:sz="4" w:space="0" w:color="BCBEC0"/>
            </w:tcBorders>
          </w:tcPr>
          <w:p w14:paraId="27247F1C"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Apply legal, policy and organisational guidelines and procedures relating to procurement and contract management</w:t>
            </w:r>
          </w:p>
          <w:p w14:paraId="3E2D12B0"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Develop well-written, well-structured procurement documentation that clearly sets out the business requirements</w:t>
            </w:r>
          </w:p>
          <w:p w14:paraId="6232C8A5"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Monitor procurement and contract management processes to ensure they are open, transparent and competitive</w:t>
            </w:r>
          </w:p>
          <w:p w14:paraId="5148528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Be aware of procurement and contract management risks, and actions to manage or mitigate risk in monitoring contract performance</w:t>
            </w:r>
          </w:p>
          <w:p w14:paraId="5E941203"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Evaluate tenders and select providers in an objective and rigorous way, in line with established guidelines and principles</w:t>
            </w:r>
          </w:p>
          <w:p w14:paraId="7183E3A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lastRenderedPageBreak/>
              <w:t>Escalate procurement and contract management issues, where required</w:t>
            </w:r>
          </w:p>
        </w:tc>
        <w:tc>
          <w:tcPr>
            <w:tcW w:w="1606" w:type="dxa"/>
            <w:tcBorders>
              <w:bottom w:val="single" w:sz="4" w:space="0" w:color="BCBEC0"/>
            </w:tcBorders>
          </w:tcPr>
          <w:p w14:paraId="6BC1E425"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lastRenderedPageBreak/>
              <w:t>Adept</w:t>
            </w:r>
          </w:p>
        </w:tc>
      </w:tr>
      <w:tr w:rsidR="001E6660" w:rsidRPr="00527E66" w14:paraId="6B4217CA" w14:textId="77777777" w:rsidTr="0011225C">
        <w:tc>
          <w:tcPr>
            <w:tcW w:w="1406" w:type="dxa"/>
            <w:vMerge/>
            <w:tcBorders>
              <w:bottom w:val="single" w:sz="4" w:space="0" w:color="BCBEC0"/>
            </w:tcBorders>
          </w:tcPr>
          <w:p w14:paraId="0C81A0CC" w14:textId="77777777" w:rsidR="001E6660" w:rsidRPr="00527E66" w:rsidRDefault="001E6660" w:rsidP="00527E66">
            <w:pPr>
              <w:keepNext/>
              <w:spacing w:after="0" w:line="240" w:lineRule="auto"/>
              <w:rPr>
                <w:rFonts w:asciiTheme="majorHAnsi" w:hAnsiTheme="majorHAnsi" w:cstheme="majorHAnsi"/>
                <w:noProof/>
                <w:sz w:val="20"/>
                <w:lang w:eastAsia="en-AU"/>
              </w:rPr>
            </w:pPr>
          </w:p>
        </w:tc>
        <w:tc>
          <w:tcPr>
            <w:tcW w:w="2971" w:type="dxa"/>
            <w:gridSpan w:val="2"/>
            <w:tcBorders>
              <w:bottom w:val="single" w:sz="4" w:space="0" w:color="BCBEC0"/>
            </w:tcBorders>
          </w:tcPr>
          <w:p w14:paraId="64026D9A"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Project Management</w:t>
            </w:r>
          </w:p>
          <w:p w14:paraId="4C338F53"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rPr>
              <w:t>Understand and apply effective planning, coordination and control methods</w:t>
            </w:r>
          </w:p>
        </w:tc>
        <w:tc>
          <w:tcPr>
            <w:tcW w:w="4770" w:type="dxa"/>
            <w:tcBorders>
              <w:bottom w:val="single" w:sz="4" w:space="0" w:color="BCBEC0"/>
            </w:tcBorders>
          </w:tcPr>
          <w:p w14:paraId="4D1DED3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Prepare and review project scope and business cases for projects with multiple interdependencies</w:t>
            </w:r>
          </w:p>
          <w:p w14:paraId="10229CB8"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Access key subject-matter experts’ knowledge to inform project plans and directions</w:t>
            </w:r>
          </w:p>
          <w:p w14:paraId="1AE2FFBC"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Design and implement effective stakeholder engagement and communications strategies for all project stages</w:t>
            </w:r>
          </w:p>
          <w:p w14:paraId="11798E51"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Monitor project completion and implement effective and rigorous project evaluation methodologies to inform future planning</w:t>
            </w:r>
          </w:p>
          <w:p w14:paraId="7F5563A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Develop effective strategies to remedy variances from project plans and minimise impact</w:t>
            </w:r>
          </w:p>
          <w:p w14:paraId="09DE1B80"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Manage transitions between project stages and ensure that changes are consistent with organisational goals</w:t>
            </w:r>
          </w:p>
          <w:p w14:paraId="28D1B8C5"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Participate in governance processes such as project steering groups</w:t>
            </w:r>
          </w:p>
        </w:tc>
        <w:tc>
          <w:tcPr>
            <w:tcW w:w="1606" w:type="dxa"/>
            <w:tcBorders>
              <w:bottom w:val="single" w:sz="4" w:space="0" w:color="BCBEC0"/>
            </w:tcBorders>
          </w:tcPr>
          <w:p w14:paraId="10AA2B0C"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Advanced</w:t>
            </w:r>
          </w:p>
        </w:tc>
      </w:tr>
      <w:tr w:rsidR="001E6660" w:rsidRPr="00527E66" w14:paraId="42BE9C4C" w14:textId="77777777" w:rsidTr="0011225C">
        <w:tc>
          <w:tcPr>
            <w:tcW w:w="1406" w:type="dxa"/>
            <w:tcBorders>
              <w:bottom w:val="single" w:sz="4" w:space="0" w:color="BCBEC0"/>
            </w:tcBorders>
          </w:tcPr>
          <w:p w14:paraId="61979592" w14:textId="77777777" w:rsidR="001E6660" w:rsidRPr="00527E66" w:rsidRDefault="001E6660" w:rsidP="00527E66">
            <w:pPr>
              <w:keepNext/>
              <w:spacing w:after="0" w:line="240" w:lineRule="auto"/>
              <w:rPr>
                <w:rFonts w:asciiTheme="majorHAnsi" w:hAnsiTheme="majorHAnsi" w:cstheme="majorHAnsi"/>
                <w:sz w:val="20"/>
              </w:rPr>
            </w:pPr>
            <w:r w:rsidRPr="00527E66">
              <w:rPr>
                <w:rFonts w:asciiTheme="majorHAnsi" w:hAnsiTheme="majorHAnsi" w:cstheme="majorHAnsi"/>
                <w:noProof/>
                <w:sz w:val="20"/>
                <w:lang w:eastAsia="en-AU"/>
              </w:rPr>
              <w:drawing>
                <wp:inline distT="0" distB="0" distL="0" distR="0" wp14:anchorId="29AC229A" wp14:editId="4BB8428A">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0F51DF2E" w14:textId="77777777" w:rsidR="001E6660" w:rsidRPr="00527E66" w:rsidRDefault="001E6660" w:rsidP="00527E66">
            <w:pPr>
              <w:pStyle w:val="TableText"/>
              <w:keepNext/>
              <w:spacing w:before="0" w:after="0" w:line="240" w:lineRule="auto"/>
              <w:rPr>
                <w:rFonts w:asciiTheme="majorHAnsi" w:hAnsiTheme="majorHAnsi" w:cstheme="majorHAnsi"/>
                <w:b/>
              </w:rPr>
            </w:pPr>
            <w:r w:rsidRPr="00527E66">
              <w:rPr>
                <w:rFonts w:asciiTheme="majorHAnsi" w:hAnsiTheme="majorHAnsi" w:cstheme="majorHAnsi"/>
                <w:b/>
              </w:rPr>
              <w:t>Manage and Develop People</w:t>
            </w:r>
          </w:p>
          <w:p w14:paraId="52EB92B8" w14:textId="77777777" w:rsidR="001E6660" w:rsidRPr="00527E66" w:rsidRDefault="001E6660" w:rsidP="00527E66">
            <w:pPr>
              <w:pStyle w:val="TableText"/>
              <w:keepNext/>
              <w:spacing w:before="0" w:after="0" w:line="240" w:lineRule="auto"/>
              <w:rPr>
                <w:rFonts w:asciiTheme="majorHAnsi" w:hAnsiTheme="majorHAnsi" w:cstheme="majorHAnsi"/>
              </w:rPr>
            </w:pPr>
            <w:r w:rsidRPr="00527E66">
              <w:rPr>
                <w:rFonts w:asciiTheme="majorHAnsi" w:hAnsiTheme="majorHAnsi" w:cstheme="majorHAnsi"/>
              </w:rPr>
              <w:t>Engage and motivate staff, and develop capability and potential in others</w:t>
            </w:r>
          </w:p>
        </w:tc>
        <w:tc>
          <w:tcPr>
            <w:tcW w:w="4770" w:type="dxa"/>
            <w:tcBorders>
              <w:bottom w:val="single" w:sz="4" w:space="0" w:color="BCBEC0"/>
            </w:tcBorders>
          </w:tcPr>
          <w:p w14:paraId="326880B9"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Define and clearly communicate roles, responsibilities and performance standards to achieve team outcomes</w:t>
            </w:r>
          </w:p>
          <w:p w14:paraId="6E1F17EA"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Adjust performance development processes to meet the diverse abilities and needs of individuals and teams</w:t>
            </w:r>
          </w:p>
          <w:p w14:paraId="39E55CA0"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Develop work plans that consider capability, strengths and opportunities for development</w:t>
            </w:r>
          </w:p>
          <w:p w14:paraId="2F1F4044"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Be aware of the influences of bias when managing team members</w:t>
            </w:r>
          </w:p>
          <w:p w14:paraId="5CF137E2"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Seek feedback on own management capabilities and develop strategies to address any gaps</w:t>
            </w:r>
          </w:p>
          <w:p w14:paraId="2CF9C85F"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Address and resolve team and individual performance issues, including unsatisfactory performance, in a timely and effective way</w:t>
            </w:r>
          </w:p>
          <w:p w14:paraId="0588B43D" w14:textId="77777777" w:rsidR="001E6660" w:rsidRPr="00527E66" w:rsidRDefault="001E6660" w:rsidP="00527E66">
            <w:pPr>
              <w:pStyle w:val="TableBullet"/>
              <w:numPr>
                <w:ilvl w:val="0"/>
                <w:numId w:val="1"/>
              </w:numPr>
              <w:spacing w:line="240" w:lineRule="auto"/>
              <w:rPr>
                <w:rFonts w:asciiTheme="majorHAnsi" w:hAnsiTheme="majorHAnsi" w:cstheme="majorHAnsi"/>
                <w:sz w:val="20"/>
                <w:szCs w:val="20"/>
              </w:rPr>
            </w:pPr>
            <w:r w:rsidRPr="00527E66">
              <w:rPr>
                <w:rFonts w:asciiTheme="majorHAnsi" w:hAnsiTheme="majorHAnsi" w:cstheme="majorHAnsi"/>
                <w:sz w:val="20"/>
                <w:szCs w:val="20"/>
              </w:rPr>
              <w:t>Monitor and report on team performance in line with established performance development frameworks</w:t>
            </w:r>
          </w:p>
        </w:tc>
        <w:tc>
          <w:tcPr>
            <w:tcW w:w="1606" w:type="dxa"/>
            <w:tcBorders>
              <w:bottom w:val="single" w:sz="4" w:space="0" w:color="BCBEC0"/>
            </w:tcBorders>
          </w:tcPr>
          <w:p w14:paraId="687745D3" w14:textId="77777777" w:rsidR="001E6660" w:rsidRPr="00527E66" w:rsidRDefault="001E6660" w:rsidP="00527E66">
            <w:pPr>
              <w:pStyle w:val="TableBullet"/>
              <w:numPr>
                <w:ilvl w:val="0"/>
                <w:numId w:val="0"/>
              </w:numPr>
              <w:spacing w:line="240" w:lineRule="auto"/>
              <w:jc w:val="both"/>
              <w:rPr>
                <w:rFonts w:asciiTheme="majorHAnsi" w:hAnsiTheme="majorHAnsi" w:cstheme="majorHAnsi"/>
                <w:sz w:val="20"/>
                <w:szCs w:val="20"/>
              </w:rPr>
            </w:pPr>
            <w:r w:rsidRPr="00527E66">
              <w:rPr>
                <w:rFonts w:asciiTheme="majorHAnsi" w:hAnsiTheme="majorHAnsi" w:cstheme="majorHAnsi"/>
                <w:sz w:val="20"/>
                <w:szCs w:val="20"/>
              </w:rPr>
              <w:t>Adept</w:t>
            </w:r>
          </w:p>
        </w:tc>
      </w:tr>
    </w:tbl>
    <w:p w14:paraId="257EF7FD" w14:textId="77777777" w:rsidR="001E6660" w:rsidRPr="00527E66" w:rsidRDefault="001E6660" w:rsidP="00527E66">
      <w:pPr>
        <w:spacing w:after="0" w:line="240" w:lineRule="auto"/>
        <w:rPr>
          <w:rFonts w:asciiTheme="majorHAnsi" w:hAnsiTheme="majorHAnsi" w:cstheme="majorHAnsi"/>
          <w:sz w:val="20"/>
        </w:rPr>
      </w:pPr>
    </w:p>
    <w:p w14:paraId="12FC595D" w14:textId="77777777" w:rsidR="001E6660" w:rsidRDefault="001E6660" w:rsidP="001E6660">
      <w:pPr>
        <w:pStyle w:val="Heading1"/>
      </w:pPr>
      <w:r>
        <w:t>Complementary capabilities</w:t>
      </w:r>
    </w:p>
    <w:p w14:paraId="75FCFDF4" w14:textId="77777777" w:rsidR="001E6660" w:rsidRPr="003927AE" w:rsidRDefault="001E6660" w:rsidP="001E6660">
      <w:pPr>
        <w:pStyle w:val="PlainText"/>
        <w:spacing w:before="62" w:line="276" w:lineRule="auto"/>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2A16053" w14:textId="254BE68C" w:rsidR="001E6660" w:rsidRDefault="001E6660" w:rsidP="00527E66">
      <w:pPr>
        <w:pStyle w:val="PlainText"/>
        <w:spacing w:before="62" w:after="240" w:line="276" w:lineRule="auto"/>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E6660" w:rsidRPr="00803E47" w14:paraId="01EAB63A" w14:textId="77777777" w:rsidTr="001122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3F8FC10" w14:textId="77777777" w:rsidR="001E6660" w:rsidRPr="00803E47" w:rsidRDefault="001E6660" w:rsidP="0011225C">
            <w:pPr>
              <w:pStyle w:val="TableTextWhite0"/>
              <w:keepNext/>
              <w:jc w:val="both"/>
            </w:pPr>
            <w:r>
              <w:rPr>
                <w:sz w:val="24"/>
                <w:szCs w:val="24"/>
              </w:rPr>
              <w:t>COMPLEMENTARY</w:t>
            </w:r>
            <w:r w:rsidRPr="00051E80">
              <w:rPr>
                <w:sz w:val="24"/>
                <w:szCs w:val="24"/>
              </w:rPr>
              <w:t xml:space="preserve"> CAPABILITIES</w:t>
            </w:r>
          </w:p>
        </w:tc>
      </w:tr>
      <w:tr w:rsidR="001E6660" w:rsidRPr="00C978B9" w14:paraId="7055DB4F" w14:textId="77777777" w:rsidTr="001122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45D9353" w14:textId="77777777" w:rsidR="001E6660" w:rsidRPr="00C978B9" w:rsidRDefault="001E6660" w:rsidP="0011225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4E98D95" w14:textId="77777777" w:rsidR="001E6660" w:rsidRPr="00C978B9" w:rsidRDefault="001E6660" w:rsidP="0011225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EE95A14" w14:textId="77777777" w:rsidR="001E6660" w:rsidRDefault="001E6660" w:rsidP="0011225C">
            <w:pPr>
              <w:pStyle w:val="TableText"/>
              <w:keepNext/>
              <w:rPr>
                <w:b/>
              </w:rPr>
            </w:pPr>
          </w:p>
        </w:tc>
        <w:tc>
          <w:tcPr>
            <w:tcW w:w="4770" w:type="dxa"/>
            <w:tcBorders>
              <w:bottom w:val="single" w:sz="12" w:space="0" w:color="auto"/>
            </w:tcBorders>
            <w:shd w:val="clear" w:color="auto" w:fill="BCBEC0"/>
          </w:tcPr>
          <w:p w14:paraId="5931A002" w14:textId="77777777" w:rsidR="001E6660" w:rsidRDefault="001E6660" w:rsidP="0011225C">
            <w:pPr>
              <w:pStyle w:val="TableText"/>
              <w:keepNext/>
              <w:rPr>
                <w:b/>
              </w:rPr>
            </w:pPr>
            <w:r>
              <w:rPr>
                <w:b/>
              </w:rPr>
              <w:t>Description</w:t>
            </w:r>
          </w:p>
        </w:tc>
        <w:tc>
          <w:tcPr>
            <w:tcW w:w="1606" w:type="dxa"/>
            <w:tcBorders>
              <w:bottom w:val="single" w:sz="12" w:space="0" w:color="auto"/>
            </w:tcBorders>
            <w:shd w:val="clear" w:color="auto" w:fill="BCBEC0"/>
          </w:tcPr>
          <w:p w14:paraId="5FD4588C" w14:textId="77777777" w:rsidR="001E6660" w:rsidRDefault="001E6660" w:rsidP="0011225C">
            <w:pPr>
              <w:pStyle w:val="TableText"/>
              <w:keepNext/>
              <w:jc w:val="both"/>
              <w:rPr>
                <w:b/>
              </w:rPr>
            </w:pPr>
            <w:r>
              <w:rPr>
                <w:b/>
              </w:rPr>
              <w:t xml:space="preserve">Level </w:t>
            </w:r>
          </w:p>
        </w:tc>
      </w:tr>
      <w:tr w:rsidR="001E6660" w:rsidRPr="001E6660" w14:paraId="1CF931AE" w14:textId="77777777" w:rsidTr="0011225C">
        <w:tc>
          <w:tcPr>
            <w:tcW w:w="1406" w:type="dxa"/>
            <w:vMerge w:val="restart"/>
            <w:tcBorders>
              <w:bottom w:val="single" w:sz="4" w:space="0" w:color="BCBEC0"/>
            </w:tcBorders>
          </w:tcPr>
          <w:p w14:paraId="28CB477B" w14:textId="77777777" w:rsidR="001E6660" w:rsidRPr="001E6660" w:rsidRDefault="001E6660" w:rsidP="001E6660">
            <w:pPr>
              <w:keepNext/>
              <w:spacing w:after="0" w:line="240" w:lineRule="auto"/>
              <w:rPr>
                <w:rFonts w:asciiTheme="minorHAnsi" w:hAnsiTheme="minorHAnsi" w:cstheme="minorHAnsi"/>
                <w:sz w:val="20"/>
              </w:rPr>
            </w:pPr>
            <w:r w:rsidRPr="001E6660">
              <w:rPr>
                <w:rFonts w:asciiTheme="minorHAnsi" w:hAnsiTheme="minorHAnsi" w:cstheme="minorHAnsi"/>
                <w:noProof/>
                <w:sz w:val="20"/>
                <w:lang w:eastAsia="en-AU"/>
              </w:rPr>
              <w:drawing>
                <wp:inline distT="0" distB="0" distL="0" distR="0" wp14:anchorId="76DD84BE" wp14:editId="2B3A5A58">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982152C"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Display Resilience and Courage</w:t>
            </w:r>
          </w:p>
        </w:tc>
        <w:tc>
          <w:tcPr>
            <w:tcW w:w="4770" w:type="dxa"/>
            <w:tcBorders>
              <w:bottom w:val="single" w:sz="4" w:space="0" w:color="BCBEC0"/>
            </w:tcBorders>
          </w:tcPr>
          <w:p w14:paraId="2E730A82"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Be open and honest, prepared to express your views, and willing to accept and commit to change</w:t>
            </w:r>
          </w:p>
        </w:tc>
        <w:tc>
          <w:tcPr>
            <w:tcW w:w="1606" w:type="dxa"/>
            <w:tcBorders>
              <w:bottom w:val="single" w:sz="4" w:space="0" w:color="BCBEC0"/>
            </w:tcBorders>
          </w:tcPr>
          <w:p w14:paraId="0E66E8AF"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54E3DB40" w14:textId="77777777" w:rsidTr="0011225C">
        <w:tc>
          <w:tcPr>
            <w:tcW w:w="1406" w:type="dxa"/>
            <w:vMerge/>
            <w:tcBorders>
              <w:bottom w:val="single" w:sz="4" w:space="0" w:color="BCBEC0"/>
            </w:tcBorders>
          </w:tcPr>
          <w:p w14:paraId="1EF3AB37"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04FC3001"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Manage Self</w:t>
            </w:r>
          </w:p>
        </w:tc>
        <w:tc>
          <w:tcPr>
            <w:tcW w:w="4770" w:type="dxa"/>
            <w:tcBorders>
              <w:bottom w:val="single" w:sz="4" w:space="0" w:color="BCBEC0"/>
            </w:tcBorders>
          </w:tcPr>
          <w:p w14:paraId="59CA53BA"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Show drive and motivation, an ability to self-reflect and a commitment to learning</w:t>
            </w:r>
          </w:p>
        </w:tc>
        <w:tc>
          <w:tcPr>
            <w:tcW w:w="1606" w:type="dxa"/>
            <w:tcBorders>
              <w:bottom w:val="single" w:sz="4" w:space="0" w:color="BCBEC0"/>
            </w:tcBorders>
          </w:tcPr>
          <w:p w14:paraId="41FAFDB5"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32E6BEE5" w14:textId="77777777" w:rsidTr="0011225C">
        <w:tc>
          <w:tcPr>
            <w:tcW w:w="1406" w:type="dxa"/>
            <w:vMerge/>
            <w:tcBorders>
              <w:bottom w:val="single" w:sz="4" w:space="0" w:color="BCBEC0"/>
            </w:tcBorders>
          </w:tcPr>
          <w:p w14:paraId="445EFF91"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0B7F24F0"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Value Diversity and Inclusion</w:t>
            </w:r>
          </w:p>
        </w:tc>
        <w:tc>
          <w:tcPr>
            <w:tcW w:w="4770" w:type="dxa"/>
            <w:tcBorders>
              <w:bottom w:val="single" w:sz="4" w:space="0" w:color="BCBEC0"/>
            </w:tcBorders>
          </w:tcPr>
          <w:p w14:paraId="27B8B4B3"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Demonstrate inclusive behaviour and show respect for diverse backgrounds, experiences and perspectives</w:t>
            </w:r>
          </w:p>
        </w:tc>
        <w:tc>
          <w:tcPr>
            <w:tcW w:w="1606" w:type="dxa"/>
            <w:tcBorders>
              <w:bottom w:val="single" w:sz="4" w:space="0" w:color="BCBEC0"/>
            </w:tcBorders>
          </w:tcPr>
          <w:p w14:paraId="73F902A1"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2EC97094" w14:textId="77777777" w:rsidTr="0011225C">
        <w:tc>
          <w:tcPr>
            <w:tcW w:w="1406" w:type="dxa"/>
            <w:vMerge w:val="restart"/>
            <w:tcBorders>
              <w:bottom w:val="single" w:sz="4" w:space="0" w:color="BCBEC0"/>
            </w:tcBorders>
          </w:tcPr>
          <w:p w14:paraId="593619F4" w14:textId="77777777" w:rsidR="001E6660" w:rsidRPr="001E6660" w:rsidRDefault="001E6660" w:rsidP="001E6660">
            <w:pPr>
              <w:keepNext/>
              <w:spacing w:after="0" w:line="240" w:lineRule="auto"/>
              <w:rPr>
                <w:rFonts w:asciiTheme="minorHAnsi" w:hAnsiTheme="minorHAnsi" w:cstheme="minorHAnsi"/>
                <w:sz w:val="20"/>
              </w:rPr>
            </w:pPr>
            <w:r w:rsidRPr="001E6660">
              <w:rPr>
                <w:rFonts w:asciiTheme="minorHAnsi" w:hAnsiTheme="minorHAnsi" w:cstheme="minorHAnsi"/>
                <w:noProof/>
                <w:sz w:val="20"/>
                <w:lang w:eastAsia="en-AU"/>
              </w:rPr>
              <w:drawing>
                <wp:inline distT="0" distB="0" distL="0" distR="0" wp14:anchorId="78A8BC67" wp14:editId="7C50C4D5">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B8E796A"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Commit to Customer Service</w:t>
            </w:r>
          </w:p>
        </w:tc>
        <w:tc>
          <w:tcPr>
            <w:tcW w:w="4770" w:type="dxa"/>
            <w:tcBorders>
              <w:bottom w:val="single" w:sz="4" w:space="0" w:color="BCBEC0"/>
            </w:tcBorders>
          </w:tcPr>
          <w:p w14:paraId="73D48DD4"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Provide customer-focused services in line with public sector and organisational objectives</w:t>
            </w:r>
          </w:p>
        </w:tc>
        <w:tc>
          <w:tcPr>
            <w:tcW w:w="1606" w:type="dxa"/>
            <w:tcBorders>
              <w:bottom w:val="single" w:sz="4" w:space="0" w:color="BCBEC0"/>
            </w:tcBorders>
          </w:tcPr>
          <w:p w14:paraId="3C51F24E"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71503F57" w14:textId="77777777" w:rsidTr="0011225C">
        <w:tc>
          <w:tcPr>
            <w:tcW w:w="1406" w:type="dxa"/>
            <w:vMerge/>
            <w:tcBorders>
              <w:bottom w:val="single" w:sz="4" w:space="0" w:color="BCBEC0"/>
            </w:tcBorders>
          </w:tcPr>
          <w:p w14:paraId="00F0BA3B"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2E252275"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Work Collaboratively</w:t>
            </w:r>
          </w:p>
        </w:tc>
        <w:tc>
          <w:tcPr>
            <w:tcW w:w="4770" w:type="dxa"/>
            <w:tcBorders>
              <w:bottom w:val="single" w:sz="4" w:space="0" w:color="BCBEC0"/>
            </w:tcBorders>
          </w:tcPr>
          <w:p w14:paraId="61A79EBF"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Collaborate with others and value their contribution</w:t>
            </w:r>
          </w:p>
        </w:tc>
        <w:tc>
          <w:tcPr>
            <w:tcW w:w="1606" w:type="dxa"/>
            <w:tcBorders>
              <w:bottom w:val="single" w:sz="4" w:space="0" w:color="BCBEC0"/>
            </w:tcBorders>
          </w:tcPr>
          <w:p w14:paraId="7681EC39"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1454501B" w14:textId="77777777" w:rsidTr="0011225C">
        <w:tc>
          <w:tcPr>
            <w:tcW w:w="1406" w:type="dxa"/>
            <w:tcBorders>
              <w:bottom w:val="single" w:sz="4" w:space="0" w:color="BCBEC0"/>
            </w:tcBorders>
          </w:tcPr>
          <w:p w14:paraId="2E9AD788" w14:textId="77777777" w:rsidR="001E6660" w:rsidRPr="001E6660" w:rsidRDefault="001E6660" w:rsidP="001E6660">
            <w:pPr>
              <w:keepNext/>
              <w:spacing w:after="0" w:line="240" w:lineRule="auto"/>
              <w:rPr>
                <w:rFonts w:asciiTheme="minorHAnsi" w:hAnsiTheme="minorHAnsi" w:cstheme="minorHAnsi"/>
                <w:sz w:val="20"/>
              </w:rPr>
            </w:pPr>
            <w:r w:rsidRPr="001E6660">
              <w:rPr>
                <w:rFonts w:asciiTheme="minorHAnsi" w:hAnsiTheme="minorHAnsi" w:cstheme="minorHAnsi"/>
                <w:noProof/>
                <w:sz w:val="20"/>
                <w:lang w:eastAsia="en-AU"/>
              </w:rPr>
              <w:drawing>
                <wp:inline distT="0" distB="0" distL="0" distR="0" wp14:anchorId="419C24AD" wp14:editId="1E37E015">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54B37AE"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Demonstrate Accountability</w:t>
            </w:r>
          </w:p>
        </w:tc>
        <w:tc>
          <w:tcPr>
            <w:tcW w:w="4770" w:type="dxa"/>
            <w:tcBorders>
              <w:bottom w:val="single" w:sz="4" w:space="0" w:color="BCBEC0"/>
            </w:tcBorders>
          </w:tcPr>
          <w:p w14:paraId="31A3B553"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Be proactive and responsible for own actions, and adhere to legislation, policy and guidelines</w:t>
            </w:r>
          </w:p>
        </w:tc>
        <w:tc>
          <w:tcPr>
            <w:tcW w:w="1606" w:type="dxa"/>
            <w:tcBorders>
              <w:bottom w:val="single" w:sz="4" w:space="0" w:color="BCBEC0"/>
            </w:tcBorders>
          </w:tcPr>
          <w:p w14:paraId="707003F2"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1DC1B8BF" w14:textId="77777777" w:rsidTr="0011225C">
        <w:tc>
          <w:tcPr>
            <w:tcW w:w="1406" w:type="dxa"/>
            <w:vMerge w:val="restart"/>
            <w:tcBorders>
              <w:bottom w:val="single" w:sz="4" w:space="0" w:color="BCBEC0"/>
            </w:tcBorders>
          </w:tcPr>
          <w:p w14:paraId="0191D296" w14:textId="77777777" w:rsidR="001E6660" w:rsidRPr="001E6660" w:rsidRDefault="001E6660" w:rsidP="001E6660">
            <w:pPr>
              <w:keepNext/>
              <w:spacing w:after="0" w:line="240" w:lineRule="auto"/>
              <w:rPr>
                <w:rFonts w:asciiTheme="minorHAnsi" w:hAnsiTheme="minorHAnsi" w:cstheme="minorHAnsi"/>
                <w:sz w:val="20"/>
              </w:rPr>
            </w:pPr>
            <w:r w:rsidRPr="001E6660">
              <w:rPr>
                <w:rFonts w:asciiTheme="minorHAnsi" w:hAnsiTheme="minorHAnsi" w:cstheme="minorHAnsi"/>
                <w:noProof/>
                <w:sz w:val="20"/>
                <w:lang w:eastAsia="en-AU"/>
              </w:rPr>
              <w:drawing>
                <wp:inline distT="0" distB="0" distL="0" distR="0" wp14:anchorId="609C5A4C" wp14:editId="6940F930">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2486F80"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Finance</w:t>
            </w:r>
          </w:p>
        </w:tc>
        <w:tc>
          <w:tcPr>
            <w:tcW w:w="4770" w:type="dxa"/>
            <w:tcBorders>
              <w:bottom w:val="single" w:sz="4" w:space="0" w:color="BCBEC0"/>
            </w:tcBorders>
          </w:tcPr>
          <w:p w14:paraId="3FEA6562"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Understand and apply financial processes to achieve value for money and minimise financial risk</w:t>
            </w:r>
          </w:p>
        </w:tc>
        <w:tc>
          <w:tcPr>
            <w:tcW w:w="1606" w:type="dxa"/>
            <w:tcBorders>
              <w:bottom w:val="single" w:sz="4" w:space="0" w:color="BCBEC0"/>
            </w:tcBorders>
          </w:tcPr>
          <w:p w14:paraId="1E40246A"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5E74DFDE" w14:textId="77777777" w:rsidTr="0011225C">
        <w:tc>
          <w:tcPr>
            <w:tcW w:w="1406" w:type="dxa"/>
            <w:vMerge/>
            <w:tcBorders>
              <w:bottom w:val="single" w:sz="4" w:space="0" w:color="BCBEC0"/>
            </w:tcBorders>
          </w:tcPr>
          <w:p w14:paraId="2BD940BE"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48958C32"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Technology</w:t>
            </w:r>
          </w:p>
        </w:tc>
        <w:tc>
          <w:tcPr>
            <w:tcW w:w="4770" w:type="dxa"/>
            <w:tcBorders>
              <w:bottom w:val="single" w:sz="4" w:space="0" w:color="BCBEC0"/>
            </w:tcBorders>
          </w:tcPr>
          <w:p w14:paraId="2C302578"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Understand and use available technologies to maximise efficiencies and effectiveness</w:t>
            </w:r>
          </w:p>
        </w:tc>
        <w:tc>
          <w:tcPr>
            <w:tcW w:w="1606" w:type="dxa"/>
            <w:tcBorders>
              <w:bottom w:val="single" w:sz="4" w:space="0" w:color="BCBEC0"/>
            </w:tcBorders>
          </w:tcPr>
          <w:p w14:paraId="4E1A3520"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218FB568" w14:textId="77777777" w:rsidTr="0011225C">
        <w:tc>
          <w:tcPr>
            <w:tcW w:w="1406" w:type="dxa"/>
            <w:vMerge w:val="restart"/>
            <w:tcBorders>
              <w:bottom w:val="single" w:sz="4" w:space="0" w:color="BCBEC0"/>
            </w:tcBorders>
          </w:tcPr>
          <w:p w14:paraId="44BD4048" w14:textId="77777777" w:rsidR="001E6660" w:rsidRPr="001E6660" w:rsidRDefault="001E6660" w:rsidP="001E6660">
            <w:pPr>
              <w:keepNext/>
              <w:spacing w:after="0" w:line="240" w:lineRule="auto"/>
              <w:rPr>
                <w:rFonts w:asciiTheme="minorHAnsi" w:hAnsiTheme="minorHAnsi" w:cstheme="minorHAnsi"/>
                <w:sz w:val="20"/>
              </w:rPr>
            </w:pPr>
            <w:r w:rsidRPr="001E6660">
              <w:rPr>
                <w:rFonts w:asciiTheme="minorHAnsi" w:hAnsiTheme="minorHAnsi" w:cstheme="minorHAnsi"/>
                <w:noProof/>
                <w:sz w:val="20"/>
                <w:lang w:eastAsia="en-AU"/>
              </w:rPr>
              <w:drawing>
                <wp:inline distT="0" distB="0" distL="0" distR="0" wp14:anchorId="7CA48FA2" wp14:editId="50273AF4">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B57F4EE"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Inspire Direction and Purpose</w:t>
            </w:r>
          </w:p>
        </w:tc>
        <w:tc>
          <w:tcPr>
            <w:tcW w:w="4770" w:type="dxa"/>
            <w:tcBorders>
              <w:bottom w:val="single" w:sz="4" w:space="0" w:color="BCBEC0"/>
            </w:tcBorders>
          </w:tcPr>
          <w:p w14:paraId="685C2214"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Communicate goals, priorities and vision, and recognise achievements</w:t>
            </w:r>
          </w:p>
        </w:tc>
        <w:tc>
          <w:tcPr>
            <w:tcW w:w="1606" w:type="dxa"/>
            <w:tcBorders>
              <w:bottom w:val="single" w:sz="4" w:space="0" w:color="BCBEC0"/>
            </w:tcBorders>
          </w:tcPr>
          <w:p w14:paraId="31944E61"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r w:rsidR="001E6660" w:rsidRPr="001E6660" w14:paraId="7F5A2E1A" w14:textId="77777777" w:rsidTr="0011225C">
        <w:tc>
          <w:tcPr>
            <w:tcW w:w="1406" w:type="dxa"/>
            <w:vMerge/>
            <w:tcBorders>
              <w:bottom w:val="single" w:sz="4" w:space="0" w:color="BCBEC0"/>
            </w:tcBorders>
          </w:tcPr>
          <w:p w14:paraId="212F2C47"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29C25CF0"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Optimise Business Outcomes</w:t>
            </w:r>
          </w:p>
        </w:tc>
        <w:tc>
          <w:tcPr>
            <w:tcW w:w="4770" w:type="dxa"/>
            <w:tcBorders>
              <w:bottom w:val="single" w:sz="4" w:space="0" w:color="BCBEC0"/>
            </w:tcBorders>
          </w:tcPr>
          <w:p w14:paraId="20741F0F"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Manage people and resources effectively to achieve public value</w:t>
            </w:r>
          </w:p>
        </w:tc>
        <w:tc>
          <w:tcPr>
            <w:tcW w:w="1606" w:type="dxa"/>
            <w:tcBorders>
              <w:bottom w:val="single" w:sz="4" w:space="0" w:color="BCBEC0"/>
            </w:tcBorders>
          </w:tcPr>
          <w:p w14:paraId="21D83AF3"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Intermediate</w:t>
            </w:r>
          </w:p>
        </w:tc>
      </w:tr>
      <w:tr w:rsidR="001E6660" w:rsidRPr="001E6660" w14:paraId="3C5026BD" w14:textId="77777777" w:rsidTr="0011225C">
        <w:tc>
          <w:tcPr>
            <w:tcW w:w="1406" w:type="dxa"/>
            <w:vMerge/>
            <w:tcBorders>
              <w:bottom w:val="single" w:sz="4" w:space="0" w:color="BCBEC0"/>
            </w:tcBorders>
          </w:tcPr>
          <w:p w14:paraId="41A793A1" w14:textId="77777777" w:rsidR="001E6660" w:rsidRPr="001E6660" w:rsidRDefault="001E6660" w:rsidP="001E6660">
            <w:pPr>
              <w:keepNext/>
              <w:spacing w:after="0" w:line="240" w:lineRule="auto"/>
              <w:rPr>
                <w:rFonts w:asciiTheme="minorHAnsi" w:hAnsiTheme="minorHAnsi" w:cstheme="minorHAnsi"/>
                <w:noProof/>
                <w:sz w:val="20"/>
                <w:lang w:eastAsia="en-AU"/>
              </w:rPr>
            </w:pPr>
          </w:p>
        </w:tc>
        <w:tc>
          <w:tcPr>
            <w:tcW w:w="2971" w:type="dxa"/>
            <w:gridSpan w:val="2"/>
            <w:tcBorders>
              <w:bottom w:val="single" w:sz="4" w:space="0" w:color="BCBEC0"/>
            </w:tcBorders>
          </w:tcPr>
          <w:p w14:paraId="54D76ED0"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Manage Reform and Change</w:t>
            </w:r>
          </w:p>
        </w:tc>
        <w:tc>
          <w:tcPr>
            <w:tcW w:w="4770" w:type="dxa"/>
            <w:tcBorders>
              <w:bottom w:val="single" w:sz="4" w:space="0" w:color="BCBEC0"/>
            </w:tcBorders>
          </w:tcPr>
          <w:p w14:paraId="67C30DE8" w14:textId="77777777" w:rsidR="001E6660" w:rsidRPr="001E6660" w:rsidRDefault="001E6660" w:rsidP="00527E66">
            <w:pPr>
              <w:spacing w:after="0" w:line="240" w:lineRule="auto"/>
              <w:rPr>
                <w:rFonts w:asciiTheme="minorHAnsi" w:hAnsiTheme="minorHAnsi" w:cstheme="minorHAnsi"/>
                <w:sz w:val="20"/>
              </w:rPr>
            </w:pPr>
            <w:r w:rsidRPr="001E6660">
              <w:rPr>
                <w:rFonts w:asciiTheme="minorHAnsi" w:hAnsiTheme="minorHAnsi" w:cstheme="minorHAnsi"/>
                <w:sz w:val="20"/>
              </w:rPr>
              <w:t>Support, promote and champion change, and assist others to engage with change</w:t>
            </w:r>
          </w:p>
        </w:tc>
        <w:tc>
          <w:tcPr>
            <w:tcW w:w="1606" w:type="dxa"/>
            <w:tcBorders>
              <w:bottom w:val="single" w:sz="4" w:space="0" w:color="BCBEC0"/>
            </w:tcBorders>
          </w:tcPr>
          <w:p w14:paraId="40F97026" w14:textId="77777777" w:rsidR="001E6660" w:rsidRPr="001E6660" w:rsidRDefault="001E6660" w:rsidP="00527E66">
            <w:pPr>
              <w:pStyle w:val="TableBullet"/>
              <w:numPr>
                <w:ilvl w:val="0"/>
                <w:numId w:val="0"/>
              </w:numPr>
              <w:spacing w:line="240" w:lineRule="auto"/>
              <w:jc w:val="both"/>
              <w:rPr>
                <w:rFonts w:asciiTheme="minorHAnsi" w:hAnsiTheme="minorHAnsi" w:cstheme="minorHAnsi"/>
                <w:sz w:val="20"/>
                <w:szCs w:val="20"/>
              </w:rPr>
            </w:pPr>
            <w:r w:rsidRPr="001E6660">
              <w:rPr>
                <w:rFonts w:asciiTheme="minorHAnsi" w:hAnsiTheme="minorHAnsi" w:cstheme="minorHAnsi"/>
                <w:sz w:val="20"/>
                <w:szCs w:val="20"/>
              </w:rPr>
              <w:t>Adept</w:t>
            </w:r>
          </w:p>
        </w:tc>
      </w:tr>
    </w:tbl>
    <w:p w14:paraId="71AAFBA3" w14:textId="77777777" w:rsidR="001E6660" w:rsidRDefault="001E6660" w:rsidP="00527E66">
      <w:pPr>
        <w:pStyle w:val="PlainText"/>
        <w:spacing w:before="62" w:line="276" w:lineRule="auto"/>
        <w:rPr>
          <w:rFonts w:eastAsiaTheme="minorEastAsia"/>
          <w:szCs w:val="22"/>
          <w:lang w:val="en-US"/>
        </w:rPr>
      </w:pPr>
    </w:p>
    <w:sectPr w:rsidR="001E6660" w:rsidSect="00527E66">
      <w:footerReference w:type="default" r:id="rId17"/>
      <w:headerReference w:type="first" r:id="rId18"/>
      <w:footerReference w:type="first" r:id="rId19"/>
      <w:pgSz w:w="11906" w:h="16838"/>
      <w:pgMar w:top="993" w:right="709" w:bottom="1418" w:left="709" w:header="7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43CE" w14:textId="77777777" w:rsidR="006C33F1" w:rsidRDefault="006C33F1" w:rsidP="00AC273D">
      <w:pPr>
        <w:spacing w:after="0" w:line="240" w:lineRule="auto"/>
      </w:pPr>
      <w:r>
        <w:separator/>
      </w:r>
    </w:p>
  </w:endnote>
  <w:endnote w:type="continuationSeparator" w:id="0">
    <w:p w14:paraId="55905E02" w14:textId="77777777" w:rsidR="006C33F1" w:rsidRDefault="006C33F1" w:rsidP="00AC273D">
      <w:pPr>
        <w:spacing w:after="0" w:line="240" w:lineRule="auto"/>
      </w:pPr>
      <w:r>
        <w:continuationSeparator/>
      </w:r>
    </w:p>
  </w:endnote>
  <w:endnote w:type="continuationNotice" w:id="1">
    <w:p w14:paraId="47FCABF8" w14:textId="77777777" w:rsidR="006C33F1" w:rsidRDefault="006C3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1"/>
      <w:gridCol w:w="5082"/>
    </w:tblGrid>
    <w:tr w:rsidR="00527E66" w14:paraId="72BCAD8A" w14:textId="77777777" w:rsidTr="0011225C">
      <w:trPr>
        <w:cnfStyle w:val="100000000000" w:firstRow="1" w:lastRow="0" w:firstColumn="0" w:lastColumn="0" w:oddVBand="0" w:evenVBand="0" w:oddHBand="0" w:evenHBand="0" w:firstRowFirstColumn="0" w:firstRowLastColumn="0" w:lastRowFirstColumn="0" w:lastRowLastColumn="0"/>
      </w:trPr>
      <w:tc>
        <w:tcPr>
          <w:tcW w:w="2250" w:type="pct"/>
          <w:vAlign w:val="center"/>
        </w:tcPr>
        <w:p w14:paraId="2321436F" w14:textId="77777777" w:rsidR="00527E66" w:rsidRDefault="00527E66" w:rsidP="00527E66">
          <w:pPr>
            <w:pStyle w:val="Footer"/>
          </w:pPr>
          <w:r w:rsidRPr="00C03AFD">
            <w:t xml:space="preserve">Role </w:t>
          </w:r>
          <w:proofErr w:type="gramStart"/>
          <w:r w:rsidRPr="00C03AFD">
            <w:t>Description</w:t>
          </w:r>
          <w:r>
            <w:t xml:space="preserve">  </w:t>
          </w:r>
          <w:r w:rsidRPr="00443BCB">
            <w:rPr>
              <w:b/>
            </w:rPr>
            <w:t>Senior</w:t>
          </w:r>
          <w:proofErr w:type="gramEnd"/>
          <w:r w:rsidRPr="00443BCB">
            <w:rPr>
              <w:b/>
            </w:rPr>
            <w:t xml:space="preserve"> Development Manager</w:t>
          </w:r>
        </w:p>
      </w:tc>
      <w:tc>
        <w:tcPr>
          <w:tcW w:w="250" w:type="pct"/>
          <w:vAlign w:val="center"/>
        </w:tcPr>
        <w:p w14:paraId="4E24BCC2" w14:textId="2C99D6D1" w:rsidR="00527E66" w:rsidRPr="00C03AFD" w:rsidRDefault="00527E66" w:rsidP="00527E66">
          <w:pPr>
            <w:pStyle w:val="Footer"/>
            <w:jc w:val="center"/>
          </w:pPr>
          <w:r w:rsidRPr="00C03AFD">
            <w:rPr>
              <w:noProof/>
              <w:lang w:eastAsia="en-AU"/>
            </w:rPr>
            <w:fldChar w:fldCharType="begin"/>
          </w:r>
          <w:r w:rsidRPr="00C03AFD">
            <w:rPr>
              <w:noProof/>
              <w:lang w:eastAsia="en-AU"/>
            </w:rPr>
            <w:instrText xml:space="preserve"> PAGE  \* Arabic </w:instrText>
          </w:r>
          <w:r w:rsidRPr="00C03AFD">
            <w:rPr>
              <w:noProof/>
              <w:lang w:eastAsia="en-AU"/>
            </w:rPr>
            <w:fldChar w:fldCharType="separate"/>
          </w:r>
          <w:r w:rsidR="0085705E">
            <w:rPr>
              <w:noProof/>
              <w:lang w:eastAsia="en-AU"/>
            </w:rPr>
            <w:t>8</w:t>
          </w:r>
          <w:r w:rsidRPr="00C03AFD">
            <w:rPr>
              <w:noProof/>
              <w:lang w:eastAsia="en-AU"/>
            </w:rPr>
            <w:fldChar w:fldCharType="end"/>
          </w:r>
        </w:p>
      </w:tc>
      <w:tc>
        <w:tcPr>
          <w:tcW w:w="2350" w:type="pct"/>
        </w:tcPr>
        <w:p w14:paraId="726A4A98" w14:textId="77777777" w:rsidR="00527E66" w:rsidRDefault="00527E66" w:rsidP="00527E66">
          <w:pPr>
            <w:pStyle w:val="Footer"/>
            <w:jc w:val="right"/>
          </w:pPr>
          <w:r>
            <w:rPr>
              <w:noProof/>
              <w:lang w:eastAsia="en-AU"/>
            </w:rPr>
            <w:drawing>
              <wp:inline distT="0" distB="0" distL="0" distR="0" wp14:anchorId="4B5A7EF1" wp14:editId="69C4CE79">
                <wp:extent cx="432000" cy="452144"/>
                <wp:effectExtent l="0" t="0" r="635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43E1766" w14:textId="77777777" w:rsidR="00527E66" w:rsidRDefault="00527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27E66" w14:paraId="4E1C4BDE" w14:textId="77777777" w:rsidTr="0011225C">
      <w:trPr>
        <w:trHeight w:val="811"/>
      </w:trPr>
      <w:tc>
        <w:tcPr>
          <w:tcW w:w="10005" w:type="dxa"/>
          <w:vAlign w:val="bottom"/>
        </w:tcPr>
        <w:p w14:paraId="46F0CDF7" w14:textId="679AB7B1" w:rsidR="00527E66" w:rsidRPr="00051237" w:rsidRDefault="00527E66" w:rsidP="00527E66">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A09A7">
            <w:rPr>
              <w:noProof/>
              <w:lang w:eastAsia="en-AU"/>
            </w:rPr>
            <w:t>1</w:t>
          </w:r>
          <w:r>
            <w:rPr>
              <w:noProof/>
              <w:lang w:eastAsia="en-AU"/>
            </w:rPr>
            <w:fldChar w:fldCharType="end"/>
          </w:r>
        </w:p>
      </w:tc>
      <w:tc>
        <w:tcPr>
          <w:tcW w:w="875" w:type="dxa"/>
        </w:tcPr>
        <w:p w14:paraId="1F1A46D6" w14:textId="77777777" w:rsidR="00527E66" w:rsidRDefault="00527E66" w:rsidP="00527E66">
          <w:pPr>
            <w:pStyle w:val="Footer"/>
            <w:jc w:val="right"/>
          </w:pPr>
          <w:r>
            <w:rPr>
              <w:noProof/>
              <w:lang w:eastAsia="en-AU"/>
            </w:rPr>
            <w:drawing>
              <wp:inline distT="0" distB="0" distL="0" distR="0" wp14:anchorId="2E977278" wp14:editId="030F31E0">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22F4B28" w14:textId="77777777" w:rsidR="00527E66" w:rsidRDefault="0052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BAF6" w14:textId="77777777" w:rsidR="006C33F1" w:rsidRDefault="006C33F1" w:rsidP="00AC273D">
      <w:pPr>
        <w:spacing w:after="0" w:line="240" w:lineRule="auto"/>
      </w:pPr>
      <w:r>
        <w:separator/>
      </w:r>
    </w:p>
  </w:footnote>
  <w:footnote w:type="continuationSeparator" w:id="0">
    <w:p w14:paraId="05645CAE" w14:textId="77777777" w:rsidR="006C33F1" w:rsidRDefault="006C33F1" w:rsidP="00AC273D">
      <w:pPr>
        <w:spacing w:after="0" w:line="240" w:lineRule="auto"/>
      </w:pPr>
      <w:r>
        <w:continuationSeparator/>
      </w:r>
    </w:p>
  </w:footnote>
  <w:footnote w:type="continuationNotice" w:id="1">
    <w:p w14:paraId="2F4B5347" w14:textId="77777777" w:rsidR="006C33F1" w:rsidRDefault="006C3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84E" w14:textId="48E0FE5F" w:rsidR="00576FEA" w:rsidRDefault="00576FEA" w:rsidP="00576FEA">
    <w:pPr>
      <w:autoSpaceDE w:val="0"/>
      <w:autoSpaceDN w:val="0"/>
      <w:adjustRightInd w:val="0"/>
      <w:spacing w:after="0" w:line="420" w:lineRule="atLeast"/>
      <w:jc w:val="right"/>
      <w:textAlignment w:val="center"/>
      <w:rPr>
        <w:noProof/>
        <w:lang w:eastAsia="en-AU"/>
      </w:rPr>
    </w:pPr>
    <w:r>
      <w:rPr>
        <w:noProof/>
        <w:lang w:eastAsia="en-AU"/>
      </w:rPr>
      <w:drawing>
        <wp:inline distT="0" distB="0" distL="0" distR="0" wp14:anchorId="7A8B67A9" wp14:editId="5114C6D7">
          <wp:extent cx="2114978" cy="643689"/>
          <wp:effectExtent l="0" t="0" r="0" b="4445"/>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365" cy="653241"/>
                  </a:xfrm>
                  <a:prstGeom prst="rect">
                    <a:avLst/>
                  </a:prstGeom>
                  <a:noFill/>
                  <a:ln>
                    <a:noFill/>
                  </a:ln>
                </pic:spPr>
              </pic:pic>
            </a:graphicData>
          </a:graphic>
        </wp:inline>
      </w:drawing>
    </w:r>
  </w:p>
  <w:p w14:paraId="1A2BAD0B" w14:textId="0DA4B774" w:rsidR="00533B51" w:rsidRPr="002F56EF" w:rsidRDefault="00533B51" w:rsidP="00533B51">
    <w:pPr>
      <w:autoSpaceDE w:val="0"/>
      <w:autoSpaceDN w:val="0"/>
      <w:adjustRightInd w:val="0"/>
      <w:spacing w:after="0" w:line="420" w:lineRule="atLeast"/>
      <w:textAlignment w:val="center"/>
      <w:rPr>
        <w:rFonts w:eastAsia="Calibri" w:cs="Arial"/>
        <w:color w:val="000000"/>
        <w:spacing w:val="-10"/>
        <w:sz w:val="42"/>
        <w:szCs w:val="42"/>
      </w:rPr>
    </w:pPr>
    <w:r w:rsidRPr="002F56EF">
      <w:rPr>
        <w:rFonts w:eastAsia="Calibri" w:cs="Arial"/>
        <w:color w:val="000000"/>
        <w:spacing w:val="-10"/>
        <w:sz w:val="42"/>
        <w:szCs w:val="42"/>
      </w:rPr>
      <w:t xml:space="preserve">Role Description </w:t>
    </w:r>
  </w:p>
  <w:p w14:paraId="2967B8EA" w14:textId="09E144CA" w:rsidR="00076050" w:rsidRPr="002F56EF" w:rsidRDefault="00533B51" w:rsidP="00533B51">
    <w:pPr>
      <w:pStyle w:val="Header"/>
      <w:spacing w:after="360"/>
    </w:pPr>
    <w:r>
      <w:rPr>
        <w:rFonts w:eastAsia="Calibri" w:cs="Arial"/>
        <w:b/>
        <w:color w:val="000000"/>
        <w:spacing w:val="-10"/>
        <w:sz w:val="42"/>
        <w:szCs w:val="42"/>
      </w:rPr>
      <w:t>Senior Development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AE6B1"/>
    <w:multiLevelType w:val="hybridMultilevel"/>
    <w:tmpl w:val="DF24FA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D1F7B7"/>
    <w:multiLevelType w:val="hybridMultilevel"/>
    <w:tmpl w:val="6654C8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728968"/>
    <w:multiLevelType w:val="hybridMultilevel"/>
    <w:tmpl w:val="373B5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91B4BF"/>
    <w:multiLevelType w:val="hybridMultilevel"/>
    <w:tmpl w:val="F36F84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5"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6"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7"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8"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9BE5D1D"/>
    <w:multiLevelType w:val="hybridMultilevel"/>
    <w:tmpl w:val="C368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2490F"/>
    <w:multiLevelType w:val="hybridMultilevel"/>
    <w:tmpl w:val="2716E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2A0C26"/>
    <w:multiLevelType w:val="hybridMultilevel"/>
    <w:tmpl w:val="985EE200"/>
    <w:lvl w:ilvl="0" w:tplc="E3967142">
      <w:start w:val="1"/>
      <w:numFmt w:val="bullet"/>
      <w:lvlText w:val=""/>
      <w:lvlJc w:val="left"/>
      <w:pPr>
        <w:tabs>
          <w:tab w:val="num" w:pos="57"/>
        </w:tabs>
        <w:ind w:left="113" w:hanging="113"/>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120344"/>
    <w:multiLevelType w:val="hybridMultilevel"/>
    <w:tmpl w:val="1A6E398E"/>
    <w:lvl w:ilvl="0" w:tplc="AAFE59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A75F1C"/>
    <w:multiLevelType w:val="hybridMultilevel"/>
    <w:tmpl w:val="1D5A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82338"/>
    <w:multiLevelType w:val="hybridMultilevel"/>
    <w:tmpl w:val="AB5E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AB122C"/>
    <w:multiLevelType w:val="hybridMultilevel"/>
    <w:tmpl w:val="37867E54"/>
    <w:lvl w:ilvl="0" w:tplc="7276AC4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1D7AE7"/>
    <w:multiLevelType w:val="hybridMultilevel"/>
    <w:tmpl w:val="398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0F95A0E"/>
    <w:multiLevelType w:val="hybridMultilevel"/>
    <w:tmpl w:val="223CA8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972551"/>
    <w:multiLevelType w:val="hybridMultilevel"/>
    <w:tmpl w:val="AF1664BE"/>
    <w:lvl w:ilvl="0" w:tplc="E3967142">
      <w:start w:val="1"/>
      <w:numFmt w:val="bullet"/>
      <w:lvlText w:val=""/>
      <w:lvlJc w:val="left"/>
      <w:pPr>
        <w:tabs>
          <w:tab w:val="num" w:pos="57"/>
        </w:tabs>
        <w:ind w:left="113" w:hanging="113"/>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9D3B86"/>
    <w:multiLevelType w:val="multilevel"/>
    <w:tmpl w:val="768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D57B5C"/>
    <w:multiLevelType w:val="hybridMultilevel"/>
    <w:tmpl w:val="6B32CE38"/>
    <w:lvl w:ilvl="0" w:tplc="51BE6B0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1722EAF"/>
    <w:multiLevelType w:val="hybridMultilevel"/>
    <w:tmpl w:val="EED4BA36"/>
    <w:lvl w:ilvl="0" w:tplc="0C090001">
      <w:start w:val="1"/>
      <w:numFmt w:val="bullet"/>
      <w:lvlText w:val=""/>
      <w:lvlJc w:val="left"/>
      <w:pPr>
        <w:tabs>
          <w:tab w:val="num" w:pos="360"/>
        </w:tabs>
        <w:ind w:left="360" w:hanging="360"/>
      </w:pPr>
      <w:rPr>
        <w:rFonts w:ascii="Symbol" w:hAnsi="Symbol" w:hint="default"/>
      </w:rPr>
    </w:lvl>
    <w:lvl w:ilvl="1" w:tplc="55E0F87A">
      <w:numFmt w:val="bullet"/>
      <w:lvlText w:val="-"/>
      <w:lvlJc w:val="left"/>
      <w:pPr>
        <w:tabs>
          <w:tab w:val="num" w:pos="1440"/>
        </w:tabs>
        <w:ind w:left="1440" w:hanging="720"/>
      </w:pPr>
      <w:rPr>
        <w:rFonts w:ascii="Arial" w:eastAsia="Times New Roman" w:hAnsi="Arial"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BB39BA"/>
    <w:multiLevelType w:val="hybridMultilevel"/>
    <w:tmpl w:val="2F62196A"/>
    <w:lvl w:ilvl="0" w:tplc="72745E0C">
      <w:start w:val="1"/>
      <w:numFmt w:val="bullet"/>
      <w:pStyle w:val="Table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FD7B5C"/>
    <w:multiLevelType w:val="hybridMultilevel"/>
    <w:tmpl w:val="B7DC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12A1A5"/>
    <w:multiLevelType w:val="hybridMultilevel"/>
    <w:tmpl w:val="D7D349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D2CD182"/>
    <w:multiLevelType w:val="hybridMultilevel"/>
    <w:tmpl w:val="6CEEB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2256833">
    <w:abstractNumId w:val="13"/>
  </w:num>
  <w:num w:numId="2" w16cid:durableId="2143185471">
    <w:abstractNumId w:val="11"/>
  </w:num>
  <w:num w:numId="3" w16cid:durableId="1879932177">
    <w:abstractNumId w:val="10"/>
  </w:num>
  <w:num w:numId="4" w16cid:durableId="271596301">
    <w:abstractNumId w:val="9"/>
  </w:num>
  <w:num w:numId="5" w16cid:durableId="1262186083">
    <w:abstractNumId w:val="8"/>
  </w:num>
  <w:num w:numId="6" w16cid:durableId="114445450">
    <w:abstractNumId w:val="12"/>
  </w:num>
  <w:num w:numId="7" w16cid:durableId="1245384208">
    <w:abstractNumId w:val="7"/>
  </w:num>
  <w:num w:numId="8" w16cid:durableId="1276401714">
    <w:abstractNumId w:val="6"/>
  </w:num>
  <w:num w:numId="9" w16cid:durableId="673919097">
    <w:abstractNumId w:val="5"/>
  </w:num>
  <w:num w:numId="10" w16cid:durableId="571502281">
    <w:abstractNumId w:val="4"/>
  </w:num>
  <w:num w:numId="11" w16cid:durableId="1426997216">
    <w:abstractNumId w:val="32"/>
  </w:num>
  <w:num w:numId="12" w16cid:durableId="628316874">
    <w:abstractNumId w:val="27"/>
  </w:num>
  <w:num w:numId="13" w16cid:durableId="1511986300">
    <w:abstractNumId w:val="23"/>
  </w:num>
  <w:num w:numId="14" w16cid:durableId="778455238">
    <w:abstractNumId w:val="15"/>
  </w:num>
  <w:num w:numId="15" w16cid:durableId="910584562">
    <w:abstractNumId w:val="22"/>
  </w:num>
  <w:num w:numId="16" w16cid:durableId="2022849565">
    <w:abstractNumId w:val="30"/>
  </w:num>
  <w:num w:numId="17" w16cid:durableId="1289386357">
    <w:abstractNumId w:val="26"/>
  </w:num>
  <w:num w:numId="18" w16cid:durableId="1855923756">
    <w:abstractNumId w:val="30"/>
  </w:num>
  <w:num w:numId="19" w16cid:durableId="702366980">
    <w:abstractNumId w:val="34"/>
  </w:num>
  <w:num w:numId="20" w16cid:durableId="71859497">
    <w:abstractNumId w:val="33"/>
  </w:num>
  <w:num w:numId="21" w16cid:durableId="80296060">
    <w:abstractNumId w:val="0"/>
  </w:num>
  <w:num w:numId="22" w16cid:durableId="2030720632">
    <w:abstractNumId w:val="1"/>
  </w:num>
  <w:num w:numId="23" w16cid:durableId="666786068">
    <w:abstractNumId w:val="30"/>
  </w:num>
  <w:num w:numId="24" w16cid:durableId="1256591069">
    <w:abstractNumId w:val="30"/>
  </w:num>
  <w:num w:numId="25" w16cid:durableId="1331911052">
    <w:abstractNumId w:val="2"/>
  </w:num>
  <w:num w:numId="26" w16cid:durableId="1744910873">
    <w:abstractNumId w:val="3"/>
  </w:num>
  <w:num w:numId="27" w16cid:durableId="1964647909">
    <w:abstractNumId w:val="25"/>
  </w:num>
  <w:num w:numId="28" w16cid:durableId="1385325675">
    <w:abstractNumId w:val="16"/>
  </w:num>
  <w:num w:numId="29" w16cid:durableId="1072896909">
    <w:abstractNumId w:val="20"/>
  </w:num>
  <w:num w:numId="30" w16cid:durableId="612246382">
    <w:abstractNumId w:val="30"/>
  </w:num>
  <w:num w:numId="31" w16cid:durableId="444234257">
    <w:abstractNumId w:val="14"/>
  </w:num>
  <w:num w:numId="32" w16cid:durableId="1395006138">
    <w:abstractNumId w:val="18"/>
  </w:num>
  <w:num w:numId="33" w16cid:durableId="1809275806">
    <w:abstractNumId w:val="30"/>
  </w:num>
  <w:num w:numId="34" w16cid:durableId="841116893">
    <w:abstractNumId w:val="30"/>
  </w:num>
  <w:num w:numId="35" w16cid:durableId="1088772244">
    <w:abstractNumId w:val="30"/>
  </w:num>
  <w:num w:numId="36" w16cid:durableId="1544632403">
    <w:abstractNumId w:val="17"/>
  </w:num>
  <w:num w:numId="37" w16cid:durableId="584727825">
    <w:abstractNumId w:val="21"/>
  </w:num>
  <w:num w:numId="38" w16cid:durableId="73820771">
    <w:abstractNumId w:val="29"/>
  </w:num>
  <w:num w:numId="39" w16cid:durableId="1664579741">
    <w:abstractNumId w:val="19"/>
  </w:num>
  <w:num w:numId="40" w16cid:durableId="188297817">
    <w:abstractNumId w:val="30"/>
  </w:num>
  <w:num w:numId="41" w16cid:durableId="1945258764">
    <w:abstractNumId w:val="28"/>
  </w:num>
  <w:num w:numId="42" w16cid:durableId="756755451">
    <w:abstractNumId w:val="24"/>
  </w:num>
  <w:num w:numId="43" w16cid:durableId="1553997505">
    <w:abstractNumId w:val="30"/>
  </w:num>
  <w:num w:numId="44" w16cid:durableId="151935010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2E"/>
    <w:rsid w:val="000004A7"/>
    <w:rsid w:val="0000267F"/>
    <w:rsid w:val="000044A0"/>
    <w:rsid w:val="00006660"/>
    <w:rsid w:val="00014206"/>
    <w:rsid w:val="00014E98"/>
    <w:rsid w:val="000151A9"/>
    <w:rsid w:val="00021C23"/>
    <w:rsid w:val="000227A8"/>
    <w:rsid w:val="0002436B"/>
    <w:rsid w:val="0002595E"/>
    <w:rsid w:val="000260EB"/>
    <w:rsid w:val="0002637C"/>
    <w:rsid w:val="0003077E"/>
    <w:rsid w:val="00030C9C"/>
    <w:rsid w:val="00031E32"/>
    <w:rsid w:val="0003659D"/>
    <w:rsid w:val="00042681"/>
    <w:rsid w:val="00043B92"/>
    <w:rsid w:val="000440C3"/>
    <w:rsid w:val="000451AE"/>
    <w:rsid w:val="00045975"/>
    <w:rsid w:val="000477E1"/>
    <w:rsid w:val="00050CD8"/>
    <w:rsid w:val="00051237"/>
    <w:rsid w:val="0005450B"/>
    <w:rsid w:val="000564AF"/>
    <w:rsid w:val="000575F8"/>
    <w:rsid w:val="00057CB3"/>
    <w:rsid w:val="00057FCB"/>
    <w:rsid w:val="000618BB"/>
    <w:rsid w:val="0006207C"/>
    <w:rsid w:val="000626FD"/>
    <w:rsid w:val="00062859"/>
    <w:rsid w:val="0006316C"/>
    <w:rsid w:val="000646FD"/>
    <w:rsid w:val="000673A1"/>
    <w:rsid w:val="00067D72"/>
    <w:rsid w:val="00071200"/>
    <w:rsid w:val="00073F1E"/>
    <w:rsid w:val="000748C3"/>
    <w:rsid w:val="000758D0"/>
    <w:rsid w:val="00076050"/>
    <w:rsid w:val="00077B45"/>
    <w:rsid w:val="00077DFF"/>
    <w:rsid w:val="00077E3F"/>
    <w:rsid w:val="00082696"/>
    <w:rsid w:val="00083717"/>
    <w:rsid w:val="0008547B"/>
    <w:rsid w:val="00086B43"/>
    <w:rsid w:val="00090994"/>
    <w:rsid w:val="0009116E"/>
    <w:rsid w:val="000915AA"/>
    <w:rsid w:val="00092A99"/>
    <w:rsid w:val="00094538"/>
    <w:rsid w:val="0009663A"/>
    <w:rsid w:val="000967EB"/>
    <w:rsid w:val="00096A21"/>
    <w:rsid w:val="000971A0"/>
    <w:rsid w:val="000975C1"/>
    <w:rsid w:val="00097C7F"/>
    <w:rsid w:val="00097CC6"/>
    <w:rsid w:val="000A121E"/>
    <w:rsid w:val="000A16AF"/>
    <w:rsid w:val="000A3CE0"/>
    <w:rsid w:val="000A417B"/>
    <w:rsid w:val="000A4E9E"/>
    <w:rsid w:val="000A75A4"/>
    <w:rsid w:val="000B1069"/>
    <w:rsid w:val="000B127E"/>
    <w:rsid w:val="000B370C"/>
    <w:rsid w:val="000B5B5F"/>
    <w:rsid w:val="000B6008"/>
    <w:rsid w:val="000C2710"/>
    <w:rsid w:val="000C2AB2"/>
    <w:rsid w:val="000C4C8F"/>
    <w:rsid w:val="000D05E3"/>
    <w:rsid w:val="000D0C8D"/>
    <w:rsid w:val="000D18C1"/>
    <w:rsid w:val="000D3A71"/>
    <w:rsid w:val="000D71AB"/>
    <w:rsid w:val="000E0897"/>
    <w:rsid w:val="000E149C"/>
    <w:rsid w:val="000E264B"/>
    <w:rsid w:val="000E2D7E"/>
    <w:rsid w:val="000E326C"/>
    <w:rsid w:val="000E4505"/>
    <w:rsid w:val="000E4DC1"/>
    <w:rsid w:val="000E5EE6"/>
    <w:rsid w:val="000E6CA8"/>
    <w:rsid w:val="000E7D81"/>
    <w:rsid w:val="000F21C2"/>
    <w:rsid w:val="000F2309"/>
    <w:rsid w:val="000F2402"/>
    <w:rsid w:val="000F3527"/>
    <w:rsid w:val="000F3CB4"/>
    <w:rsid w:val="000F3F7E"/>
    <w:rsid w:val="000F5C76"/>
    <w:rsid w:val="000F648C"/>
    <w:rsid w:val="000F67C4"/>
    <w:rsid w:val="00100337"/>
    <w:rsid w:val="001003F7"/>
    <w:rsid w:val="00101B6A"/>
    <w:rsid w:val="00101D56"/>
    <w:rsid w:val="00101F55"/>
    <w:rsid w:val="0010245F"/>
    <w:rsid w:val="00106A75"/>
    <w:rsid w:val="001123F9"/>
    <w:rsid w:val="0011338E"/>
    <w:rsid w:val="001142DA"/>
    <w:rsid w:val="0011627F"/>
    <w:rsid w:val="00116B0F"/>
    <w:rsid w:val="00116F0D"/>
    <w:rsid w:val="00120A45"/>
    <w:rsid w:val="0012232D"/>
    <w:rsid w:val="00122685"/>
    <w:rsid w:val="00123E52"/>
    <w:rsid w:val="00126219"/>
    <w:rsid w:val="0012683A"/>
    <w:rsid w:val="001279E2"/>
    <w:rsid w:val="00130BC5"/>
    <w:rsid w:val="00133F84"/>
    <w:rsid w:val="0014452C"/>
    <w:rsid w:val="0014725A"/>
    <w:rsid w:val="001612BF"/>
    <w:rsid w:val="00162154"/>
    <w:rsid w:val="00162275"/>
    <w:rsid w:val="001708F4"/>
    <w:rsid w:val="001715BF"/>
    <w:rsid w:val="001722A6"/>
    <w:rsid w:val="0017252E"/>
    <w:rsid w:val="00172A22"/>
    <w:rsid w:val="00173FD1"/>
    <w:rsid w:val="0017403E"/>
    <w:rsid w:val="00174755"/>
    <w:rsid w:val="00176E9A"/>
    <w:rsid w:val="001772A3"/>
    <w:rsid w:val="00182CDA"/>
    <w:rsid w:val="00186C79"/>
    <w:rsid w:val="00186F6C"/>
    <w:rsid w:val="001875E2"/>
    <w:rsid w:val="00187715"/>
    <w:rsid w:val="00190510"/>
    <w:rsid w:val="00191ACA"/>
    <w:rsid w:val="00191F05"/>
    <w:rsid w:val="001945A8"/>
    <w:rsid w:val="00194E0A"/>
    <w:rsid w:val="00195547"/>
    <w:rsid w:val="00197067"/>
    <w:rsid w:val="00197236"/>
    <w:rsid w:val="001A0358"/>
    <w:rsid w:val="001A1637"/>
    <w:rsid w:val="001A2AC8"/>
    <w:rsid w:val="001A581F"/>
    <w:rsid w:val="001A5B5E"/>
    <w:rsid w:val="001A704A"/>
    <w:rsid w:val="001B0AF4"/>
    <w:rsid w:val="001B2F1F"/>
    <w:rsid w:val="001B7940"/>
    <w:rsid w:val="001C0122"/>
    <w:rsid w:val="001C0E34"/>
    <w:rsid w:val="001C6F2E"/>
    <w:rsid w:val="001D0E26"/>
    <w:rsid w:val="001D0E78"/>
    <w:rsid w:val="001D133A"/>
    <w:rsid w:val="001D1A1C"/>
    <w:rsid w:val="001D1BB5"/>
    <w:rsid w:val="001D2084"/>
    <w:rsid w:val="001D6B1C"/>
    <w:rsid w:val="001D73CA"/>
    <w:rsid w:val="001D7C68"/>
    <w:rsid w:val="001E097F"/>
    <w:rsid w:val="001E0F3B"/>
    <w:rsid w:val="001E2398"/>
    <w:rsid w:val="001E2B26"/>
    <w:rsid w:val="001E6660"/>
    <w:rsid w:val="001E7CA4"/>
    <w:rsid w:val="001F0E79"/>
    <w:rsid w:val="001F3B8E"/>
    <w:rsid w:val="001F57B6"/>
    <w:rsid w:val="001F5938"/>
    <w:rsid w:val="001F618B"/>
    <w:rsid w:val="00202351"/>
    <w:rsid w:val="00202CD4"/>
    <w:rsid w:val="00203E4E"/>
    <w:rsid w:val="00210698"/>
    <w:rsid w:val="00213210"/>
    <w:rsid w:val="00213ED7"/>
    <w:rsid w:val="00213EE0"/>
    <w:rsid w:val="00220EE5"/>
    <w:rsid w:val="00222CC4"/>
    <w:rsid w:val="00223287"/>
    <w:rsid w:val="002256A0"/>
    <w:rsid w:val="002347AA"/>
    <w:rsid w:val="00237136"/>
    <w:rsid w:val="00237CFF"/>
    <w:rsid w:val="00240CE9"/>
    <w:rsid w:val="00241D43"/>
    <w:rsid w:val="00247E4A"/>
    <w:rsid w:val="00251851"/>
    <w:rsid w:val="00252215"/>
    <w:rsid w:val="00252BF9"/>
    <w:rsid w:val="00253849"/>
    <w:rsid w:val="0026255B"/>
    <w:rsid w:val="00271C38"/>
    <w:rsid w:val="00271FAE"/>
    <w:rsid w:val="002735A9"/>
    <w:rsid w:val="002743C3"/>
    <w:rsid w:val="0028049D"/>
    <w:rsid w:val="00280676"/>
    <w:rsid w:val="00281479"/>
    <w:rsid w:val="00281886"/>
    <w:rsid w:val="00283AF5"/>
    <w:rsid w:val="00284FE6"/>
    <w:rsid w:val="00285EA6"/>
    <w:rsid w:val="00285EF8"/>
    <w:rsid w:val="002863B5"/>
    <w:rsid w:val="00286851"/>
    <w:rsid w:val="00286B47"/>
    <w:rsid w:val="002872F7"/>
    <w:rsid w:val="002901B8"/>
    <w:rsid w:val="0029069B"/>
    <w:rsid w:val="00293858"/>
    <w:rsid w:val="00294E56"/>
    <w:rsid w:val="00297CDF"/>
    <w:rsid w:val="002A0630"/>
    <w:rsid w:val="002A18A8"/>
    <w:rsid w:val="002A41AA"/>
    <w:rsid w:val="002A60C2"/>
    <w:rsid w:val="002B27D4"/>
    <w:rsid w:val="002B4038"/>
    <w:rsid w:val="002B5204"/>
    <w:rsid w:val="002C458A"/>
    <w:rsid w:val="002C57D0"/>
    <w:rsid w:val="002D0251"/>
    <w:rsid w:val="002D2FCA"/>
    <w:rsid w:val="002D4902"/>
    <w:rsid w:val="002D4927"/>
    <w:rsid w:val="002D4DE0"/>
    <w:rsid w:val="002D56E5"/>
    <w:rsid w:val="002D6639"/>
    <w:rsid w:val="002D75E8"/>
    <w:rsid w:val="002E09D3"/>
    <w:rsid w:val="002E11BF"/>
    <w:rsid w:val="002E1548"/>
    <w:rsid w:val="002E3146"/>
    <w:rsid w:val="002F07BE"/>
    <w:rsid w:val="002F13A0"/>
    <w:rsid w:val="002F15CA"/>
    <w:rsid w:val="002F2D26"/>
    <w:rsid w:val="002F5361"/>
    <w:rsid w:val="002F56EF"/>
    <w:rsid w:val="002F586E"/>
    <w:rsid w:val="002F692E"/>
    <w:rsid w:val="003000E8"/>
    <w:rsid w:val="003008BA"/>
    <w:rsid w:val="0030097A"/>
    <w:rsid w:val="00301663"/>
    <w:rsid w:val="00301B57"/>
    <w:rsid w:val="00302551"/>
    <w:rsid w:val="003039C8"/>
    <w:rsid w:val="00307DCE"/>
    <w:rsid w:val="003119C5"/>
    <w:rsid w:val="00312C2C"/>
    <w:rsid w:val="00313043"/>
    <w:rsid w:val="003232D0"/>
    <w:rsid w:val="00324761"/>
    <w:rsid w:val="00324F2D"/>
    <w:rsid w:val="00326B2D"/>
    <w:rsid w:val="00327C35"/>
    <w:rsid w:val="00330331"/>
    <w:rsid w:val="00334ED9"/>
    <w:rsid w:val="0033590A"/>
    <w:rsid w:val="003361AE"/>
    <w:rsid w:val="00341608"/>
    <w:rsid w:val="0034373A"/>
    <w:rsid w:val="0034480B"/>
    <w:rsid w:val="00345172"/>
    <w:rsid w:val="003452C0"/>
    <w:rsid w:val="00347774"/>
    <w:rsid w:val="00347F09"/>
    <w:rsid w:val="00351878"/>
    <w:rsid w:val="00354809"/>
    <w:rsid w:val="003551DB"/>
    <w:rsid w:val="00355AB8"/>
    <w:rsid w:val="00357A96"/>
    <w:rsid w:val="003605CF"/>
    <w:rsid w:val="003613F1"/>
    <w:rsid w:val="00361C42"/>
    <w:rsid w:val="00361F3E"/>
    <w:rsid w:val="0036321F"/>
    <w:rsid w:val="003636C5"/>
    <w:rsid w:val="00365DAF"/>
    <w:rsid w:val="0037183B"/>
    <w:rsid w:val="003726BA"/>
    <w:rsid w:val="00375A2D"/>
    <w:rsid w:val="00376812"/>
    <w:rsid w:val="00376972"/>
    <w:rsid w:val="003776D3"/>
    <w:rsid w:val="003823EC"/>
    <w:rsid w:val="00385104"/>
    <w:rsid w:val="00385222"/>
    <w:rsid w:val="00385EAF"/>
    <w:rsid w:val="00386057"/>
    <w:rsid w:val="00387240"/>
    <w:rsid w:val="003904D7"/>
    <w:rsid w:val="00392D9D"/>
    <w:rsid w:val="00394D28"/>
    <w:rsid w:val="003A342B"/>
    <w:rsid w:val="003A5831"/>
    <w:rsid w:val="003B310A"/>
    <w:rsid w:val="003C0BA4"/>
    <w:rsid w:val="003C410C"/>
    <w:rsid w:val="003C481F"/>
    <w:rsid w:val="003C5C8D"/>
    <w:rsid w:val="003C64C5"/>
    <w:rsid w:val="003C6579"/>
    <w:rsid w:val="003D0EA6"/>
    <w:rsid w:val="003D0ECA"/>
    <w:rsid w:val="003D10D6"/>
    <w:rsid w:val="003D11C3"/>
    <w:rsid w:val="003D2DDC"/>
    <w:rsid w:val="003D37DB"/>
    <w:rsid w:val="003D3F53"/>
    <w:rsid w:val="003D44C2"/>
    <w:rsid w:val="003D77D3"/>
    <w:rsid w:val="003E27EF"/>
    <w:rsid w:val="003E55F7"/>
    <w:rsid w:val="003E5AD6"/>
    <w:rsid w:val="003F0B30"/>
    <w:rsid w:val="003F22BD"/>
    <w:rsid w:val="003F2E7D"/>
    <w:rsid w:val="003F58FA"/>
    <w:rsid w:val="003F667E"/>
    <w:rsid w:val="003F6E2B"/>
    <w:rsid w:val="003F7C59"/>
    <w:rsid w:val="00402E6D"/>
    <w:rsid w:val="004063C9"/>
    <w:rsid w:val="0041221E"/>
    <w:rsid w:val="004133D2"/>
    <w:rsid w:val="004174B3"/>
    <w:rsid w:val="00420C6F"/>
    <w:rsid w:val="004219E2"/>
    <w:rsid w:val="0042535F"/>
    <w:rsid w:val="00426D9A"/>
    <w:rsid w:val="0042783B"/>
    <w:rsid w:val="00427DB5"/>
    <w:rsid w:val="0043602E"/>
    <w:rsid w:val="0043710E"/>
    <w:rsid w:val="00440C1F"/>
    <w:rsid w:val="004418E9"/>
    <w:rsid w:val="00442847"/>
    <w:rsid w:val="00442916"/>
    <w:rsid w:val="004442C4"/>
    <w:rsid w:val="00444C8C"/>
    <w:rsid w:val="00444CE9"/>
    <w:rsid w:val="00444E4D"/>
    <w:rsid w:val="00444EC5"/>
    <w:rsid w:val="00451821"/>
    <w:rsid w:val="004522D0"/>
    <w:rsid w:val="00452BFB"/>
    <w:rsid w:val="00453376"/>
    <w:rsid w:val="004536A3"/>
    <w:rsid w:val="00454B08"/>
    <w:rsid w:val="00455A32"/>
    <w:rsid w:val="004562EC"/>
    <w:rsid w:val="0045640E"/>
    <w:rsid w:val="00456590"/>
    <w:rsid w:val="00456937"/>
    <w:rsid w:val="00460C8B"/>
    <w:rsid w:val="004629AB"/>
    <w:rsid w:val="00466283"/>
    <w:rsid w:val="00466C4C"/>
    <w:rsid w:val="00470173"/>
    <w:rsid w:val="00470D08"/>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E16"/>
    <w:rsid w:val="004A31C9"/>
    <w:rsid w:val="004A4485"/>
    <w:rsid w:val="004A4811"/>
    <w:rsid w:val="004A63EB"/>
    <w:rsid w:val="004B0ACE"/>
    <w:rsid w:val="004B0FFB"/>
    <w:rsid w:val="004B57AD"/>
    <w:rsid w:val="004B5D0E"/>
    <w:rsid w:val="004C19D6"/>
    <w:rsid w:val="004C2EF6"/>
    <w:rsid w:val="004C7ED0"/>
    <w:rsid w:val="004D1B1D"/>
    <w:rsid w:val="004D1E56"/>
    <w:rsid w:val="004D3800"/>
    <w:rsid w:val="004D4B27"/>
    <w:rsid w:val="004D53D0"/>
    <w:rsid w:val="004D751F"/>
    <w:rsid w:val="004E0CEE"/>
    <w:rsid w:val="004E3295"/>
    <w:rsid w:val="004E4642"/>
    <w:rsid w:val="004E5FCD"/>
    <w:rsid w:val="004E628E"/>
    <w:rsid w:val="004E7C6C"/>
    <w:rsid w:val="004F0E9E"/>
    <w:rsid w:val="004F1DB4"/>
    <w:rsid w:val="004F1DFE"/>
    <w:rsid w:val="004F1FB5"/>
    <w:rsid w:val="004F399F"/>
    <w:rsid w:val="004F4AB0"/>
    <w:rsid w:val="004F6193"/>
    <w:rsid w:val="005030FB"/>
    <w:rsid w:val="00503164"/>
    <w:rsid w:val="005037F1"/>
    <w:rsid w:val="00506C0E"/>
    <w:rsid w:val="00506CB5"/>
    <w:rsid w:val="00506DED"/>
    <w:rsid w:val="00507F16"/>
    <w:rsid w:val="00511CEB"/>
    <w:rsid w:val="005122CD"/>
    <w:rsid w:val="005132CB"/>
    <w:rsid w:val="00513CC0"/>
    <w:rsid w:val="00513F46"/>
    <w:rsid w:val="005207A9"/>
    <w:rsid w:val="00524117"/>
    <w:rsid w:val="00524886"/>
    <w:rsid w:val="00526D8B"/>
    <w:rsid w:val="00527E66"/>
    <w:rsid w:val="00530754"/>
    <w:rsid w:val="005312F5"/>
    <w:rsid w:val="00531385"/>
    <w:rsid w:val="0053264A"/>
    <w:rsid w:val="00533B51"/>
    <w:rsid w:val="005360FF"/>
    <w:rsid w:val="005377BD"/>
    <w:rsid w:val="00540C8A"/>
    <w:rsid w:val="00544743"/>
    <w:rsid w:val="00546A7D"/>
    <w:rsid w:val="00546B61"/>
    <w:rsid w:val="005472AC"/>
    <w:rsid w:val="00550F81"/>
    <w:rsid w:val="0055213E"/>
    <w:rsid w:val="00552A7A"/>
    <w:rsid w:val="00553980"/>
    <w:rsid w:val="00554A2C"/>
    <w:rsid w:val="00556960"/>
    <w:rsid w:val="0056018B"/>
    <w:rsid w:val="005612AD"/>
    <w:rsid w:val="00566E7B"/>
    <w:rsid w:val="0056725F"/>
    <w:rsid w:val="00570E7B"/>
    <w:rsid w:val="005713D4"/>
    <w:rsid w:val="005741B0"/>
    <w:rsid w:val="00575E21"/>
    <w:rsid w:val="00576997"/>
    <w:rsid w:val="00576FEA"/>
    <w:rsid w:val="00580270"/>
    <w:rsid w:val="005829CE"/>
    <w:rsid w:val="00582E73"/>
    <w:rsid w:val="005830BB"/>
    <w:rsid w:val="005840AF"/>
    <w:rsid w:val="0058762A"/>
    <w:rsid w:val="00591804"/>
    <w:rsid w:val="00594A6C"/>
    <w:rsid w:val="00595E4B"/>
    <w:rsid w:val="00597C7B"/>
    <w:rsid w:val="005A17C5"/>
    <w:rsid w:val="005A229C"/>
    <w:rsid w:val="005A2572"/>
    <w:rsid w:val="005A28F1"/>
    <w:rsid w:val="005A2C7E"/>
    <w:rsid w:val="005A41A4"/>
    <w:rsid w:val="005A45D4"/>
    <w:rsid w:val="005B06A8"/>
    <w:rsid w:val="005B4A86"/>
    <w:rsid w:val="005B4FC3"/>
    <w:rsid w:val="005B5229"/>
    <w:rsid w:val="005B740B"/>
    <w:rsid w:val="005C0EBF"/>
    <w:rsid w:val="005C1D3E"/>
    <w:rsid w:val="005C538C"/>
    <w:rsid w:val="005C5A02"/>
    <w:rsid w:val="005C79DB"/>
    <w:rsid w:val="005D3386"/>
    <w:rsid w:val="005D4A10"/>
    <w:rsid w:val="005D5F07"/>
    <w:rsid w:val="005D62DC"/>
    <w:rsid w:val="005D7164"/>
    <w:rsid w:val="005D7A1A"/>
    <w:rsid w:val="005E06FD"/>
    <w:rsid w:val="005E2A35"/>
    <w:rsid w:val="005E3DE9"/>
    <w:rsid w:val="005F0E0E"/>
    <w:rsid w:val="005F2CA5"/>
    <w:rsid w:val="005F427B"/>
    <w:rsid w:val="005F4D26"/>
    <w:rsid w:val="005F4EC6"/>
    <w:rsid w:val="005F5991"/>
    <w:rsid w:val="005F7A3D"/>
    <w:rsid w:val="00601353"/>
    <w:rsid w:val="00602728"/>
    <w:rsid w:val="00604DCB"/>
    <w:rsid w:val="00607CA0"/>
    <w:rsid w:val="00611740"/>
    <w:rsid w:val="00620CA4"/>
    <w:rsid w:val="00624400"/>
    <w:rsid w:val="006325CC"/>
    <w:rsid w:val="00632BC3"/>
    <w:rsid w:val="0063412F"/>
    <w:rsid w:val="00634506"/>
    <w:rsid w:val="00635BBB"/>
    <w:rsid w:val="006367AD"/>
    <w:rsid w:val="00640B15"/>
    <w:rsid w:val="00641291"/>
    <w:rsid w:val="0064395B"/>
    <w:rsid w:val="00645B72"/>
    <w:rsid w:val="006506BC"/>
    <w:rsid w:val="00651CEC"/>
    <w:rsid w:val="00653E03"/>
    <w:rsid w:val="006540AF"/>
    <w:rsid w:val="0065653A"/>
    <w:rsid w:val="00656EFD"/>
    <w:rsid w:val="00662834"/>
    <w:rsid w:val="006632B2"/>
    <w:rsid w:val="006633EF"/>
    <w:rsid w:val="006662CB"/>
    <w:rsid w:val="00666D0F"/>
    <w:rsid w:val="00670228"/>
    <w:rsid w:val="006710B5"/>
    <w:rsid w:val="00671EDB"/>
    <w:rsid w:val="00673E9B"/>
    <w:rsid w:val="00674077"/>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16B1"/>
    <w:rsid w:val="006B4035"/>
    <w:rsid w:val="006C1B5E"/>
    <w:rsid w:val="006C1FBD"/>
    <w:rsid w:val="006C33F1"/>
    <w:rsid w:val="006C3E53"/>
    <w:rsid w:val="006D0B34"/>
    <w:rsid w:val="006D667C"/>
    <w:rsid w:val="006E0883"/>
    <w:rsid w:val="006E1A58"/>
    <w:rsid w:val="006E27C8"/>
    <w:rsid w:val="006E41E5"/>
    <w:rsid w:val="006E65F7"/>
    <w:rsid w:val="006F2A07"/>
    <w:rsid w:val="006F481B"/>
    <w:rsid w:val="006F6540"/>
    <w:rsid w:val="006F7045"/>
    <w:rsid w:val="00700589"/>
    <w:rsid w:val="00701327"/>
    <w:rsid w:val="0070281C"/>
    <w:rsid w:val="0070390D"/>
    <w:rsid w:val="00713D4E"/>
    <w:rsid w:val="0071562A"/>
    <w:rsid w:val="007160BF"/>
    <w:rsid w:val="0071682A"/>
    <w:rsid w:val="00716FD1"/>
    <w:rsid w:val="00720A00"/>
    <w:rsid w:val="00720F93"/>
    <w:rsid w:val="00721496"/>
    <w:rsid w:val="00721689"/>
    <w:rsid w:val="00723D21"/>
    <w:rsid w:val="00724E0F"/>
    <w:rsid w:val="007265DF"/>
    <w:rsid w:val="00731754"/>
    <w:rsid w:val="00732229"/>
    <w:rsid w:val="00732498"/>
    <w:rsid w:val="00732D8A"/>
    <w:rsid w:val="00733D92"/>
    <w:rsid w:val="00735790"/>
    <w:rsid w:val="00741726"/>
    <w:rsid w:val="0074445F"/>
    <w:rsid w:val="007453F7"/>
    <w:rsid w:val="00751C97"/>
    <w:rsid w:val="00752542"/>
    <w:rsid w:val="00753279"/>
    <w:rsid w:val="00753C8C"/>
    <w:rsid w:val="00754862"/>
    <w:rsid w:val="00755854"/>
    <w:rsid w:val="00756ED0"/>
    <w:rsid w:val="00760115"/>
    <w:rsid w:val="0076011C"/>
    <w:rsid w:val="0076331C"/>
    <w:rsid w:val="00764734"/>
    <w:rsid w:val="00765CA4"/>
    <w:rsid w:val="00766A1C"/>
    <w:rsid w:val="00766C18"/>
    <w:rsid w:val="00773E3E"/>
    <w:rsid w:val="00773F15"/>
    <w:rsid w:val="00780264"/>
    <w:rsid w:val="00780769"/>
    <w:rsid w:val="007830E1"/>
    <w:rsid w:val="00783BBC"/>
    <w:rsid w:val="007845C3"/>
    <w:rsid w:val="00784B97"/>
    <w:rsid w:val="00787B9C"/>
    <w:rsid w:val="007915EA"/>
    <w:rsid w:val="0079471C"/>
    <w:rsid w:val="00795940"/>
    <w:rsid w:val="00796201"/>
    <w:rsid w:val="0079771E"/>
    <w:rsid w:val="007A213C"/>
    <w:rsid w:val="007A3E74"/>
    <w:rsid w:val="007A5E76"/>
    <w:rsid w:val="007B05B2"/>
    <w:rsid w:val="007B2958"/>
    <w:rsid w:val="007B3114"/>
    <w:rsid w:val="007B3EDD"/>
    <w:rsid w:val="007B5A7A"/>
    <w:rsid w:val="007B7176"/>
    <w:rsid w:val="007B77DD"/>
    <w:rsid w:val="007C2D12"/>
    <w:rsid w:val="007C47A9"/>
    <w:rsid w:val="007C76D0"/>
    <w:rsid w:val="007C7AE1"/>
    <w:rsid w:val="007D0E9F"/>
    <w:rsid w:val="007D6BE2"/>
    <w:rsid w:val="007D6C1C"/>
    <w:rsid w:val="007D6D30"/>
    <w:rsid w:val="007E0E10"/>
    <w:rsid w:val="007E3E39"/>
    <w:rsid w:val="007F1AE2"/>
    <w:rsid w:val="007F366D"/>
    <w:rsid w:val="007F3905"/>
    <w:rsid w:val="007F4BAB"/>
    <w:rsid w:val="007F5884"/>
    <w:rsid w:val="0080079A"/>
    <w:rsid w:val="008033F4"/>
    <w:rsid w:val="00803E47"/>
    <w:rsid w:val="0080529D"/>
    <w:rsid w:val="008151FF"/>
    <w:rsid w:val="0081582E"/>
    <w:rsid w:val="00821C4C"/>
    <w:rsid w:val="00822DC8"/>
    <w:rsid w:val="008245C3"/>
    <w:rsid w:val="00824DB4"/>
    <w:rsid w:val="0082521F"/>
    <w:rsid w:val="00825325"/>
    <w:rsid w:val="0082615A"/>
    <w:rsid w:val="008325D5"/>
    <w:rsid w:val="00835D24"/>
    <w:rsid w:val="008365F5"/>
    <w:rsid w:val="00842FBF"/>
    <w:rsid w:val="00844228"/>
    <w:rsid w:val="00846558"/>
    <w:rsid w:val="008478DA"/>
    <w:rsid w:val="008526DE"/>
    <w:rsid w:val="0085463A"/>
    <w:rsid w:val="0085705E"/>
    <w:rsid w:val="00860EC8"/>
    <w:rsid w:val="00860F6E"/>
    <w:rsid w:val="008616D5"/>
    <w:rsid w:val="008634A3"/>
    <w:rsid w:val="00863AF9"/>
    <w:rsid w:val="00865372"/>
    <w:rsid w:val="00866A99"/>
    <w:rsid w:val="00867136"/>
    <w:rsid w:val="00867E89"/>
    <w:rsid w:val="008700C8"/>
    <w:rsid w:val="0087247B"/>
    <w:rsid w:val="00873E3D"/>
    <w:rsid w:val="008744CA"/>
    <w:rsid w:val="00874DE9"/>
    <w:rsid w:val="00876FF3"/>
    <w:rsid w:val="00883378"/>
    <w:rsid w:val="00884050"/>
    <w:rsid w:val="00884AEC"/>
    <w:rsid w:val="00886A86"/>
    <w:rsid w:val="008913F9"/>
    <w:rsid w:val="008913FE"/>
    <w:rsid w:val="00892F4C"/>
    <w:rsid w:val="0089412A"/>
    <w:rsid w:val="008978C5"/>
    <w:rsid w:val="008A043A"/>
    <w:rsid w:val="008A0703"/>
    <w:rsid w:val="008A09CE"/>
    <w:rsid w:val="008A1AFF"/>
    <w:rsid w:val="008A33F0"/>
    <w:rsid w:val="008A5136"/>
    <w:rsid w:val="008A77FC"/>
    <w:rsid w:val="008B1D03"/>
    <w:rsid w:val="008B201D"/>
    <w:rsid w:val="008B243C"/>
    <w:rsid w:val="008B5322"/>
    <w:rsid w:val="008B79A8"/>
    <w:rsid w:val="008C0B15"/>
    <w:rsid w:val="008D21B4"/>
    <w:rsid w:val="008D4B19"/>
    <w:rsid w:val="008D774C"/>
    <w:rsid w:val="008E0207"/>
    <w:rsid w:val="008E2B5D"/>
    <w:rsid w:val="008E2FD9"/>
    <w:rsid w:val="008E525F"/>
    <w:rsid w:val="008E52B8"/>
    <w:rsid w:val="008E562C"/>
    <w:rsid w:val="008E5CDE"/>
    <w:rsid w:val="008E65A3"/>
    <w:rsid w:val="008E6C44"/>
    <w:rsid w:val="008E745C"/>
    <w:rsid w:val="008F0E0C"/>
    <w:rsid w:val="008F12FD"/>
    <w:rsid w:val="008F18EF"/>
    <w:rsid w:val="008F3E39"/>
    <w:rsid w:val="008F52FC"/>
    <w:rsid w:val="00901B0A"/>
    <w:rsid w:val="00906E62"/>
    <w:rsid w:val="00911600"/>
    <w:rsid w:val="0091160E"/>
    <w:rsid w:val="00912939"/>
    <w:rsid w:val="00913641"/>
    <w:rsid w:val="00913836"/>
    <w:rsid w:val="00914942"/>
    <w:rsid w:val="00914D12"/>
    <w:rsid w:val="00914D86"/>
    <w:rsid w:val="0092000E"/>
    <w:rsid w:val="009232D9"/>
    <w:rsid w:val="00926993"/>
    <w:rsid w:val="00927BEC"/>
    <w:rsid w:val="00930255"/>
    <w:rsid w:val="009302D1"/>
    <w:rsid w:val="00930BFE"/>
    <w:rsid w:val="00931E80"/>
    <w:rsid w:val="0093429D"/>
    <w:rsid w:val="00934695"/>
    <w:rsid w:val="00944136"/>
    <w:rsid w:val="009442CD"/>
    <w:rsid w:val="00945108"/>
    <w:rsid w:val="00945CBA"/>
    <w:rsid w:val="00951702"/>
    <w:rsid w:val="0095282C"/>
    <w:rsid w:val="00953F85"/>
    <w:rsid w:val="00954BE8"/>
    <w:rsid w:val="009562E4"/>
    <w:rsid w:val="009565EF"/>
    <w:rsid w:val="0095776A"/>
    <w:rsid w:val="0095786C"/>
    <w:rsid w:val="00957887"/>
    <w:rsid w:val="00957A8E"/>
    <w:rsid w:val="009609A1"/>
    <w:rsid w:val="0096289B"/>
    <w:rsid w:val="00967090"/>
    <w:rsid w:val="00970F86"/>
    <w:rsid w:val="00972AE0"/>
    <w:rsid w:val="00972C0F"/>
    <w:rsid w:val="00972D2F"/>
    <w:rsid w:val="00973219"/>
    <w:rsid w:val="00974FBE"/>
    <w:rsid w:val="0097549F"/>
    <w:rsid w:val="00975C70"/>
    <w:rsid w:val="009868FD"/>
    <w:rsid w:val="00986F58"/>
    <w:rsid w:val="009933C0"/>
    <w:rsid w:val="00993AC0"/>
    <w:rsid w:val="00994854"/>
    <w:rsid w:val="009A0A5E"/>
    <w:rsid w:val="009A3AD7"/>
    <w:rsid w:val="009A3B8F"/>
    <w:rsid w:val="009A6996"/>
    <w:rsid w:val="009A7ABD"/>
    <w:rsid w:val="009B016F"/>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5A8F"/>
    <w:rsid w:val="009E5EB9"/>
    <w:rsid w:val="009E6312"/>
    <w:rsid w:val="009E77D7"/>
    <w:rsid w:val="009F0890"/>
    <w:rsid w:val="009F0E18"/>
    <w:rsid w:val="009F182E"/>
    <w:rsid w:val="009F1CD9"/>
    <w:rsid w:val="009F7524"/>
    <w:rsid w:val="00A02257"/>
    <w:rsid w:val="00A02297"/>
    <w:rsid w:val="00A03790"/>
    <w:rsid w:val="00A03ACB"/>
    <w:rsid w:val="00A04471"/>
    <w:rsid w:val="00A04AB7"/>
    <w:rsid w:val="00A057BA"/>
    <w:rsid w:val="00A0630F"/>
    <w:rsid w:val="00A06383"/>
    <w:rsid w:val="00A063C8"/>
    <w:rsid w:val="00A10C24"/>
    <w:rsid w:val="00A120AB"/>
    <w:rsid w:val="00A14552"/>
    <w:rsid w:val="00A15CDB"/>
    <w:rsid w:val="00A16262"/>
    <w:rsid w:val="00A2131F"/>
    <w:rsid w:val="00A2192A"/>
    <w:rsid w:val="00A24571"/>
    <w:rsid w:val="00A266ED"/>
    <w:rsid w:val="00A34E17"/>
    <w:rsid w:val="00A35AA5"/>
    <w:rsid w:val="00A362D2"/>
    <w:rsid w:val="00A37C23"/>
    <w:rsid w:val="00A43CE0"/>
    <w:rsid w:val="00A4526C"/>
    <w:rsid w:val="00A45F50"/>
    <w:rsid w:val="00A512B3"/>
    <w:rsid w:val="00A51871"/>
    <w:rsid w:val="00A51ECE"/>
    <w:rsid w:val="00A522D3"/>
    <w:rsid w:val="00A525E0"/>
    <w:rsid w:val="00A527FC"/>
    <w:rsid w:val="00A557A9"/>
    <w:rsid w:val="00A61EA7"/>
    <w:rsid w:val="00A64134"/>
    <w:rsid w:val="00A64FAA"/>
    <w:rsid w:val="00A67BC8"/>
    <w:rsid w:val="00A70C73"/>
    <w:rsid w:val="00A71CEF"/>
    <w:rsid w:val="00A755A5"/>
    <w:rsid w:val="00A756A7"/>
    <w:rsid w:val="00A76532"/>
    <w:rsid w:val="00A76845"/>
    <w:rsid w:val="00A76BF2"/>
    <w:rsid w:val="00A77C45"/>
    <w:rsid w:val="00A80EA2"/>
    <w:rsid w:val="00A8245E"/>
    <w:rsid w:val="00A82CC7"/>
    <w:rsid w:val="00A83DEC"/>
    <w:rsid w:val="00A8466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3710"/>
    <w:rsid w:val="00AB5DEE"/>
    <w:rsid w:val="00AB767C"/>
    <w:rsid w:val="00AC0388"/>
    <w:rsid w:val="00AC273D"/>
    <w:rsid w:val="00AC3EE2"/>
    <w:rsid w:val="00AC56BF"/>
    <w:rsid w:val="00AC7D9E"/>
    <w:rsid w:val="00AD3554"/>
    <w:rsid w:val="00AD4152"/>
    <w:rsid w:val="00AD5945"/>
    <w:rsid w:val="00AE2222"/>
    <w:rsid w:val="00AE3B70"/>
    <w:rsid w:val="00AE75EA"/>
    <w:rsid w:val="00AF004D"/>
    <w:rsid w:val="00AF0507"/>
    <w:rsid w:val="00AF6C3D"/>
    <w:rsid w:val="00AF6C63"/>
    <w:rsid w:val="00AF7A1E"/>
    <w:rsid w:val="00B02FE5"/>
    <w:rsid w:val="00B0402F"/>
    <w:rsid w:val="00B04165"/>
    <w:rsid w:val="00B04E23"/>
    <w:rsid w:val="00B0703F"/>
    <w:rsid w:val="00B07555"/>
    <w:rsid w:val="00B139C1"/>
    <w:rsid w:val="00B1410C"/>
    <w:rsid w:val="00B2131F"/>
    <w:rsid w:val="00B223FE"/>
    <w:rsid w:val="00B229B3"/>
    <w:rsid w:val="00B24067"/>
    <w:rsid w:val="00B2603F"/>
    <w:rsid w:val="00B34359"/>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21A"/>
    <w:rsid w:val="00B55B6C"/>
    <w:rsid w:val="00B55D8F"/>
    <w:rsid w:val="00B56682"/>
    <w:rsid w:val="00B57946"/>
    <w:rsid w:val="00B6308A"/>
    <w:rsid w:val="00B6379C"/>
    <w:rsid w:val="00B65238"/>
    <w:rsid w:val="00B652C7"/>
    <w:rsid w:val="00B65548"/>
    <w:rsid w:val="00B65CA7"/>
    <w:rsid w:val="00B67CEE"/>
    <w:rsid w:val="00B72341"/>
    <w:rsid w:val="00B75918"/>
    <w:rsid w:val="00B7640F"/>
    <w:rsid w:val="00B80BAB"/>
    <w:rsid w:val="00B81F30"/>
    <w:rsid w:val="00B92BA2"/>
    <w:rsid w:val="00B92D96"/>
    <w:rsid w:val="00B93AF5"/>
    <w:rsid w:val="00BA09A7"/>
    <w:rsid w:val="00BA2988"/>
    <w:rsid w:val="00BA2FCB"/>
    <w:rsid w:val="00BA36ED"/>
    <w:rsid w:val="00BA3815"/>
    <w:rsid w:val="00BA5174"/>
    <w:rsid w:val="00BA6905"/>
    <w:rsid w:val="00BB3D54"/>
    <w:rsid w:val="00BC2CBA"/>
    <w:rsid w:val="00BC3F78"/>
    <w:rsid w:val="00BC465E"/>
    <w:rsid w:val="00BC543C"/>
    <w:rsid w:val="00BC78A9"/>
    <w:rsid w:val="00BD1219"/>
    <w:rsid w:val="00BD4313"/>
    <w:rsid w:val="00BD52B4"/>
    <w:rsid w:val="00BD77CB"/>
    <w:rsid w:val="00BD79F4"/>
    <w:rsid w:val="00BE57E8"/>
    <w:rsid w:val="00BF3DFD"/>
    <w:rsid w:val="00BF5AC8"/>
    <w:rsid w:val="00BF765E"/>
    <w:rsid w:val="00C002B4"/>
    <w:rsid w:val="00C01FA7"/>
    <w:rsid w:val="00C026B0"/>
    <w:rsid w:val="00C041AA"/>
    <w:rsid w:val="00C041C8"/>
    <w:rsid w:val="00C0626A"/>
    <w:rsid w:val="00C07262"/>
    <w:rsid w:val="00C07EBD"/>
    <w:rsid w:val="00C12D1E"/>
    <w:rsid w:val="00C138D1"/>
    <w:rsid w:val="00C13977"/>
    <w:rsid w:val="00C14928"/>
    <w:rsid w:val="00C15DAD"/>
    <w:rsid w:val="00C17097"/>
    <w:rsid w:val="00C2164F"/>
    <w:rsid w:val="00C223B9"/>
    <w:rsid w:val="00C22BDB"/>
    <w:rsid w:val="00C22F9F"/>
    <w:rsid w:val="00C22FA8"/>
    <w:rsid w:val="00C23233"/>
    <w:rsid w:val="00C23420"/>
    <w:rsid w:val="00C24A20"/>
    <w:rsid w:val="00C267D4"/>
    <w:rsid w:val="00C272EE"/>
    <w:rsid w:val="00C30070"/>
    <w:rsid w:val="00C362C0"/>
    <w:rsid w:val="00C443BB"/>
    <w:rsid w:val="00C44723"/>
    <w:rsid w:val="00C45998"/>
    <w:rsid w:val="00C45AEA"/>
    <w:rsid w:val="00C47F9B"/>
    <w:rsid w:val="00C550B9"/>
    <w:rsid w:val="00C5547A"/>
    <w:rsid w:val="00C5778D"/>
    <w:rsid w:val="00C57959"/>
    <w:rsid w:val="00C61154"/>
    <w:rsid w:val="00C618C4"/>
    <w:rsid w:val="00C64392"/>
    <w:rsid w:val="00C64BAF"/>
    <w:rsid w:val="00C657CE"/>
    <w:rsid w:val="00C67638"/>
    <w:rsid w:val="00C677C0"/>
    <w:rsid w:val="00C71A0C"/>
    <w:rsid w:val="00C71ECA"/>
    <w:rsid w:val="00C75830"/>
    <w:rsid w:val="00C76E4D"/>
    <w:rsid w:val="00C774D1"/>
    <w:rsid w:val="00C801E1"/>
    <w:rsid w:val="00C84019"/>
    <w:rsid w:val="00C85EB2"/>
    <w:rsid w:val="00C87FC4"/>
    <w:rsid w:val="00C91D7E"/>
    <w:rsid w:val="00C92D66"/>
    <w:rsid w:val="00C932BD"/>
    <w:rsid w:val="00C9331B"/>
    <w:rsid w:val="00C9380D"/>
    <w:rsid w:val="00C94838"/>
    <w:rsid w:val="00C9515B"/>
    <w:rsid w:val="00C95671"/>
    <w:rsid w:val="00C95A08"/>
    <w:rsid w:val="00C97302"/>
    <w:rsid w:val="00C974BD"/>
    <w:rsid w:val="00C978B9"/>
    <w:rsid w:val="00CA1F38"/>
    <w:rsid w:val="00CA1F6A"/>
    <w:rsid w:val="00CA36EC"/>
    <w:rsid w:val="00CA4745"/>
    <w:rsid w:val="00CA5938"/>
    <w:rsid w:val="00CA5AF4"/>
    <w:rsid w:val="00CA5D7F"/>
    <w:rsid w:val="00CA5FC3"/>
    <w:rsid w:val="00CB036C"/>
    <w:rsid w:val="00CB3D1A"/>
    <w:rsid w:val="00CB464E"/>
    <w:rsid w:val="00CB61A0"/>
    <w:rsid w:val="00CB75E5"/>
    <w:rsid w:val="00CC2CD9"/>
    <w:rsid w:val="00CC2CE8"/>
    <w:rsid w:val="00CC316F"/>
    <w:rsid w:val="00CC47BF"/>
    <w:rsid w:val="00CC5963"/>
    <w:rsid w:val="00CC7C17"/>
    <w:rsid w:val="00CD3717"/>
    <w:rsid w:val="00CD5CA8"/>
    <w:rsid w:val="00CD6BA6"/>
    <w:rsid w:val="00CE066B"/>
    <w:rsid w:val="00CE17D7"/>
    <w:rsid w:val="00CE5B1D"/>
    <w:rsid w:val="00CE6E8C"/>
    <w:rsid w:val="00CF008C"/>
    <w:rsid w:val="00CF0299"/>
    <w:rsid w:val="00CF0776"/>
    <w:rsid w:val="00CF15AA"/>
    <w:rsid w:val="00CF4997"/>
    <w:rsid w:val="00D009F6"/>
    <w:rsid w:val="00D01DB5"/>
    <w:rsid w:val="00D01DE9"/>
    <w:rsid w:val="00D03021"/>
    <w:rsid w:val="00D06113"/>
    <w:rsid w:val="00D145C0"/>
    <w:rsid w:val="00D201B3"/>
    <w:rsid w:val="00D243A7"/>
    <w:rsid w:val="00D248B7"/>
    <w:rsid w:val="00D24E35"/>
    <w:rsid w:val="00D2560A"/>
    <w:rsid w:val="00D25C96"/>
    <w:rsid w:val="00D2725D"/>
    <w:rsid w:val="00D30028"/>
    <w:rsid w:val="00D31E55"/>
    <w:rsid w:val="00D34DFE"/>
    <w:rsid w:val="00D358BD"/>
    <w:rsid w:val="00D35E99"/>
    <w:rsid w:val="00D37FA3"/>
    <w:rsid w:val="00D41B3C"/>
    <w:rsid w:val="00D50088"/>
    <w:rsid w:val="00D559A8"/>
    <w:rsid w:val="00D57BD0"/>
    <w:rsid w:val="00D60597"/>
    <w:rsid w:val="00D6122E"/>
    <w:rsid w:val="00D6282F"/>
    <w:rsid w:val="00D64C06"/>
    <w:rsid w:val="00D64DCD"/>
    <w:rsid w:val="00D66802"/>
    <w:rsid w:val="00D66F69"/>
    <w:rsid w:val="00D67A8B"/>
    <w:rsid w:val="00D716EC"/>
    <w:rsid w:val="00D74850"/>
    <w:rsid w:val="00D75D31"/>
    <w:rsid w:val="00D77D7D"/>
    <w:rsid w:val="00D80638"/>
    <w:rsid w:val="00D8129A"/>
    <w:rsid w:val="00D83555"/>
    <w:rsid w:val="00D87288"/>
    <w:rsid w:val="00D903AB"/>
    <w:rsid w:val="00D904C8"/>
    <w:rsid w:val="00D9203A"/>
    <w:rsid w:val="00D9376A"/>
    <w:rsid w:val="00D95C64"/>
    <w:rsid w:val="00D96261"/>
    <w:rsid w:val="00D9788E"/>
    <w:rsid w:val="00DA0A2D"/>
    <w:rsid w:val="00DA0A53"/>
    <w:rsid w:val="00DA27C4"/>
    <w:rsid w:val="00DA3502"/>
    <w:rsid w:val="00DA457E"/>
    <w:rsid w:val="00DA4B18"/>
    <w:rsid w:val="00DA7DDF"/>
    <w:rsid w:val="00DB065F"/>
    <w:rsid w:val="00DB14CE"/>
    <w:rsid w:val="00DB3944"/>
    <w:rsid w:val="00DB4946"/>
    <w:rsid w:val="00DB6CB5"/>
    <w:rsid w:val="00DC006B"/>
    <w:rsid w:val="00DC18CB"/>
    <w:rsid w:val="00DC338F"/>
    <w:rsid w:val="00DC3A26"/>
    <w:rsid w:val="00DC3A8C"/>
    <w:rsid w:val="00DC400E"/>
    <w:rsid w:val="00DD034F"/>
    <w:rsid w:val="00DD1535"/>
    <w:rsid w:val="00DD15D6"/>
    <w:rsid w:val="00DD3989"/>
    <w:rsid w:val="00DD6966"/>
    <w:rsid w:val="00DE12F2"/>
    <w:rsid w:val="00DE405D"/>
    <w:rsid w:val="00DE54F9"/>
    <w:rsid w:val="00DE6AF8"/>
    <w:rsid w:val="00DF3DC9"/>
    <w:rsid w:val="00DF3F93"/>
    <w:rsid w:val="00DF42A4"/>
    <w:rsid w:val="00DF4EA1"/>
    <w:rsid w:val="00DF59CB"/>
    <w:rsid w:val="00E04F5B"/>
    <w:rsid w:val="00E058FB"/>
    <w:rsid w:val="00E0672D"/>
    <w:rsid w:val="00E0750F"/>
    <w:rsid w:val="00E10BFC"/>
    <w:rsid w:val="00E12DDA"/>
    <w:rsid w:val="00E135C5"/>
    <w:rsid w:val="00E158C8"/>
    <w:rsid w:val="00E22488"/>
    <w:rsid w:val="00E23F6C"/>
    <w:rsid w:val="00E2410D"/>
    <w:rsid w:val="00E24161"/>
    <w:rsid w:val="00E24345"/>
    <w:rsid w:val="00E25BBE"/>
    <w:rsid w:val="00E2699A"/>
    <w:rsid w:val="00E30E47"/>
    <w:rsid w:val="00E30F38"/>
    <w:rsid w:val="00E31B30"/>
    <w:rsid w:val="00E31CD3"/>
    <w:rsid w:val="00E334D8"/>
    <w:rsid w:val="00E36116"/>
    <w:rsid w:val="00E369EA"/>
    <w:rsid w:val="00E37F8A"/>
    <w:rsid w:val="00E42376"/>
    <w:rsid w:val="00E4329E"/>
    <w:rsid w:val="00E43C5B"/>
    <w:rsid w:val="00E46723"/>
    <w:rsid w:val="00E47997"/>
    <w:rsid w:val="00E5168D"/>
    <w:rsid w:val="00E531A9"/>
    <w:rsid w:val="00E54B05"/>
    <w:rsid w:val="00E54C90"/>
    <w:rsid w:val="00E565D0"/>
    <w:rsid w:val="00E62C1F"/>
    <w:rsid w:val="00E62FC0"/>
    <w:rsid w:val="00E6495E"/>
    <w:rsid w:val="00E70442"/>
    <w:rsid w:val="00E71EAD"/>
    <w:rsid w:val="00E720F5"/>
    <w:rsid w:val="00E74F63"/>
    <w:rsid w:val="00E752E9"/>
    <w:rsid w:val="00E80B45"/>
    <w:rsid w:val="00E8208B"/>
    <w:rsid w:val="00E827B0"/>
    <w:rsid w:val="00E86271"/>
    <w:rsid w:val="00E87403"/>
    <w:rsid w:val="00E874AC"/>
    <w:rsid w:val="00E877C1"/>
    <w:rsid w:val="00E87940"/>
    <w:rsid w:val="00E87CAB"/>
    <w:rsid w:val="00E903AC"/>
    <w:rsid w:val="00EA0BC5"/>
    <w:rsid w:val="00EA2ACF"/>
    <w:rsid w:val="00EA2DF3"/>
    <w:rsid w:val="00EA5D0F"/>
    <w:rsid w:val="00EA79FF"/>
    <w:rsid w:val="00EB277F"/>
    <w:rsid w:val="00EB431F"/>
    <w:rsid w:val="00EB64B8"/>
    <w:rsid w:val="00EB71E8"/>
    <w:rsid w:val="00EB76CB"/>
    <w:rsid w:val="00EB780B"/>
    <w:rsid w:val="00EB7F9D"/>
    <w:rsid w:val="00EC20DC"/>
    <w:rsid w:val="00EC237B"/>
    <w:rsid w:val="00EC596C"/>
    <w:rsid w:val="00EC62DB"/>
    <w:rsid w:val="00ED00C2"/>
    <w:rsid w:val="00ED118C"/>
    <w:rsid w:val="00ED368F"/>
    <w:rsid w:val="00ED472C"/>
    <w:rsid w:val="00ED649D"/>
    <w:rsid w:val="00EE133F"/>
    <w:rsid w:val="00EE35DA"/>
    <w:rsid w:val="00EE75EC"/>
    <w:rsid w:val="00EE7F38"/>
    <w:rsid w:val="00EF0532"/>
    <w:rsid w:val="00EF0BF3"/>
    <w:rsid w:val="00EF4821"/>
    <w:rsid w:val="00EF5BA6"/>
    <w:rsid w:val="00EF6A76"/>
    <w:rsid w:val="00F035CC"/>
    <w:rsid w:val="00F06386"/>
    <w:rsid w:val="00F06811"/>
    <w:rsid w:val="00F06934"/>
    <w:rsid w:val="00F06A5A"/>
    <w:rsid w:val="00F1031C"/>
    <w:rsid w:val="00F12900"/>
    <w:rsid w:val="00F12E9D"/>
    <w:rsid w:val="00F14555"/>
    <w:rsid w:val="00F1584F"/>
    <w:rsid w:val="00F15E5E"/>
    <w:rsid w:val="00F20840"/>
    <w:rsid w:val="00F25982"/>
    <w:rsid w:val="00F2621E"/>
    <w:rsid w:val="00F26622"/>
    <w:rsid w:val="00F26A4D"/>
    <w:rsid w:val="00F26F92"/>
    <w:rsid w:val="00F307A8"/>
    <w:rsid w:val="00F310FD"/>
    <w:rsid w:val="00F3222D"/>
    <w:rsid w:val="00F34477"/>
    <w:rsid w:val="00F34781"/>
    <w:rsid w:val="00F34B25"/>
    <w:rsid w:val="00F355A2"/>
    <w:rsid w:val="00F359FF"/>
    <w:rsid w:val="00F37DDA"/>
    <w:rsid w:val="00F410B1"/>
    <w:rsid w:val="00F4142A"/>
    <w:rsid w:val="00F41DC7"/>
    <w:rsid w:val="00F4354F"/>
    <w:rsid w:val="00F444BA"/>
    <w:rsid w:val="00F4708C"/>
    <w:rsid w:val="00F47559"/>
    <w:rsid w:val="00F50524"/>
    <w:rsid w:val="00F53A24"/>
    <w:rsid w:val="00F548BF"/>
    <w:rsid w:val="00F555D8"/>
    <w:rsid w:val="00F56E68"/>
    <w:rsid w:val="00F613D8"/>
    <w:rsid w:val="00F617C7"/>
    <w:rsid w:val="00F63E26"/>
    <w:rsid w:val="00F646D9"/>
    <w:rsid w:val="00F66266"/>
    <w:rsid w:val="00F66D56"/>
    <w:rsid w:val="00F67852"/>
    <w:rsid w:val="00F72BA5"/>
    <w:rsid w:val="00F749A4"/>
    <w:rsid w:val="00F74BFF"/>
    <w:rsid w:val="00F75EF9"/>
    <w:rsid w:val="00F82237"/>
    <w:rsid w:val="00F83022"/>
    <w:rsid w:val="00F83A7A"/>
    <w:rsid w:val="00F849A9"/>
    <w:rsid w:val="00F84AE8"/>
    <w:rsid w:val="00F84D18"/>
    <w:rsid w:val="00F8592D"/>
    <w:rsid w:val="00F943D7"/>
    <w:rsid w:val="00F951A7"/>
    <w:rsid w:val="00F9774A"/>
    <w:rsid w:val="00F97ED8"/>
    <w:rsid w:val="00FA1399"/>
    <w:rsid w:val="00FA3A77"/>
    <w:rsid w:val="00FA70F7"/>
    <w:rsid w:val="00FA7304"/>
    <w:rsid w:val="00FB0070"/>
    <w:rsid w:val="00FB048D"/>
    <w:rsid w:val="00FB061A"/>
    <w:rsid w:val="00FB1347"/>
    <w:rsid w:val="00FB2929"/>
    <w:rsid w:val="00FB30CB"/>
    <w:rsid w:val="00FC1BDC"/>
    <w:rsid w:val="00FC1D6A"/>
    <w:rsid w:val="00FC2FCD"/>
    <w:rsid w:val="00FC3181"/>
    <w:rsid w:val="00FC41C4"/>
    <w:rsid w:val="00FC783F"/>
    <w:rsid w:val="00FE270A"/>
    <w:rsid w:val="00FE5C48"/>
    <w:rsid w:val="00FE6656"/>
    <w:rsid w:val="00FF0FE5"/>
    <w:rsid w:val="00FF191E"/>
    <w:rsid w:val="00FF1C52"/>
    <w:rsid w:val="00FF54EA"/>
    <w:rsid w:val="0569598E"/>
    <w:rsid w:val="167837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676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5D4A10"/>
    <w:pPr>
      <w:numPr>
        <w:numId w:val="16"/>
      </w:numPr>
    </w:pPr>
    <w:rPr>
      <w:rFonts w:cs="Arial"/>
      <w:szCs w:val="22"/>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table" w:customStyle="1" w:styleId="TableGrid10">
    <w:name w:val="Table Grid1"/>
    <w:basedOn w:val="TableNormal"/>
    <w:next w:val="TableGrid"/>
    <w:uiPriority w:val="59"/>
    <w:rsid w:val="002F56EF"/>
    <w:rPr>
      <w:rFonts w:ascii="Arial" w:eastAsia="Times New Roman"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F56EF"/>
    <w:rPr>
      <w:rFonts w:ascii="Arial" w:hAnsi="Arial" w:cs="Arial"/>
      <w:b/>
      <w:bCs/>
      <w:kern w:val="32"/>
      <w:sz w:val="26"/>
      <w:szCs w:val="32"/>
    </w:rPr>
  </w:style>
  <w:style w:type="paragraph" w:customStyle="1" w:styleId="Default">
    <w:name w:val="Default"/>
    <w:rsid w:val="002F56EF"/>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C657CE"/>
    <w:pPr>
      <w:spacing w:after="0" w:line="240" w:lineRule="auto"/>
      <w:jc w:val="both"/>
    </w:pPr>
    <w:rPr>
      <w:rFonts w:ascii="Times New Roman" w:eastAsia="Times New Roman" w:hAnsi="Times New Roman"/>
      <w:sz w:val="24"/>
    </w:rPr>
  </w:style>
  <w:style w:type="paragraph" w:customStyle="1" w:styleId="StyleArialJustified">
    <w:name w:val="Style Arial Justified"/>
    <w:basedOn w:val="Normal"/>
    <w:rsid w:val="007915EA"/>
    <w:pPr>
      <w:spacing w:after="0" w:line="240" w:lineRule="auto"/>
      <w:jc w:val="both"/>
    </w:pPr>
    <w:rPr>
      <w:rFonts w:eastAsia="Times New Roman"/>
    </w:rPr>
  </w:style>
  <w:style w:type="paragraph" w:styleId="Revision">
    <w:name w:val="Revision"/>
    <w:hidden/>
    <w:uiPriority w:val="99"/>
    <w:semiHidden/>
    <w:rsid w:val="00452BFB"/>
    <w:rPr>
      <w:rFonts w:ascii="Arial" w:hAnsi="Arial"/>
      <w:sz w:val="22"/>
    </w:rPr>
  </w:style>
  <w:style w:type="character" w:customStyle="1" w:styleId="UnresolvedMention1">
    <w:name w:val="Unresolved Mention1"/>
    <w:basedOn w:val="DefaultParagraphFont"/>
    <w:uiPriority w:val="99"/>
    <w:semiHidden/>
    <w:unhideWhenUsed/>
    <w:rsid w:val="003823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28561">
      <w:bodyDiv w:val="1"/>
      <w:marLeft w:val="0"/>
      <w:marRight w:val="0"/>
      <w:marTop w:val="0"/>
      <w:marBottom w:val="0"/>
      <w:divBdr>
        <w:top w:val="none" w:sz="0" w:space="0" w:color="auto"/>
        <w:left w:val="none" w:sz="0" w:space="0" w:color="auto"/>
        <w:bottom w:val="none" w:sz="0" w:space="0" w:color="auto"/>
        <w:right w:val="none" w:sz="0" w:space="0" w:color="auto"/>
      </w:divBdr>
      <w:divsChild>
        <w:div w:id="1714454267">
          <w:marLeft w:val="0"/>
          <w:marRight w:val="0"/>
          <w:marTop w:val="0"/>
          <w:marBottom w:val="0"/>
          <w:divBdr>
            <w:top w:val="none" w:sz="0" w:space="0" w:color="auto"/>
            <w:left w:val="none" w:sz="0" w:space="0" w:color="auto"/>
            <w:bottom w:val="none" w:sz="0" w:space="0" w:color="auto"/>
            <w:right w:val="none" w:sz="0" w:space="0" w:color="auto"/>
          </w:divBdr>
          <w:divsChild>
            <w:div w:id="1337072898">
              <w:marLeft w:val="0"/>
              <w:marRight w:val="0"/>
              <w:marTop w:val="0"/>
              <w:marBottom w:val="0"/>
              <w:divBdr>
                <w:top w:val="none" w:sz="0" w:space="0" w:color="auto"/>
                <w:left w:val="none" w:sz="0" w:space="0" w:color="auto"/>
                <w:bottom w:val="none" w:sz="0" w:space="0" w:color="auto"/>
                <w:right w:val="none" w:sz="0" w:space="0" w:color="auto"/>
              </w:divBdr>
              <w:divsChild>
                <w:div w:id="405349320">
                  <w:marLeft w:val="-360"/>
                  <w:marRight w:val="0"/>
                  <w:marTop w:val="0"/>
                  <w:marBottom w:val="270"/>
                  <w:divBdr>
                    <w:top w:val="none" w:sz="0" w:space="0" w:color="auto"/>
                    <w:left w:val="none" w:sz="0" w:space="0" w:color="auto"/>
                    <w:bottom w:val="none" w:sz="0" w:space="0" w:color="auto"/>
                    <w:right w:val="none" w:sz="0" w:space="0" w:color="auto"/>
                  </w:divBdr>
                  <w:divsChild>
                    <w:div w:id="2081248386">
                      <w:marLeft w:val="360"/>
                      <w:marRight w:val="0"/>
                      <w:marTop w:val="0"/>
                      <w:marBottom w:val="0"/>
                      <w:divBdr>
                        <w:top w:val="none" w:sz="0" w:space="0" w:color="auto"/>
                        <w:left w:val="none" w:sz="0" w:space="0" w:color="auto"/>
                        <w:bottom w:val="none" w:sz="0" w:space="0" w:color="auto"/>
                        <w:right w:val="none" w:sz="0" w:space="0" w:color="auto"/>
                      </w:divBdr>
                      <w:divsChild>
                        <w:div w:id="172916114">
                          <w:marLeft w:val="1560"/>
                          <w:marRight w:val="0"/>
                          <w:marTop w:val="0"/>
                          <w:marBottom w:val="0"/>
                          <w:divBdr>
                            <w:top w:val="none" w:sz="0" w:space="0" w:color="auto"/>
                            <w:left w:val="none" w:sz="0" w:space="0" w:color="auto"/>
                            <w:bottom w:val="none" w:sz="0" w:space="0" w:color="auto"/>
                            <w:right w:val="none" w:sz="0" w:space="0" w:color="auto"/>
                          </w:divBdr>
                          <w:divsChild>
                            <w:div w:id="250166320">
                              <w:marLeft w:val="0"/>
                              <w:marRight w:val="0"/>
                              <w:marTop w:val="0"/>
                              <w:marBottom w:val="0"/>
                              <w:divBdr>
                                <w:top w:val="none" w:sz="0" w:space="0" w:color="auto"/>
                                <w:left w:val="none" w:sz="0" w:space="0" w:color="auto"/>
                                <w:bottom w:val="none" w:sz="0" w:space="0" w:color="auto"/>
                                <w:right w:val="none" w:sz="0" w:space="0" w:color="auto"/>
                              </w:divBdr>
                              <w:divsChild>
                                <w:div w:id="1650550261">
                                  <w:marLeft w:val="0"/>
                                  <w:marRight w:val="0"/>
                                  <w:marTop w:val="0"/>
                                  <w:marBottom w:val="0"/>
                                  <w:divBdr>
                                    <w:top w:val="none" w:sz="0" w:space="0" w:color="auto"/>
                                    <w:left w:val="none" w:sz="0" w:space="0" w:color="auto"/>
                                    <w:bottom w:val="none" w:sz="0" w:space="0" w:color="auto"/>
                                    <w:right w:val="none" w:sz="0" w:space="0" w:color="auto"/>
                                  </w:divBdr>
                                  <w:divsChild>
                                    <w:div w:id="1212184940">
                                      <w:marLeft w:val="0"/>
                                      <w:marRight w:val="0"/>
                                      <w:marTop w:val="0"/>
                                      <w:marBottom w:val="0"/>
                                      <w:divBdr>
                                        <w:top w:val="none" w:sz="0" w:space="0" w:color="auto"/>
                                        <w:left w:val="none" w:sz="0" w:space="0" w:color="auto"/>
                                        <w:bottom w:val="none" w:sz="0" w:space="0" w:color="auto"/>
                                        <w:right w:val="none" w:sz="0" w:space="0" w:color="auto"/>
                                      </w:divBdr>
                                    </w:div>
                                    <w:div w:id="276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911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2747680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23297030">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765884371">
      <w:bodyDiv w:val="1"/>
      <w:marLeft w:val="0"/>
      <w:marRight w:val="0"/>
      <w:marTop w:val="0"/>
      <w:marBottom w:val="0"/>
      <w:divBdr>
        <w:top w:val="none" w:sz="0" w:space="0" w:color="auto"/>
        <w:left w:val="none" w:sz="0" w:space="0" w:color="auto"/>
        <w:bottom w:val="none" w:sz="0" w:space="0" w:color="auto"/>
        <w:right w:val="none" w:sz="0" w:space="0" w:color="auto"/>
      </w:divBdr>
    </w:div>
    <w:div w:id="1824661858">
      <w:bodyDiv w:val="1"/>
      <w:marLeft w:val="0"/>
      <w:marRight w:val="0"/>
      <w:marTop w:val="0"/>
      <w:marBottom w:val="0"/>
      <w:divBdr>
        <w:top w:val="none" w:sz="0" w:space="0" w:color="auto"/>
        <w:left w:val="none" w:sz="0" w:space="0" w:color="auto"/>
        <w:bottom w:val="none" w:sz="0" w:space="0" w:color="auto"/>
        <w:right w:val="none" w:sz="0" w:space="0" w:color="auto"/>
      </w:divBdr>
      <w:divsChild>
        <w:div w:id="954673531">
          <w:marLeft w:val="0"/>
          <w:marRight w:val="0"/>
          <w:marTop w:val="0"/>
          <w:marBottom w:val="0"/>
          <w:divBdr>
            <w:top w:val="none" w:sz="0" w:space="0" w:color="auto"/>
            <w:left w:val="none" w:sz="0" w:space="0" w:color="auto"/>
            <w:bottom w:val="none" w:sz="0" w:space="0" w:color="auto"/>
            <w:right w:val="none" w:sz="0" w:space="0" w:color="auto"/>
          </w:divBdr>
          <w:divsChild>
            <w:div w:id="1931354850">
              <w:marLeft w:val="0"/>
              <w:marRight w:val="0"/>
              <w:marTop w:val="0"/>
              <w:marBottom w:val="0"/>
              <w:divBdr>
                <w:top w:val="none" w:sz="0" w:space="0" w:color="auto"/>
                <w:left w:val="none" w:sz="0" w:space="0" w:color="auto"/>
                <w:bottom w:val="none" w:sz="0" w:space="0" w:color="auto"/>
                <w:right w:val="none" w:sz="0" w:space="0" w:color="auto"/>
              </w:divBdr>
              <w:divsChild>
                <w:div w:id="1506672876">
                  <w:marLeft w:val="0"/>
                  <w:marRight w:val="0"/>
                  <w:marTop w:val="0"/>
                  <w:marBottom w:val="0"/>
                  <w:divBdr>
                    <w:top w:val="none" w:sz="0" w:space="0" w:color="auto"/>
                    <w:left w:val="none" w:sz="0" w:space="0" w:color="auto"/>
                    <w:bottom w:val="none" w:sz="0" w:space="0" w:color="auto"/>
                    <w:right w:val="none" w:sz="0" w:space="0" w:color="auto"/>
                  </w:divBdr>
                  <w:divsChild>
                    <w:div w:id="1982997779">
                      <w:marLeft w:val="0"/>
                      <w:marRight w:val="0"/>
                      <w:marTop w:val="0"/>
                      <w:marBottom w:val="0"/>
                      <w:divBdr>
                        <w:top w:val="none" w:sz="0" w:space="0" w:color="auto"/>
                        <w:left w:val="none" w:sz="0" w:space="0" w:color="auto"/>
                        <w:bottom w:val="none" w:sz="0" w:space="0" w:color="auto"/>
                        <w:right w:val="none" w:sz="0" w:space="0" w:color="auto"/>
                      </w:divBdr>
                      <w:divsChild>
                        <w:div w:id="1558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7FD97912B194AABC6310D8BBDBD1C" ma:contentTypeVersion="13" ma:contentTypeDescription="Create a new document." ma:contentTypeScope="" ma:versionID="29f2665e27a7581e27f4103b6886255f">
  <xsd:schema xmlns:xsd="http://www.w3.org/2001/XMLSchema" xmlns:xs="http://www.w3.org/2001/XMLSchema" xmlns:p="http://schemas.microsoft.com/office/2006/metadata/properties" xmlns:ns2="2da0c053-020c-44c4-a4e4-c1047ed93d65" xmlns:ns3="15c3a98b-582a-411f-847e-56364c3d0604" targetNamespace="http://schemas.microsoft.com/office/2006/metadata/properties" ma:root="true" ma:fieldsID="6c1830345f97f5fea4f71e840e2a128a" ns2:_="" ns3:_="">
    <xsd:import namespace="2da0c053-020c-44c4-a4e4-c1047ed93d65"/>
    <xsd:import namespace="15c3a98b-582a-411f-847e-56364c3d0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0c053-020c-44c4-a4e4-c1047ed93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3a98b-582a-411f-847e-56364c3d06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3d5c82-14cc-4087-9ec9-a6cd91152a9d}" ma:internalName="TaxCatchAll" ma:showField="CatchAllData" ma:web="15c3a98b-582a-411f-847e-56364c3d0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c3a98b-582a-411f-847e-56364c3d0604" xsi:nil="true"/>
    <lcf76f155ced4ddcb4097134ff3c332f xmlns="2da0c053-020c-44c4-a4e4-c1047ed93d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B810-14C2-4862-A75D-35402FF4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0c053-020c-44c4-a4e4-c1047ed93d65"/>
    <ds:schemaRef ds:uri="15c3a98b-582a-411f-847e-56364c3d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370D1-51D5-445E-8A99-01B494278EB7}">
  <ds:schemaRefs>
    <ds:schemaRef ds:uri="http://schemas.microsoft.com/sharepoint/v3/contenttype/forms"/>
  </ds:schemaRefs>
</ds:datastoreItem>
</file>

<file path=customXml/itemProps3.xml><?xml version="1.0" encoding="utf-8"?>
<ds:datastoreItem xmlns:ds="http://schemas.openxmlformats.org/officeDocument/2006/customXml" ds:itemID="{DA7E1138-16BA-4C92-95F7-BBCB2314F6BB}">
  <ds:schemaRefs>
    <ds:schemaRef ds:uri="2da0c053-020c-44c4-a4e4-c1047ed93d65"/>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5c3a98b-582a-411f-847e-56364c3d0604"/>
    <ds:schemaRef ds:uri="http://www.w3.org/XML/1998/namespace"/>
    <ds:schemaRef ds:uri="http://purl.org/dc/dcmitype/"/>
  </ds:schemaRefs>
</ds:datastoreItem>
</file>

<file path=customXml/itemProps4.xml><?xml version="1.0" encoding="utf-8"?>
<ds:datastoreItem xmlns:ds="http://schemas.openxmlformats.org/officeDocument/2006/customXml" ds:itemID="{283053B5-BF7E-446D-92E2-EF73B7A6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2527</Words>
  <Characters>16449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Megale</dc:creator>
  <cp:lastModifiedBy>Steve Aebi</cp:lastModifiedBy>
  <cp:revision>5</cp:revision>
  <cp:lastPrinted>2016-11-24T02:55:00Z</cp:lastPrinted>
  <dcterms:created xsi:type="dcterms:W3CDTF">2023-09-07T02:57:00Z</dcterms:created>
  <dcterms:modified xsi:type="dcterms:W3CDTF">2023-11-13T22:06:00Z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A3626048</vt:lpwstr>
  </property>
  <property fmtid="{D5CDD505-2E9C-101B-9397-08002B2CF9AE}" pid="4" name="Objective-Title">
    <vt:lpwstr>Role Description Environmental Manager</vt:lpwstr>
  </property>
  <property fmtid="{D5CDD505-2E9C-101B-9397-08002B2CF9AE}" pid="5" name="Objective-Comment">
    <vt:lpwstr/>
  </property>
  <property fmtid="{D5CDD505-2E9C-101B-9397-08002B2CF9AE}" pid="6" name="Objective-CreationStamp">
    <vt:filetime>2017-01-12T22:49:52Z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2017-01-12T22:49:52Z</vt:filetime>
  </property>
  <property fmtid="{D5CDD505-2E9C-101B-9397-08002B2CF9AE}" pid="10" name="Objective-ModificationStamp">
    <vt:filetime>2017-01-12T22:49:54Z</vt:filetime>
  </property>
  <property fmtid="{D5CDD505-2E9C-101B-9397-08002B2CF9AE}" pid="11" name="Objective-Owner">
    <vt:lpwstr>Coral McDonnell</vt:lpwstr>
  </property>
  <property fmtid="{D5CDD505-2E9C-101B-9397-08002B2CF9AE}" pid="12" name="Objective-Path">
    <vt:lpwstr>Objective Global Folder:1. Hunter Development Corporation (HDC):1. Hunter Development Corporation (HDC) File Plan:AD Administration:50 Personnel:02 Management:J2 Position Descriptions 2016 Review:</vt:lpwstr>
  </property>
  <property fmtid="{D5CDD505-2E9C-101B-9397-08002B2CF9AE}" pid="13" name="Objective-Parent">
    <vt:lpwstr>J2 Position Descriptions 2016 Review</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AD5002J2</vt:lpwstr>
  </property>
  <property fmtid="{D5CDD505-2E9C-101B-9397-08002B2CF9AE}" pid="19" name="Objective-Classification">
    <vt:lpwstr>[Inherited - none]</vt:lpwstr>
  </property>
  <property fmtid="{D5CDD505-2E9C-101B-9397-08002B2CF9AE}" pid="20" name="Objective-Caveats">
    <vt:lpwstr>caveat groups: Executive (HDC);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0x010100FA07FD97912B194AABC6310D8BBDBD1C</vt:lpwstr>
  </property>
  <property fmtid="{D5CDD505-2E9C-101B-9397-08002B2CF9AE}" pid="25" name="MediaServiceImageTags">
    <vt:lpwstr/>
  </property>
</Properties>
</file>