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5213425" w14:textId="2D835970" w:rsidR="00D64474" w:rsidRPr="000C453F" w:rsidRDefault="00097802" w:rsidP="00D64474">
      <w:pPr>
        <w:pStyle w:val="Heading1"/>
        <w:tabs>
          <w:tab w:val="left" w:pos="720"/>
          <w:tab w:val="left" w:pos="1440"/>
          <w:tab w:val="left" w:pos="2160"/>
          <w:tab w:val="left" w:pos="2880"/>
          <w:tab w:val="left" w:pos="3600"/>
          <w:tab w:val="right" w:pos="10348"/>
        </w:tabs>
      </w:pPr>
      <w:r>
        <w:rPr>
          <w:noProof/>
        </w:rPr>
        <w:drawing>
          <wp:anchor distT="0" distB="0" distL="114300" distR="114300" simplePos="0" relativeHeight="251658240" behindDoc="0" locked="0" layoutInCell="1" allowOverlap="1" wp14:anchorId="230AE65F" wp14:editId="75D7113D">
            <wp:simplePos x="0" y="0"/>
            <wp:positionH relativeFrom="column">
              <wp:posOffset>5702935</wp:posOffset>
            </wp:positionH>
            <wp:positionV relativeFrom="paragraph">
              <wp:posOffset>0</wp:posOffset>
            </wp:positionV>
            <wp:extent cx="847458" cy="900000"/>
            <wp:effectExtent l="0" t="0" r="0" b="0"/>
            <wp:wrapThrough wrapText="bothSides">
              <wp:wrapPolygon edited="0">
                <wp:start x="0" y="0"/>
                <wp:lineTo x="0" y="21036"/>
                <wp:lineTo x="20888" y="21036"/>
                <wp:lineTo x="20888"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7458" cy="900000"/>
                    </a:xfrm>
                    <a:prstGeom prst="rect">
                      <a:avLst/>
                    </a:prstGeom>
                  </pic:spPr>
                </pic:pic>
              </a:graphicData>
            </a:graphic>
          </wp:anchor>
        </w:drawing>
      </w:r>
      <w:r w:rsidR="00D64474" w:rsidRPr="000C453F">
        <w:t>Role Description</w:t>
      </w:r>
    </w:p>
    <w:p w14:paraId="104BB713" w14:textId="2D2E6990" w:rsidR="00076EAB" w:rsidRDefault="006F0059" w:rsidP="00076EAB">
      <w:pPr>
        <w:rPr>
          <w:rFonts w:cs="Arial"/>
          <w:b/>
          <w:bCs/>
          <w:kern w:val="32"/>
          <w:sz w:val="42"/>
          <w:szCs w:val="32"/>
        </w:rPr>
      </w:pPr>
      <w:r w:rsidRPr="006F0059">
        <w:rPr>
          <w:rFonts w:cs="Arial"/>
          <w:b/>
          <w:bCs/>
          <w:kern w:val="32"/>
          <w:sz w:val="42"/>
          <w:szCs w:val="32"/>
        </w:rPr>
        <w:t>Senior Security Resilience Specialist</w:t>
      </w:r>
    </w:p>
    <w:p w14:paraId="66D679A9" w14:textId="77777777" w:rsidR="00EC454E" w:rsidRDefault="00EC454E" w:rsidP="00076EAB">
      <w:pPr>
        <w:rPr>
          <w:rFonts w:cs="Arial"/>
          <w:bCs/>
          <w:kern w:val="32"/>
          <w:sz w:val="42"/>
          <w:szCs w:val="32"/>
        </w:rPr>
      </w:pPr>
    </w:p>
    <w:p w14:paraId="032A9DA2" w14:textId="77777777" w:rsidR="00EC454E" w:rsidRPr="00076EAB" w:rsidRDefault="00EC454E"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03F56704" w14:textId="77777777" w:rsidTr="3D5B75EF">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43BB1936"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7BC30721" w14:textId="77777777" w:rsidR="00C90657" w:rsidRPr="00C90657" w:rsidRDefault="005C4C30" w:rsidP="003E0D69">
            <w:pPr>
              <w:pStyle w:val="TableTextWhite"/>
              <w:rPr>
                <w:b/>
              </w:rPr>
            </w:pPr>
            <w:r>
              <w:rPr>
                <w:b/>
              </w:rPr>
              <w:t>Details</w:t>
            </w:r>
          </w:p>
        </w:tc>
      </w:tr>
      <w:tr w:rsidR="00DA6BE6" w:rsidRPr="00C978B9" w14:paraId="4D33A394" w14:textId="77777777" w:rsidTr="3D5B75EF">
        <w:trPr>
          <w:cantSplit/>
        </w:trPr>
        <w:tc>
          <w:tcPr>
            <w:tcW w:w="4026" w:type="dxa"/>
            <w:vAlign w:val="center"/>
          </w:tcPr>
          <w:p w14:paraId="787DB8D3" w14:textId="77777777" w:rsidR="00DA6BE6" w:rsidRPr="00853F21" w:rsidRDefault="00DA6BE6" w:rsidP="003E0D69">
            <w:pPr>
              <w:pStyle w:val="TableTextWhite"/>
              <w:rPr>
                <w:b/>
              </w:rPr>
            </w:pPr>
            <w:r w:rsidRPr="00853F21">
              <w:rPr>
                <w:b/>
              </w:rPr>
              <w:t>Cluster</w:t>
            </w:r>
          </w:p>
        </w:tc>
        <w:tc>
          <w:tcPr>
            <w:tcW w:w="6530" w:type="dxa"/>
          </w:tcPr>
          <w:p w14:paraId="0A287596" w14:textId="7E9A5B8E" w:rsidR="00DA6BE6" w:rsidRPr="00853F21" w:rsidRDefault="00097802" w:rsidP="003E0D69">
            <w:pPr>
              <w:pStyle w:val="TableTextWhite"/>
              <w:rPr>
                <w:b/>
              </w:rPr>
            </w:pPr>
            <w:r>
              <w:rPr>
                <w:b/>
              </w:rPr>
              <w:t>Planning, Housing and Infrastructure</w:t>
            </w:r>
          </w:p>
        </w:tc>
      </w:tr>
      <w:tr w:rsidR="00DA6BE6" w:rsidRPr="00C978B9" w14:paraId="19F9C7A0" w14:textId="77777777" w:rsidTr="3D5B75EF">
        <w:trPr>
          <w:cantSplit/>
        </w:trPr>
        <w:tc>
          <w:tcPr>
            <w:tcW w:w="4026" w:type="dxa"/>
            <w:vAlign w:val="center"/>
          </w:tcPr>
          <w:p w14:paraId="5117456C"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04CF2637" w14:textId="4CF40770" w:rsidR="00DA6BE6" w:rsidRPr="00853F21" w:rsidRDefault="004A3696" w:rsidP="003E0D69">
            <w:pPr>
              <w:pStyle w:val="TableTextWhite"/>
              <w:rPr>
                <w:b/>
              </w:rPr>
            </w:pPr>
            <w:r>
              <w:rPr>
                <w:b/>
              </w:rPr>
              <w:t xml:space="preserve">Department of </w:t>
            </w:r>
            <w:r w:rsidR="00097802">
              <w:rPr>
                <w:b/>
              </w:rPr>
              <w:t>Planning, Housing and Infrastructure</w:t>
            </w:r>
          </w:p>
        </w:tc>
      </w:tr>
      <w:tr w:rsidR="00DA6BE6" w:rsidRPr="00C978B9" w14:paraId="268E86FD" w14:textId="77777777" w:rsidTr="3D5B75EF">
        <w:trPr>
          <w:cantSplit/>
        </w:trPr>
        <w:tc>
          <w:tcPr>
            <w:tcW w:w="4026" w:type="dxa"/>
            <w:vAlign w:val="center"/>
          </w:tcPr>
          <w:p w14:paraId="1E6C0F15" w14:textId="77777777" w:rsidR="00DA6BE6" w:rsidRPr="00853F21" w:rsidRDefault="00DA6BE6" w:rsidP="003E0D69">
            <w:pPr>
              <w:pStyle w:val="TableTextWhite"/>
              <w:rPr>
                <w:b/>
              </w:rPr>
            </w:pPr>
            <w:r w:rsidRPr="00853F21">
              <w:rPr>
                <w:b/>
              </w:rPr>
              <w:t>Division/Branch/Unit</w:t>
            </w:r>
          </w:p>
        </w:tc>
        <w:tc>
          <w:tcPr>
            <w:tcW w:w="6530" w:type="dxa"/>
          </w:tcPr>
          <w:p w14:paraId="328B56D2" w14:textId="77777777" w:rsidR="00DA6BE6" w:rsidRPr="00853F21" w:rsidRDefault="004A3696" w:rsidP="003E0D69">
            <w:pPr>
              <w:pStyle w:val="TableTextWhite"/>
              <w:rPr>
                <w:b/>
              </w:rPr>
            </w:pPr>
            <w:r>
              <w:rPr>
                <w:b/>
              </w:rPr>
              <w:t>Corporate Services / Digital Information Office</w:t>
            </w:r>
          </w:p>
        </w:tc>
      </w:tr>
      <w:tr w:rsidR="004A3696" w:rsidRPr="00C978B9" w14:paraId="3C649B82" w14:textId="77777777" w:rsidTr="3D5B75EF">
        <w:trPr>
          <w:cantSplit/>
        </w:trPr>
        <w:tc>
          <w:tcPr>
            <w:tcW w:w="4026" w:type="dxa"/>
            <w:vAlign w:val="center"/>
          </w:tcPr>
          <w:p w14:paraId="44DD6370" w14:textId="77777777" w:rsidR="004A3696" w:rsidRPr="00853F21" w:rsidRDefault="004A3696" w:rsidP="003E0D69">
            <w:pPr>
              <w:pStyle w:val="TableTextWhite"/>
              <w:rPr>
                <w:b/>
              </w:rPr>
            </w:pPr>
            <w:r w:rsidRPr="004A3696">
              <w:rPr>
                <w:b/>
              </w:rPr>
              <w:t>Role number</w:t>
            </w:r>
          </w:p>
        </w:tc>
        <w:tc>
          <w:tcPr>
            <w:tcW w:w="6530" w:type="dxa"/>
          </w:tcPr>
          <w:p w14:paraId="7C3C9D1F" w14:textId="5C6498DE" w:rsidR="004A3696" w:rsidRPr="004A3696" w:rsidRDefault="0029738C" w:rsidP="3D5B75EF">
            <w:pPr>
              <w:pStyle w:val="TableTextWhite"/>
              <w:rPr>
                <w:b/>
                <w:bCs/>
              </w:rPr>
            </w:pPr>
            <w:r>
              <w:rPr>
                <w:b/>
                <w:bCs/>
              </w:rPr>
              <w:t>5100760</w:t>
            </w:r>
            <w:r w:rsidR="00F81C36">
              <w:rPr>
                <w:b/>
                <w:bCs/>
              </w:rPr>
              <w:t>2</w:t>
            </w:r>
            <w:bookmarkStart w:id="1" w:name="_GoBack"/>
            <w:bookmarkEnd w:id="1"/>
          </w:p>
        </w:tc>
      </w:tr>
      <w:tr w:rsidR="00DA6BE6" w:rsidRPr="00C978B9" w14:paraId="26A82C8F" w14:textId="77777777" w:rsidTr="3D5B75EF">
        <w:trPr>
          <w:cantSplit/>
        </w:trPr>
        <w:tc>
          <w:tcPr>
            <w:tcW w:w="4026" w:type="dxa"/>
            <w:vAlign w:val="center"/>
          </w:tcPr>
          <w:p w14:paraId="7AAE9DC5" w14:textId="77777777" w:rsidR="00DA6BE6" w:rsidRPr="00853F21" w:rsidRDefault="00DA6BE6" w:rsidP="003E0D69">
            <w:pPr>
              <w:pStyle w:val="TableTextWhite"/>
              <w:rPr>
                <w:b/>
                <w:color w:val="000000"/>
              </w:rPr>
            </w:pPr>
            <w:r w:rsidRPr="00853F21">
              <w:rPr>
                <w:b/>
              </w:rPr>
              <w:t>Classification/Grade/Band</w:t>
            </w:r>
          </w:p>
        </w:tc>
        <w:tc>
          <w:tcPr>
            <w:tcW w:w="6530" w:type="dxa"/>
          </w:tcPr>
          <w:p w14:paraId="17E77CB7" w14:textId="77777777" w:rsidR="00DA6BE6" w:rsidRPr="00853F21" w:rsidRDefault="004A3696" w:rsidP="003E0D69">
            <w:pPr>
              <w:pStyle w:val="TableTextWhite"/>
              <w:rPr>
                <w:b/>
              </w:rPr>
            </w:pPr>
            <w:r>
              <w:rPr>
                <w:b/>
              </w:rPr>
              <w:t>Clerk Grade 9/10</w:t>
            </w:r>
          </w:p>
        </w:tc>
      </w:tr>
      <w:tr w:rsidR="004A3696" w:rsidRPr="00C978B9" w14:paraId="4B1F0102" w14:textId="77777777" w:rsidTr="3D5B75EF">
        <w:trPr>
          <w:cantSplit/>
        </w:trPr>
        <w:tc>
          <w:tcPr>
            <w:tcW w:w="4026" w:type="dxa"/>
            <w:vAlign w:val="center"/>
          </w:tcPr>
          <w:p w14:paraId="1CC226A5" w14:textId="77777777" w:rsidR="004A3696" w:rsidRPr="00853F21" w:rsidRDefault="004A3696" w:rsidP="003E0D69">
            <w:pPr>
              <w:pStyle w:val="TableTextWhite"/>
              <w:rPr>
                <w:b/>
              </w:rPr>
            </w:pPr>
            <w:r w:rsidRPr="004A3696">
              <w:rPr>
                <w:b/>
              </w:rPr>
              <w:t>Senior executive work level standards</w:t>
            </w:r>
          </w:p>
        </w:tc>
        <w:tc>
          <w:tcPr>
            <w:tcW w:w="6530" w:type="dxa"/>
          </w:tcPr>
          <w:p w14:paraId="5F51405C" w14:textId="77777777" w:rsidR="004A3696" w:rsidRPr="004A3696" w:rsidRDefault="004A3696" w:rsidP="003E0D69">
            <w:pPr>
              <w:pStyle w:val="TableTextWhite"/>
              <w:rPr>
                <w:b/>
              </w:rPr>
            </w:pPr>
            <w:r>
              <w:rPr>
                <w:b/>
              </w:rPr>
              <w:t>Not Applicable</w:t>
            </w:r>
          </w:p>
        </w:tc>
      </w:tr>
      <w:tr w:rsidR="00DA6BE6" w:rsidRPr="00C978B9" w14:paraId="00E56490" w14:textId="77777777" w:rsidTr="3D5B75EF">
        <w:trPr>
          <w:cantSplit/>
          <w:trHeight w:val="315"/>
        </w:trPr>
        <w:tc>
          <w:tcPr>
            <w:tcW w:w="4026" w:type="dxa"/>
            <w:vAlign w:val="center"/>
          </w:tcPr>
          <w:p w14:paraId="7F767FAA" w14:textId="77777777" w:rsidR="00DA6BE6" w:rsidRPr="00050174" w:rsidRDefault="00DA6BE6" w:rsidP="003E0D69">
            <w:pPr>
              <w:pStyle w:val="TableTextWhite"/>
              <w:rPr>
                <w:b/>
                <w:color w:val="000000"/>
              </w:rPr>
            </w:pPr>
            <w:r w:rsidRPr="00050174">
              <w:rPr>
                <w:b/>
              </w:rPr>
              <w:t>ANZSCO Code</w:t>
            </w:r>
          </w:p>
        </w:tc>
        <w:tc>
          <w:tcPr>
            <w:tcW w:w="6530" w:type="dxa"/>
          </w:tcPr>
          <w:p w14:paraId="000CAA14" w14:textId="3C84B454" w:rsidR="00DA6BE6" w:rsidRPr="00050174" w:rsidRDefault="00050174" w:rsidP="003E0D69">
            <w:pPr>
              <w:pStyle w:val="TableTextWhite"/>
              <w:rPr>
                <w:b/>
              </w:rPr>
            </w:pPr>
            <w:r w:rsidRPr="00050174">
              <w:rPr>
                <w:b/>
              </w:rPr>
              <w:t>135199</w:t>
            </w:r>
          </w:p>
        </w:tc>
      </w:tr>
      <w:tr w:rsidR="00DA6BE6" w:rsidRPr="00C978B9" w14:paraId="781F1C88" w14:textId="77777777" w:rsidTr="3D5B75EF">
        <w:trPr>
          <w:cantSplit/>
        </w:trPr>
        <w:tc>
          <w:tcPr>
            <w:tcW w:w="4026" w:type="dxa"/>
            <w:vAlign w:val="center"/>
          </w:tcPr>
          <w:p w14:paraId="7B4F8AA1" w14:textId="77777777" w:rsidR="00DA6BE6" w:rsidRPr="00EC454E" w:rsidRDefault="00DA6BE6" w:rsidP="003E0D69">
            <w:pPr>
              <w:pStyle w:val="TableTextWhite"/>
              <w:rPr>
                <w:b/>
                <w:color w:val="000000"/>
              </w:rPr>
            </w:pPr>
            <w:r w:rsidRPr="00EC454E">
              <w:rPr>
                <w:b/>
              </w:rPr>
              <w:t>PCAT Code</w:t>
            </w:r>
          </w:p>
        </w:tc>
        <w:tc>
          <w:tcPr>
            <w:tcW w:w="6530" w:type="dxa"/>
          </w:tcPr>
          <w:p w14:paraId="35863153" w14:textId="3C69E067" w:rsidR="00DA6BE6" w:rsidRPr="00EC454E" w:rsidRDefault="00EC454E" w:rsidP="003E0D69">
            <w:pPr>
              <w:pStyle w:val="TableTextWhite"/>
              <w:rPr>
                <w:b/>
              </w:rPr>
            </w:pPr>
            <w:r w:rsidRPr="00EC454E">
              <w:rPr>
                <w:b/>
              </w:rPr>
              <w:t>1226</w:t>
            </w:r>
            <w:r w:rsidR="00050174">
              <w:rPr>
                <w:b/>
              </w:rPr>
              <w:t>292</w:t>
            </w:r>
          </w:p>
        </w:tc>
      </w:tr>
      <w:tr w:rsidR="00DA6BE6" w:rsidRPr="00C978B9" w14:paraId="48284D91" w14:textId="77777777" w:rsidTr="3D5B75EF">
        <w:trPr>
          <w:cantSplit/>
        </w:trPr>
        <w:tc>
          <w:tcPr>
            <w:tcW w:w="4026" w:type="dxa"/>
            <w:vAlign w:val="center"/>
          </w:tcPr>
          <w:p w14:paraId="5C969660" w14:textId="77777777" w:rsidR="00DA6BE6" w:rsidRPr="00853F21" w:rsidRDefault="00DA6BE6" w:rsidP="003E0D69">
            <w:pPr>
              <w:pStyle w:val="TableTextWhite"/>
              <w:rPr>
                <w:b/>
                <w:color w:val="000000"/>
              </w:rPr>
            </w:pPr>
            <w:r w:rsidRPr="00853F21">
              <w:rPr>
                <w:b/>
              </w:rPr>
              <w:t>Date of Approval</w:t>
            </w:r>
          </w:p>
        </w:tc>
        <w:tc>
          <w:tcPr>
            <w:tcW w:w="6530" w:type="dxa"/>
          </w:tcPr>
          <w:p w14:paraId="1813BC37" w14:textId="229B5736" w:rsidR="00DA6BE6" w:rsidRPr="00853F21" w:rsidRDefault="00EC454E" w:rsidP="3D5B75EF">
            <w:pPr>
              <w:pStyle w:val="TableTextWhite"/>
              <w:rPr>
                <w:b/>
                <w:bCs/>
              </w:rPr>
            </w:pPr>
            <w:r>
              <w:rPr>
                <w:b/>
                <w:bCs/>
              </w:rPr>
              <w:t>July 2024</w:t>
            </w:r>
          </w:p>
        </w:tc>
      </w:tr>
      <w:tr w:rsidR="004A3696" w:rsidRPr="00C978B9" w14:paraId="1780327C" w14:textId="77777777" w:rsidTr="3D5B75EF">
        <w:trPr>
          <w:cantSplit/>
        </w:trPr>
        <w:tc>
          <w:tcPr>
            <w:tcW w:w="4026" w:type="dxa"/>
            <w:vAlign w:val="center"/>
          </w:tcPr>
          <w:p w14:paraId="4D34875F" w14:textId="77777777" w:rsidR="004A3696" w:rsidRPr="00853F21" w:rsidRDefault="004A3696" w:rsidP="003E0D69">
            <w:pPr>
              <w:pStyle w:val="TableTextWhite"/>
              <w:rPr>
                <w:b/>
              </w:rPr>
            </w:pPr>
            <w:r w:rsidRPr="004A3696">
              <w:rPr>
                <w:b/>
              </w:rPr>
              <w:t>Agency Website</w:t>
            </w:r>
          </w:p>
        </w:tc>
        <w:tc>
          <w:tcPr>
            <w:tcW w:w="6530" w:type="dxa"/>
          </w:tcPr>
          <w:p w14:paraId="733A1D3A" w14:textId="2DA1E94A" w:rsidR="004A3696" w:rsidRPr="004A3696" w:rsidRDefault="00097802" w:rsidP="003E0D69">
            <w:pPr>
              <w:pStyle w:val="TableTextWhite"/>
              <w:rPr>
                <w:b/>
              </w:rPr>
            </w:pPr>
            <w:r>
              <w:rPr>
                <w:b/>
              </w:rPr>
              <w:t>https://www.nsw.gov.au/departments-and-agencies/department-of-planning-housing-and-infrastructure</w:t>
            </w:r>
          </w:p>
        </w:tc>
      </w:tr>
    </w:tbl>
    <w:p w14:paraId="2C1D6EA1" w14:textId="77777777" w:rsidR="00057CB3" w:rsidRPr="00C978B9" w:rsidRDefault="004A3696" w:rsidP="00FB27B0">
      <w:pPr>
        <w:pStyle w:val="Heading2"/>
      </w:pPr>
      <w:r w:rsidRPr="004A3696">
        <w:t>Agency overview</w:t>
      </w:r>
    </w:p>
    <w:p w14:paraId="02964D90" w14:textId="24F745A9" w:rsidR="00EC454E" w:rsidRPr="00957705" w:rsidRDefault="00EC454E" w:rsidP="00EC454E">
      <w:pPr>
        <w:rPr>
          <w:rFonts w:cs="Arial"/>
        </w:rPr>
      </w:pPr>
      <w:bookmarkStart w:id="2" w:name="_Hlk30003721"/>
      <w:r>
        <w:t xml:space="preserve">The </w:t>
      </w:r>
      <w:r w:rsidRPr="00957705">
        <w:rPr>
          <w:rFonts w:cs="Arial"/>
        </w:rPr>
        <w:t xml:space="preserve">Department of Planning, Housing and Infrastructure (DPHI) improves the </w:t>
      </w:r>
      <w:r>
        <w:rPr>
          <w:rFonts w:cs="Arial"/>
        </w:rPr>
        <w:t>liveability</w:t>
      </w:r>
      <w:r w:rsidRPr="00957705">
        <w:rPr>
          <w:rFonts w:cs="Arial"/>
        </w:rPr>
        <w:t xml:space="preserve"> and prosperity of NSW.  To achieve this, we:</w:t>
      </w:r>
    </w:p>
    <w:p w14:paraId="5B2A2D3B" w14:textId="4699AEC6" w:rsidR="00EC454E" w:rsidRPr="00957705" w:rsidRDefault="00EC454E" w:rsidP="00EC454E">
      <w:pPr>
        <w:pStyle w:val="ListBullet"/>
        <w:numPr>
          <w:ilvl w:val="0"/>
          <w:numId w:val="25"/>
        </w:numPr>
        <w:rPr>
          <w:rFonts w:cs="Arial"/>
        </w:rPr>
      </w:pPr>
      <w:r w:rsidRPr="00957705">
        <w:rPr>
          <w:rFonts w:cs="Arial"/>
        </w:rPr>
        <w:t>create vibrant, productive spaces and precincts.</w:t>
      </w:r>
    </w:p>
    <w:p w14:paraId="7C1618CF" w14:textId="77777777" w:rsidR="00EC454E" w:rsidRPr="00957705" w:rsidRDefault="00EC454E" w:rsidP="00EC454E">
      <w:pPr>
        <w:pStyle w:val="ListBullet"/>
        <w:numPr>
          <w:ilvl w:val="0"/>
          <w:numId w:val="25"/>
        </w:numPr>
        <w:rPr>
          <w:rFonts w:cs="Arial"/>
        </w:rPr>
      </w:pPr>
      <w:r w:rsidRPr="00957705">
        <w:rPr>
          <w:rFonts w:cs="Arial"/>
        </w:rPr>
        <w:t>manage lands, assets and property effectively; and</w:t>
      </w:r>
    </w:p>
    <w:p w14:paraId="76C2AF03" w14:textId="77777777" w:rsidR="00EC454E" w:rsidRPr="00957705" w:rsidRDefault="00EC454E" w:rsidP="00EC454E">
      <w:pPr>
        <w:pStyle w:val="ListBullet"/>
        <w:numPr>
          <w:ilvl w:val="0"/>
          <w:numId w:val="25"/>
        </w:numPr>
        <w:rPr>
          <w:rFonts w:cs="Arial"/>
        </w:rPr>
      </w:pPr>
      <w:r w:rsidRPr="00957705">
        <w:rPr>
          <w:rFonts w:cs="Arial"/>
        </w:rPr>
        <w:t>deliver affordable and diverse housing.</w:t>
      </w:r>
    </w:p>
    <w:p w14:paraId="25C102FF" w14:textId="77777777" w:rsidR="00EC454E" w:rsidRPr="00957705" w:rsidRDefault="00EC454E" w:rsidP="00EC454E">
      <w:pPr>
        <w:rPr>
          <w:rFonts w:cs="Arial"/>
        </w:rPr>
      </w:pPr>
    </w:p>
    <w:p w14:paraId="789CC2AE" w14:textId="77777777" w:rsidR="00EC454E" w:rsidRPr="00957705" w:rsidRDefault="00EC454E" w:rsidP="00EC454E">
      <w:pPr>
        <w:rPr>
          <w:rFonts w:cs="Arial"/>
        </w:rPr>
      </w:pPr>
      <w:r w:rsidRPr="00957705">
        <w:rPr>
          <w:rFonts w:cs="Arial"/>
        </w:rPr>
        <w:t>We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p>
    <w:p w14:paraId="602CE3C5" w14:textId="14EDF2EC" w:rsidR="004A3696" w:rsidRPr="00C978B9" w:rsidRDefault="004A3696" w:rsidP="00EC454E">
      <w:pPr>
        <w:pStyle w:val="Heading2"/>
        <w:tabs>
          <w:tab w:val="left" w:pos="4739"/>
        </w:tabs>
      </w:pPr>
      <w:r w:rsidRPr="00C978B9">
        <w:t>Primary purpose of t</w:t>
      </w:r>
      <w:r>
        <w:t>h</w:t>
      </w:r>
      <w:r w:rsidRPr="00C978B9">
        <w:t>e role</w:t>
      </w:r>
      <w:r w:rsidR="00EC454E">
        <w:tab/>
      </w:r>
    </w:p>
    <w:p w14:paraId="352ADDAD" w14:textId="6743CBEF" w:rsidR="004A3696" w:rsidRPr="00A55204" w:rsidRDefault="004A3696" w:rsidP="00FB27B0">
      <w:pPr>
        <w:rPr>
          <w:bCs/>
          <w:lang w:eastAsia="en-AU"/>
        </w:rPr>
      </w:pPr>
      <w:r>
        <w:t xml:space="preserve">The Security </w:t>
      </w:r>
      <w:r w:rsidR="006F0059" w:rsidRPr="006F0059">
        <w:t xml:space="preserve">Resilience Specialist </w:t>
      </w:r>
      <w:r>
        <w:t xml:space="preserve">is responsible for </w:t>
      </w:r>
      <w:r w:rsidR="006D59B7">
        <w:rPr>
          <w:rFonts w:cs="Arial"/>
          <w:szCs w:val="22"/>
        </w:rPr>
        <w:t>ensuring that the Department can effectively respond to security threats and incidents through planning, designing, building, and testing of security disaster recovery</w:t>
      </w:r>
      <w:r>
        <w:t xml:space="preserve"> </w:t>
      </w:r>
      <w:r w:rsidR="006D59B7">
        <w:t xml:space="preserve">plans. </w:t>
      </w:r>
      <w:r w:rsidR="006D59B7">
        <w:rPr>
          <w:rFonts w:cs="Arial"/>
          <w:szCs w:val="22"/>
        </w:rPr>
        <w:t>The role is responsible for coordinating and overseeing the development and testing of disaster recovery plans</w:t>
      </w:r>
      <w:r w:rsidR="00270724">
        <w:rPr>
          <w:rFonts w:cs="Arial"/>
          <w:szCs w:val="22"/>
        </w:rPr>
        <w:t xml:space="preserve"> to maintain currency with </w:t>
      </w:r>
      <w:r w:rsidR="00270724">
        <w:rPr>
          <w:rFonts w:cs="Arial"/>
        </w:rPr>
        <w:t>security frameworks, standards and best practices.</w:t>
      </w:r>
    </w:p>
    <w:bookmarkEnd w:id="2"/>
    <w:p w14:paraId="4887074B" w14:textId="77777777" w:rsidR="00057CB3" w:rsidRPr="00980BCA" w:rsidRDefault="00057CB3" w:rsidP="000C453F">
      <w:pPr>
        <w:pStyle w:val="Heading2"/>
      </w:pPr>
      <w:r w:rsidRPr="00980BCA">
        <w:t xml:space="preserve">Key </w:t>
      </w:r>
      <w:r w:rsidR="00043B92" w:rsidRPr="00980BCA">
        <w:t>a</w:t>
      </w:r>
      <w:r w:rsidRPr="00980BCA">
        <w:t>ccountabilities</w:t>
      </w:r>
    </w:p>
    <w:p w14:paraId="601A6219" w14:textId="7983B0C1" w:rsidR="006D59B7" w:rsidRDefault="006D59B7" w:rsidP="006D59B7">
      <w:pPr>
        <w:pStyle w:val="ListBullet"/>
        <w:rPr>
          <w:lang w:eastAsia="en-AU"/>
        </w:rPr>
      </w:pPr>
      <w:r w:rsidRPr="00DB4E9A">
        <w:rPr>
          <w:lang w:eastAsia="en-AU"/>
        </w:rPr>
        <w:t xml:space="preserve">Work with the IT technical staff to ensure that </w:t>
      </w:r>
      <w:r>
        <w:rPr>
          <w:lang w:eastAsia="en-AU"/>
        </w:rPr>
        <w:t>d</w:t>
      </w:r>
      <w:r w:rsidRPr="00DB4E9A">
        <w:rPr>
          <w:lang w:eastAsia="en-AU"/>
        </w:rPr>
        <w:t xml:space="preserve">isaster </w:t>
      </w:r>
      <w:r>
        <w:rPr>
          <w:lang w:eastAsia="en-AU"/>
        </w:rPr>
        <w:t>r</w:t>
      </w:r>
      <w:r w:rsidRPr="00DB4E9A">
        <w:rPr>
          <w:lang w:eastAsia="en-AU"/>
        </w:rPr>
        <w:t xml:space="preserve">ecovery </w:t>
      </w:r>
      <w:r>
        <w:rPr>
          <w:lang w:eastAsia="en-AU"/>
        </w:rPr>
        <w:t xml:space="preserve">(DR) </w:t>
      </w:r>
      <w:r w:rsidRPr="00DB4E9A">
        <w:rPr>
          <w:lang w:eastAsia="en-AU"/>
        </w:rPr>
        <w:t>solutions are adequate, in place, maintained, and tested as part of the regular operational life cycle.</w:t>
      </w:r>
    </w:p>
    <w:p w14:paraId="6F324D4B" w14:textId="77777777" w:rsidR="006D59B7" w:rsidRDefault="006D59B7" w:rsidP="006D59B7">
      <w:pPr>
        <w:pStyle w:val="ListBullet"/>
        <w:rPr>
          <w:lang w:eastAsia="en-AU"/>
        </w:rPr>
      </w:pPr>
      <w:r>
        <w:rPr>
          <w:lang w:eastAsia="en-AU"/>
        </w:rPr>
        <w:t>Coordinate and oversee execution of DR testing.</w:t>
      </w:r>
    </w:p>
    <w:p w14:paraId="343ED61A" w14:textId="265ABCB3" w:rsidR="006D59B7" w:rsidRDefault="006D59B7" w:rsidP="006D59B7">
      <w:pPr>
        <w:pStyle w:val="ListBullet"/>
        <w:rPr>
          <w:lang w:eastAsia="en-AU"/>
        </w:rPr>
      </w:pPr>
      <w:r>
        <w:rPr>
          <w:lang w:eastAsia="en-AU"/>
        </w:rPr>
        <w:t>Provide support for the Operational Resilience and Business Continuity (BCP) activities.</w:t>
      </w:r>
    </w:p>
    <w:p w14:paraId="79F5D67F" w14:textId="77777777" w:rsidR="006D59B7" w:rsidRDefault="006D59B7" w:rsidP="006D59B7">
      <w:pPr>
        <w:pStyle w:val="ListBullet"/>
        <w:rPr>
          <w:lang w:eastAsia="en-AU"/>
        </w:rPr>
      </w:pPr>
      <w:r>
        <w:t>Perform risk assessments and control gap analysis against information security policies and risk management standards, verify that application, software/network/system security postures are implemented as stated, document deviations, and recommend required actions to correct those deviations.</w:t>
      </w:r>
    </w:p>
    <w:p w14:paraId="4D13DF50" w14:textId="2DEB1949" w:rsidR="00B016FA" w:rsidRDefault="00B92171" w:rsidP="00641CB8">
      <w:pPr>
        <w:pStyle w:val="ListBullet"/>
        <w:rPr>
          <w:lang w:eastAsia="en-AU"/>
        </w:rPr>
      </w:pPr>
      <w:r>
        <w:lastRenderedPageBreak/>
        <w:t>Work with Digital Information Office (DIO) technology leaders and their teams, and Business-Led IT System Owners to ensure security risks are monitored, managed and addressed.</w:t>
      </w:r>
    </w:p>
    <w:p w14:paraId="2960F6C6" w14:textId="3DA1F049" w:rsidR="00B016FA" w:rsidRDefault="00B92171" w:rsidP="00641CB8">
      <w:pPr>
        <w:pStyle w:val="ListBullet"/>
        <w:rPr>
          <w:lang w:eastAsia="en-AU"/>
        </w:rPr>
      </w:pPr>
      <w:r>
        <w:t>Collaborate with all security teams to prepare and present reporting, including dashboards to stakeholders including senior leaders across business, with security risks identified in a succinct and coherent manner.</w:t>
      </w:r>
    </w:p>
    <w:p w14:paraId="07E7CC8B"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436C2E1E" w14:textId="00305594" w:rsidR="006D59B7" w:rsidRDefault="006D59B7" w:rsidP="006D59B7">
      <w:pPr>
        <w:pStyle w:val="ListBullet"/>
      </w:pPr>
      <w:r>
        <w:t>Mobilising key stakeholders, including executives, to support disaster recovery testing, and identifying and acting on opportunities for continuous improvement and actions that shore up enterprise resilience.</w:t>
      </w:r>
    </w:p>
    <w:p w14:paraId="629EB654" w14:textId="0EB4A6B5" w:rsidR="00B016FA" w:rsidRDefault="00B92171" w:rsidP="00641CB8">
      <w:pPr>
        <w:pStyle w:val="ListBullet"/>
        <w:rPr>
          <w:lang w:eastAsia="en-AU"/>
        </w:rPr>
      </w:pPr>
      <w:r>
        <w:t>Addressing and resolving problems, issues and challenges associated with risk management and compliance, including developing appropriate solutions and interventions in an environment where there is a lack of precedent.</w:t>
      </w:r>
    </w:p>
    <w:p w14:paraId="7DC59971" w14:textId="330C815D" w:rsidR="00B016FA" w:rsidRDefault="00B92171" w:rsidP="00641CB8">
      <w:pPr>
        <w:pStyle w:val="ListBullet"/>
        <w:rPr>
          <w:lang w:eastAsia="en-AU"/>
        </w:rPr>
      </w:pPr>
      <w:r>
        <w:t>Delivering results in a high-pressure operational environment with tight constraints on resources and timeframes, many issues competing for attention, and changing priorities.</w:t>
      </w:r>
    </w:p>
    <w:p w14:paraId="2DA4B94B" w14:textId="77777777" w:rsidR="00057CB3" w:rsidRDefault="00043B92" w:rsidP="000C453F">
      <w:pPr>
        <w:pStyle w:val="Heading2"/>
      </w:pPr>
      <w:r>
        <w:t>Key r</w:t>
      </w:r>
      <w:r w:rsidR="00057CB3" w:rsidRPr="00C978B9">
        <w:t>elationships</w:t>
      </w:r>
    </w:p>
    <w:p w14:paraId="61C7FE84" w14:textId="77777777" w:rsidR="00E05C09" w:rsidRDefault="00E05C09" w:rsidP="00E05C09">
      <w:pPr>
        <w:spacing w:before="360"/>
        <w:rPr>
          <w:b/>
          <w:bCs/>
        </w:rPr>
      </w:pPr>
      <w:r>
        <w:rPr>
          <w:b/>
          <w:bCs/>
        </w:rPr>
        <w:t>Internal</w:t>
      </w:r>
    </w:p>
    <w:tbl>
      <w:tblPr>
        <w:tblStyle w:val="PSCPurple"/>
        <w:tblW w:w="10545"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0"/>
        <w:gridCol w:w="6945"/>
      </w:tblGrid>
      <w:tr w:rsidR="00E05C09" w14:paraId="52715D62" w14:textId="77777777" w:rsidTr="00EC454E">
        <w:trPr>
          <w:cnfStyle w:val="100000000000" w:firstRow="1" w:lastRow="0" w:firstColumn="0" w:lastColumn="0" w:oddVBand="0" w:evenVBand="0" w:oddHBand="0" w:evenHBand="0" w:firstRowFirstColumn="0" w:firstRowLastColumn="0" w:lastRowFirstColumn="0" w:lastRowLastColumn="0"/>
          <w:cantSplit/>
        </w:trPr>
        <w:tc>
          <w:tcPr>
            <w:tcW w:w="3601" w:type="dxa"/>
            <w:tcBorders>
              <w:bottom w:val="nil"/>
            </w:tcBorders>
            <w:shd w:val="clear" w:color="auto" w:fill="752F8A"/>
            <w:hideMark/>
          </w:tcPr>
          <w:p w14:paraId="507BFFB2" w14:textId="77777777" w:rsidR="00E05C09" w:rsidRDefault="00E05C09">
            <w:pPr>
              <w:pStyle w:val="TableTextWhite0"/>
            </w:pPr>
            <w:r>
              <w:t>Who</w:t>
            </w:r>
          </w:p>
        </w:tc>
        <w:tc>
          <w:tcPr>
            <w:tcW w:w="6946" w:type="dxa"/>
            <w:tcBorders>
              <w:bottom w:val="nil"/>
            </w:tcBorders>
            <w:shd w:val="clear" w:color="auto" w:fill="752F8A"/>
            <w:hideMark/>
          </w:tcPr>
          <w:p w14:paraId="400D1F2A" w14:textId="77777777" w:rsidR="00E05C09" w:rsidRDefault="00E05C09">
            <w:pPr>
              <w:pStyle w:val="TableTextWhite0"/>
            </w:pPr>
            <w:r>
              <w:t>Why</w:t>
            </w:r>
          </w:p>
        </w:tc>
      </w:tr>
      <w:tr w:rsidR="00E05C09" w14:paraId="1DE02C9A" w14:textId="77777777" w:rsidTr="00EC454E">
        <w:trPr>
          <w:cantSplit/>
        </w:trPr>
        <w:tc>
          <w:tcPr>
            <w:tcW w:w="3601" w:type="dxa"/>
            <w:tcBorders>
              <w:top w:val="nil"/>
              <w:left w:val="nil"/>
              <w:bottom w:val="single" w:sz="4" w:space="0" w:color="auto"/>
              <w:right w:val="nil"/>
            </w:tcBorders>
            <w:hideMark/>
          </w:tcPr>
          <w:p w14:paraId="62184B3F" w14:textId="77777777" w:rsidR="00E05C09" w:rsidRPr="00EA76F4" w:rsidRDefault="00E05C09">
            <w:pPr>
              <w:pStyle w:val="TableText"/>
            </w:pPr>
            <w:bookmarkStart w:id="3" w:name="InternalRelationships"/>
            <w:r w:rsidRPr="00EA76F4">
              <w:t>Manager</w:t>
            </w:r>
          </w:p>
        </w:tc>
        <w:tc>
          <w:tcPr>
            <w:tcW w:w="6946" w:type="dxa"/>
            <w:tcBorders>
              <w:top w:val="nil"/>
              <w:left w:val="nil"/>
              <w:bottom w:val="single" w:sz="4" w:space="0" w:color="auto"/>
              <w:right w:val="nil"/>
            </w:tcBorders>
            <w:hideMark/>
          </w:tcPr>
          <w:p w14:paraId="590B9723" w14:textId="77777777" w:rsidR="00E05C09" w:rsidRPr="00EA76F4" w:rsidRDefault="00E05C09" w:rsidP="00E05C09">
            <w:pPr>
              <w:pStyle w:val="ListBullet"/>
              <w:numPr>
                <w:ilvl w:val="0"/>
                <w:numId w:val="16"/>
              </w:numPr>
              <w:rPr>
                <w:sz w:val="20"/>
              </w:rPr>
            </w:pPr>
            <w:r w:rsidRPr="00EA76F4">
              <w:rPr>
                <w:sz w:val="20"/>
              </w:rPr>
              <w:t>Escalate issues, keep informed, advise, receive guidance and instructions</w:t>
            </w:r>
          </w:p>
          <w:p w14:paraId="2CB1FF18" w14:textId="77777777" w:rsidR="00E05C09" w:rsidRPr="00EA76F4" w:rsidRDefault="00E05C09" w:rsidP="00E05C09">
            <w:pPr>
              <w:pStyle w:val="ListBullet"/>
              <w:numPr>
                <w:ilvl w:val="0"/>
                <w:numId w:val="16"/>
              </w:numPr>
              <w:rPr>
                <w:sz w:val="20"/>
              </w:rPr>
            </w:pPr>
            <w:r w:rsidRPr="00EA76F4">
              <w:rPr>
                <w:sz w:val="20"/>
              </w:rPr>
              <w:t>Participate in meetings and discussions to share information and provide input and feedback</w:t>
            </w:r>
          </w:p>
          <w:p w14:paraId="43940C57" w14:textId="77777777" w:rsidR="00E05C09" w:rsidRPr="00EA76F4" w:rsidRDefault="00E05C09" w:rsidP="00E05C09">
            <w:pPr>
              <w:pStyle w:val="ListBullet"/>
              <w:numPr>
                <w:ilvl w:val="0"/>
                <w:numId w:val="16"/>
              </w:numPr>
              <w:rPr>
                <w:sz w:val="20"/>
              </w:rPr>
            </w:pPr>
            <w:r w:rsidRPr="00EA76F4">
              <w:rPr>
                <w:sz w:val="20"/>
              </w:rPr>
              <w:t>Identify sensitive issues, risk &amp; opportunities and recommend potential solutions</w:t>
            </w:r>
          </w:p>
          <w:p w14:paraId="21AA5088" w14:textId="77777777" w:rsidR="00E05C09" w:rsidRPr="00EA76F4" w:rsidRDefault="00E05C09" w:rsidP="00E05C09">
            <w:pPr>
              <w:pStyle w:val="ListBullet"/>
              <w:numPr>
                <w:ilvl w:val="0"/>
                <w:numId w:val="15"/>
              </w:numPr>
              <w:rPr>
                <w:sz w:val="20"/>
              </w:rPr>
            </w:pPr>
            <w:r w:rsidRPr="00EA76F4">
              <w:rPr>
                <w:sz w:val="20"/>
              </w:rPr>
              <w:t>Provide regular updates on key projects and priorities</w:t>
            </w:r>
          </w:p>
        </w:tc>
      </w:tr>
      <w:tr w:rsidR="00E05C09" w14:paraId="7B719239" w14:textId="77777777" w:rsidTr="00EC454E">
        <w:trPr>
          <w:cantSplit/>
        </w:trPr>
        <w:tc>
          <w:tcPr>
            <w:tcW w:w="3601" w:type="dxa"/>
            <w:tcBorders>
              <w:top w:val="single" w:sz="4" w:space="0" w:color="auto"/>
              <w:left w:val="nil"/>
              <w:bottom w:val="single" w:sz="4" w:space="0" w:color="auto"/>
              <w:right w:val="nil"/>
            </w:tcBorders>
            <w:hideMark/>
          </w:tcPr>
          <w:p w14:paraId="3C1BD674" w14:textId="77777777" w:rsidR="00E05C09" w:rsidRPr="00EA76F4" w:rsidRDefault="00E05C09">
            <w:pPr>
              <w:pStyle w:val="TableText"/>
            </w:pPr>
            <w:r w:rsidRPr="00EA76F4">
              <w:t>Work team</w:t>
            </w:r>
          </w:p>
        </w:tc>
        <w:tc>
          <w:tcPr>
            <w:tcW w:w="6946" w:type="dxa"/>
            <w:tcBorders>
              <w:top w:val="single" w:sz="4" w:space="0" w:color="auto"/>
              <w:left w:val="nil"/>
              <w:bottom w:val="single" w:sz="4" w:space="0" w:color="auto"/>
              <w:right w:val="nil"/>
            </w:tcBorders>
            <w:hideMark/>
          </w:tcPr>
          <w:p w14:paraId="12FEF70F" w14:textId="77777777" w:rsidR="00E05C09" w:rsidRPr="00EA76F4" w:rsidRDefault="00E05C09" w:rsidP="00E05C09">
            <w:pPr>
              <w:pStyle w:val="ListBullet"/>
              <w:numPr>
                <w:ilvl w:val="0"/>
                <w:numId w:val="16"/>
              </w:numPr>
              <w:rPr>
                <w:sz w:val="20"/>
              </w:rPr>
            </w:pPr>
            <w:r w:rsidRPr="00EA76F4">
              <w:rPr>
                <w:sz w:val="20"/>
              </w:rPr>
              <w:t>Support team members and work collaboratively to contribute to achieving business outcomes</w:t>
            </w:r>
          </w:p>
          <w:p w14:paraId="5A58C8E6" w14:textId="77777777" w:rsidR="00E05C09" w:rsidRPr="00EA76F4" w:rsidRDefault="00E05C09" w:rsidP="00E05C09">
            <w:pPr>
              <w:pStyle w:val="ListBullet"/>
              <w:numPr>
                <w:ilvl w:val="0"/>
                <w:numId w:val="16"/>
              </w:numPr>
              <w:rPr>
                <w:sz w:val="20"/>
              </w:rPr>
            </w:pPr>
            <w:r w:rsidRPr="00EA76F4">
              <w:rPr>
                <w:sz w:val="20"/>
              </w:rPr>
              <w:t>Participate in discussions and decisions regarding resolution of issues and implementation of innovation and best practice</w:t>
            </w:r>
          </w:p>
          <w:p w14:paraId="1B200037" w14:textId="77777777" w:rsidR="00E05C09" w:rsidRPr="00EA76F4" w:rsidRDefault="00E05C09" w:rsidP="00E05C09">
            <w:pPr>
              <w:pStyle w:val="ListBullet"/>
              <w:numPr>
                <w:ilvl w:val="0"/>
                <w:numId w:val="16"/>
              </w:numPr>
              <w:rPr>
                <w:sz w:val="20"/>
              </w:rPr>
            </w:pPr>
            <w:r w:rsidRPr="00EA76F4">
              <w:rPr>
                <w:sz w:val="20"/>
              </w:rPr>
              <w:t>Represent work group perspective and share information</w:t>
            </w:r>
          </w:p>
          <w:p w14:paraId="35B4FD98" w14:textId="77777777" w:rsidR="00E05C09" w:rsidRPr="00EA76F4" w:rsidRDefault="00E05C09" w:rsidP="00E05C09">
            <w:pPr>
              <w:pStyle w:val="ListBullet"/>
              <w:numPr>
                <w:ilvl w:val="0"/>
                <w:numId w:val="15"/>
              </w:numPr>
              <w:rPr>
                <w:sz w:val="20"/>
              </w:rPr>
            </w:pPr>
            <w:r w:rsidRPr="00EA76F4">
              <w:rPr>
                <w:sz w:val="20"/>
              </w:rPr>
              <w:t>Review work and proposals of team members</w:t>
            </w:r>
          </w:p>
        </w:tc>
      </w:tr>
      <w:tr w:rsidR="00E05C09" w14:paraId="02E495E6" w14:textId="77777777" w:rsidTr="00EC454E">
        <w:trPr>
          <w:cantSplit/>
        </w:trPr>
        <w:tc>
          <w:tcPr>
            <w:tcW w:w="3601" w:type="dxa"/>
            <w:tcBorders>
              <w:top w:val="single" w:sz="4" w:space="0" w:color="auto"/>
              <w:left w:val="nil"/>
              <w:bottom w:val="single" w:sz="4" w:space="0" w:color="auto"/>
              <w:right w:val="nil"/>
            </w:tcBorders>
            <w:hideMark/>
          </w:tcPr>
          <w:p w14:paraId="4F038506" w14:textId="77777777" w:rsidR="00E05C09" w:rsidRPr="00EA76F4" w:rsidRDefault="00E05C09">
            <w:pPr>
              <w:pStyle w:val="TableText"/>
            </w:pPr>
            <w:r w:rsidRPr="00EA76F4">
              <w:t>Customers / Stakeholders</w:t>
            </w:r>
          </w:p>
        </w:tc>
        <w:tc>
          <w:tcPr>
            <w:tcW w:w="6946" w:type="dxa"/>
            <w:tcBorders>
              <w:top w:val="single" w:sz="4" w:space="0" w:color="auto"/>
              <w:left w:val="nil"/>
              <w:bottom w:val="single" w:sz="4" w:space="0" w:color="auto"/>
              <w:right w:val="nil"/>
            </w:tcBorders>
            <w:hideMark/>
          </w:tcPr>
          <w:p w14:paraId="55131BCF" w14:textId="77777777" w:rsidR="00E05C09" w:rsidRPr="00EA76F4" w:rsidRDefault="00E05C09" w:rsidP="00E05C09">
            <w:pPr>
              <w:pStyle w:val="ListBullet"/>
              <w:numPr>
                <w:ilvl w:val="0"/>
                <w:numId w:val="16"/>
              </w:numPr>
              <w:rPr>
                <w:sz w:val="20"/>
              </w:rPr>
            </w:pPr>
            <w:r w:rsidRPr="00EA76F4">
              <w:rPr>
                <w:sz w:val="20"/>
              </w:rPr>
              <w:t>Manage the flow of information, seek clarification and provide customer focused advice and responses to ensure prompt resolution of issues</w:t>
            </w:r>
          </w:p>
          <w:p w14:paraId="591EABDD" w14:textId="77777777" w:rsidR="00E05C09" w:rsidRPr="00EA76F4" w:rsidRDefault="00E05C09" w:rsidP="00E05C09">
            <w:pPr>
              <w:pStyle w:val="ListBullet"/>
              <w:numPr>
                <w:ilvl w:val="0"/>
                <w:numId w:val="16"/>
              </w:numPr>
              <w:rPr>
                <w:sz w:val="20"/>
              </w:rPr>
            </w:pPr>
            <w:r w:rsidRPr="00EA76F4">
              <w:rPr>
                <w:sz w:val="20"/>
              </w:rPr>
              <w:t>Articulate the needs and requirements of the service and collaborate with to negotiate solutions, provide expert customer focused advice and regular updates</w:t>
            </w:r>
          </w:p>
          <w:p w14:paraId="3F324E61" w14:textId="310C1C19" w:rsidR="00E05C09" w:rsidRDefault="00E05C09" w:rsidP="00E05C09">
            <w:pPr>
              <w:pStyle w:val="ListBullet"/>
              <w:numPr>
                <w:ilvl w:val="0"/>
                <w:numId w:val="15"/>
              </w:numPr>
              <w:rPr>
                <w:sz w:val="20"/>
              </w:rPr>
            </w:pPr>
            <w:r w:rsidRPr="00EA76F4">
              <w:rPr>
                <w:sz w:val="20"/>
              </w:rPr>
              <w:t xml:space="preserve">Address/respond to queries to provide advice where possible, or redirect to relevant party for review and </w:t>
            </w:r>
            <w:r w:rsidR="00270724" w:rsidRPr="00EA76F4">
              <w:rPr>
                <w:sz w:val="20"/>
              </w:rPr>
              <w:t>resolution</w:t>
            </w:r>
          </w:p>
          <w:p w14:paraId="08B42B0F" w14:textId="1018F5E1" w:rsidR="00270724" w:rsidRPr="00EA76F4" w:rsidRDefault="00270724" w:rsidP="00E05C09">
            <w:pPr>
              <w:pStyle w:val="ListBullet"/>
              <w:numPr>
                <w:ilvl w:val="0"/>
                <w:numId w:val="15"/>
              </w:numPr>
              <w:rPr>
                <w:sz w:val="20"/>
              </w:rPr>
            </w:pPr>
            <w:r w:rsidRPr="00EC454E">
              <w:rPr>
                <w:sz w:val="20"/>
              </w:rPr>
              <w:t>Work with teams to develop, maintain and test integrated incident response/disaster recovery plans and playbooks</w:t>
            </w:r>
          </w:p>
        </w:tc>
      </w:tr>
      <w:tr w:rsidR="00E05C09" w14:paraId="07C8EEFB" w14:textId="77777777" w:rsidTr="00EC454E">
        <w:trPr>
          <w:cantSplit/>
        </w:trPr>
        <w:tc>
          <w:tcPr>
            <w:tcW w:w="3601" w:type="dxa"/>
            <w:tcBorders>
              <w:top w:val="single" w:sz="4" w:space="0" w:color="auto"/>
              <w:left w:val="nil"/>
              <w:bottom w:val="single" w:sz="4" w:space="0" w:color="auto"/>
              <w:right w:val="nil"/>
            </w:tcBorders>
            <w:hideMark/>
          </w:tcPr>
          <w:p w14:paraId="16575BEB" w14:textId="77777777" w:rsidR="00E05C09" w:rsidRPr="00EA76F4" w:rsidRDefault="00E05C09">
            <w:pPr>
              <w:pStyle w:val="TableText"/>
            </w:pPr>
            <w:r w:rsidRPr="00EA76F4">
              <w:t>Portfolio Directors and Managers</w:t>
            </w:r>
          </w:p>
        </w:tc>
        <w:tc>
          <w:tcPr>
            <w:tcW w:w="6946" w:type="dxa"/>
            <w:tcBorders>
              <w:top w:val="single" w:sz="4" w:space="0" w:color="auto"/>
              <w:left w:val="nil"/>
              <w:bottom w:val="single" w:sz="4" w:space="0" w:color="auto"/>
              <w:right w:val="nil"/>
            </w:tcBorders>
            <w:hideMark/>
          </w:tcPr>
          <w:p w14:paraId="306E052A" w14:textId="66C7E009" w:rsidR="00EC454E" w:rsidRPr="00EC454E" w:rsidRDefault="00E05C09" w:rsidP="00EC454E">
            <w:pPr>
              <w:pStyle w:val="ListBullet"/>
              <w:numPr>
                <w:ilvl w:val="0"/>
                <w:numId w:val="15"/>
              </w:numPr>
              <w:rPr>
                <w:sz w:val="20"/>
              </w:rPr>
            </w:pPr>
            <w:r w:rsidRPr="00EA76F4">
              <w:rPr>
                <w:sz w:val="20"/>
              </w:rPr>
              <w:t>Provide expert customer focused advice, assistance and support</w:t>
            </w:r>
          </w:p>
        </w:tc>
      </w:tr>
      <w:bookmarkEnd w:id="3"/>
    </w:tbl>
    <w:p w14:paraId="22E57E43" w14:textId="77777777" w:rsidR="00E05C09" w:rsidRDefault="00E05C09" w:rsidP="00E05C09">
      <w:pPr>
        <w:spacing w:before="360"/>
        <w:rPr>
          <w:b/>
          <w:bCs/>
        </w:rPr>
      </w:pPr>
    </w:p>
    <w:p w14:paraId="298A5C67" w14:textId="77777777" w:rsidR="00E05C09" w:rsidRDefault="00E05C09">
      <w:pPr>
        <w:rPr>
          <w:b/>
          <w:bCs/>
        </w:rPr>
      </w:pPr>
      <w:r>
        <w:rPr>
          <w:b/>
          <w:bCs/>
        </w:rPr>
        <w:br w:type="page"/>
      </w:r>
    </w:p>
    <w:p w14:paraId="4284DB0A" w14:textId="5929896F" w:rsidR="00E05C09" w:rsidRDefault="00E05C09" w:rsidP="00E05C09">
      <w:pPr>
        <w:spacing w:before="360"/>
        <w:rPr>
          <w:b/>
          <w:bCs/>
        </w:rPr>
      </w:pPr>
      <w:r>
        <w:rPr>
          <w:b/>
          <w:bCs/>
        </w:rPr>
        <w:lastRenderedPageBreak/>
        <w:t>External</w:t>
      </w:r>
    </w:p>
    <w:tbl>
      <w:tblPr>
        <w:tblStyle w:val="PSCPurple"/>
        <w:tblW w:w="10545"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0"/>
        <w:gridCol w:w="6945"/>
      </w:tblGrid>
      <w:tr w:rsidR="00E05C09" w14:paraId="08595C22" w14:textId="77777777" w:rsidTr="00E05C09">
        <w:trPr>
          <w:cnfStyle w:val="100000000000" w:firstRow="1" w:lastRow="0" w:firstColumn="0" w:lastColumn="0" w:oddVBand="0" w:evenVBand="0" w:oddHBand="0" w:evenHBand="0" w:firstRowFirstColumn="0" w:firstRowLastColumn="0" w:lastRowFirstColumn="0" w:lastRowLastColumn="0"/>
          <w:tblHeader/>
        </w:trPr>
        <w:tc>
          <w:tcPr>
            <w:tcW w:w="3601" w:type="dxa"/>
            <w:shd w:val="clear" w:color="auto" w:fill="752F8A"/>
            <w:hideMark/>
          </w:tcPr>
          <w:p w14:paraId="7DD3EFE3" w14:textId="77777777" w:rsidR="00E05C09" w:rsidRDefault="00E05C09">
            <w:pPr>
              <w:pStyle w:val="TableTextWhite0"/>
            </w:pPr>
            <w:r>
              <w:t>Who</w:t>
            </w:r>
          </w:p>
        </w:tc>
        <w:tc>
          <w:tcPr>
            <w:tcW w:w="6946" w:type="dxa"/>
            <w:shd w:val="clear" w:color="auto" w:fill="752F8A"/>
            <w:hideMark/>
          </w:tcPr>
          <w:p w14:paraId="46A6CED3" w14:textId="77777777" w:rsidR="00E05C09" w:rsidRDefault="00E05C09">
            <w:pPr>
              <w:pStyle w:val="TableTextWhite0"/>
            </w:pPr>
            <w:r>
              <w:t>Why</w:t>
            </w:r>
          </w:p>
        </w:tc>
      </w:tr>
      <w:tr w:rsidR="00E05C09" w14:paraId="7E05B89F" w14:textId="77777777" w:rsidTr="00E05C09">
        <w:trPr>
          <w:cantSplit/>
        </w:trPr>
        <w:tc>
          <w:tcPr>
            <w:tcW w:w="3601" w:type="dxa"/>
            <w:tcBorders>
              <w:top w:val="single" w:sz="8" w:space="0" w:color="auto"/>
              <w:left w:val="nil"/>
              <w:bottom w:val="single" w:sz="8" w:space="0" w:color="auto"/>
              <w:right w:val="nil"/>
            </w:tcBorders>
            <w:hideMark/>
          </w:tcPr>
          <w:p w14:paraId="673031E8" w14:textId="77777777" w:rsidR="00E05C09" w:rsidRPr="00EA76F4" w:rsidRDefault="00E05C09">
            <w:pPr>
              <w:pStyle w:val="TableText"/>
            </w:pPr>
            <w:bookmarkStart w:id="4" w:name="ExternalRelationships"/>
            <w:r w:rsidRPr="00EA76F4">
              <w:t>Customers / stakeholders</w:t>
            </w:r>
          </w:p>
        </w:tc>
        <w:tc>
          <w:tcPr>
            <w:tcW w:w="6946" w:type="dxa"/>
            <w:tcBorders>
              <w:top w:val="single" w:sz="8" w:space="0" w:color="auto"/>
              <w:left w:val="nil"/>
              <w:bottom w:val="single" w:sz="8" w:space="0" w:color="auto"/>
              <w:right w:val="nil"/>
            </w:tcBorders>
            <w:hideMark/>
          </w:tcPr>
          <w:p w14:paraId="3EF77BE8" w14:textId="77777777" w:rsidR="00E05C09" w:rsidRPr="00EA76F4" w:rsidRDefault="00E05C09" w:rsidP="00E05C09">
            <w:pPr>
              <w:pStyle w:val="ListBullet"/>
              <w:numPr>
                <w:ilvl w:val="0"/>
                <w:numId w:val="16"/>
              </w:numPr>
              <w:rPr>
                <w:sz w:val="20"/>
              </w:rPr>
            </w:pPr>
            <w:r w:rsidRPr="00EA76F4">
              <w:rPr>
                <w:sz w:val="20"/>
              </w:rPr>
              <w:t>Respond and resolve queries, providing information and/or resources or redirect to the appropriate person or business unit if required</w:t>
            </w:r>
          </w:p>
          <w:p w14:paraId="375938F7" w14:textId="77777777" w:rsidR="00E05C09" w:rsidRPr="00EA76F4" w:rsidRDefault="00E05C09" w:rsidP="00E05C09">
            <w:pPr>
              <w:pStyle w:val="ListBullet"/>
              <w:numPr>
                <w:ilvl w:val="0"/>
                <w:numId w:val="16"/>
              </w:numPr>
              <w:rPr>
                <w:sz w:val="20"/>
              </w:rPr>
            </w:pPr>
            <w:r w:rsidRPr="00EA76F4">
              <w:rPr>
                <w:sz w:val="20"/>
              </w:rPr>
              <w:t>Develop and maintain effective working relationships and open channels of communication to provide and obtain information, and ensure effective management and implementation of expectations and standards</w:t>
            </w:r>
          </w:p>
          <w:p w14:paraId="74EB32B8" w14:textId="77777777" w:rsidR="00E05C09" w:rsidRPr="00EA76F4" w:rsidRDefault="00E05C09" w:rsidP="00E05C09">
            <w:pPr>
              <w:pStyle w:val="ListBullet"/>
              <w:numPr>
                <w:ilvl w:val="0"/>
                <w:numId w:val="16"/>
              </w:numPr>
              <w:rPr>
                <w:sz w:val="20"/>
                <w:lang w:eastAsia="en-AU"/>
              </w:rPr>
            </w:pPr>
            <w:r w:rsidRPr="00EA76F4">
              <w:rPr>
                <w:sz w:val="20"/>
              </w:rPr>
              <w:t>Engage with, consult, seek clarification and provide customer focused advice and responses to ensure the prompt resolution of issues</w:t>
            </w:r>
          </w:p>
        </w:tc>
      </w:tr>
      <w:tr w:rsidR="00E05C09" w14:paraId="1410CCAD" w14:textId="77777777" w:rsidTr="00E05C09">
        <w:trPr>
          <w:cantSplit/>
        </w:trPr>
        <w:tc>
          <w:tcPr>
            <w:tcW w:w="3601" w:type="dxa"/>
            <w:tcBorders>
              <w:top w:val="single" w:sz="8" w:space="0" w:color="auto"/>
              <w:left w:val="nil"/>
              <w:bottom w:val="single" w:sz="8" w:space="0" w:color="auto"/>
              <w:right w:val="nil"/>
            </w:tcBorders>
            <w:hideMark/>
          </w:tcPr>
          <w:p w14:paraId="3C88AEA9" w14:textId="77777777" w:rsidR="00E05C09" w:rsidRPr="00EA76F4" w:rsidRDefault="00E05C09">
            <w:pPr>
              <w:pStyle w:val="TableText"/>
            </w:pPr>
            <w:r w:rsidRPr="00EA76F4">
              <w:t>Industry professionals / consultants</w:t>
            </w:r>
          </w:p>
        </w:tc>
        <w:tc>
          <w:tcPr>
            <w:tcW w:w="6946" w:type="dxa"/>
            <w:tcBorders>
              <w:top w:val="single" w:sz="8" w:space="0" w:color="auto"/>
              <w:left w:val="nil"/>
              <w:bottom w:val="single" w:sz="8" w:space="0" w:color="auto"/>
              <w:right w:val="nil"/>
            </w:tcBorders>
            <w:hideMark/>
          </w:tcPr>
          <w:p w14:paraId="62A16FD2" w14:textId="77777777" w:rsidR="00E05C09" w:rsidRPr="00EA76F4" w:rsidRDefault="00E05C09" w:rsidP="00E05C09">
            <w:pPr>
              <w:pStyle w:val="ListBullet"/>
              <w:numPr>
                <w:ilvl w:val="0"/>
                <w:numId w:val="16"/>
              </w:numPr>
              <w:rPr>
                <w:sz w:val="20"/>
              </w:rPr>
            </w:pPr>
            <w:r w:rsidRPr="00EA76F4">
              <w:rPr>
                <w:sz w:val="20"/>
              </w:rPr>
              <w:t>Seek/maintain specialist knowledge/advice and collaborate on the implementation of organisation strategies, to keep abreast of best practice</w:t>
            </w:r>
          </w:p>
          <w:p w14:paraId="664BB0BD" w14:textId="77777777" w:rsidR="00E05C09" w:rsidRPr="00EA76F4" w:rsidRDefault="00E05C09" w:rsidP="00E05C09">
            <w:pPr>
              <w:pStyle w:val="ListBullet"/>
              <w:numPr>
                <w:ilvl w:val="0"/>
                <w:numId w:val="16"/>
              </w:numPr>
              <w:rPr>
                <w:sz w:val="20"/>
              </w:rPr>
            </w:pPr>
            <w:r w:rsidRPr="00EA76F4">
              <w:rPr>
                <w:sz w:val="20"/>
              </w:rPr>
              <w:t>Collaborate with and seek/maintain specialist knowledge/advice</w:t>
            </w:r>
          </w:p>
          <w:p w14:paraId="00C8409E" w14:textId="77777777" w:rsidR="00E05C09" w:rsidRPr="00EA76F4" w:rsidRDefault="00E05C09" w:rsidP="00E05C09">
            <w:pPr>
              <w:pStyle w:val="ListBullet"/>
              <w:numPr>
                <w:ilvl w:val="0"/>
                <w:numId w:val="16"/>
              </w:numPr>
              <w:rPr>
                <w:sz w:val="20"/>
              </w:rPr>
            </w:pPr>
            <w:r w:rsidRPr="00EA76F4">
              <w:rPr>
                <w:sz w:val="20"/>
              </w:rPr>
              <w:t>Participate in forums, groups to represent the agency and share information</w:t>
            </w:r>
          </w:p>
          <w:p w14:paraId="1D63ADD7" w14:textId="77777777" w:rsidR="00E05C09" w:rsidRPr="00EA76F4" w:rsidRDefault="00E05C09" w:rsidP="00E05C09">
            <w:pPr>
              <w:pStyle w:val="ListBullet"/>
              <w:numPr>
                <w:ilvl w:val="0"/>
                <w:numId w:val="16"/>
              </w:numPr>
              <w:rPr>
                <w:sz w:val="20"/>
                <w:lang w:eastAsia="en-AU"/>
              </w:rPr>
            </w:pPr>
            <w:r w:rsidRPr="00EA76F4">
              <w:rPr>
                <w:sz w:val="20"/>
              </w:rPr>
              <w:t>Participate in discussions regarding innovation and best practice</w:t>
            </w:r>
          </w:p>
        </w:tc>
      </w:tr>
      <w:tr w:rsidR="00E05C09" w14:paraId="1C5B2242" w14:textId="77777777" w:rsidTr="00E05C09">
        <w:trPr>
          <w:cantSplit/>
        </w:trPr>
        <w:tc>
          <w:tcPr>
            <w:tcW w:w="3601" w:type="dxa"/>
            <w:tcBorders>
              <w:top w:val="single" w:sz="8" w:space="0" w:color="auto"/>
              <w:left w:val="nil"/>
              <w:bottom w:val="single" w:sz="4" w:space="0" w:color="auto"/>
              <w:right w:val="nil"/>
            </w:tcBorders>
            <w:hideMark/>
          </w:tcPr>
          <w:p w14:paraId="6388D755" w14:textId="77777777" w:rsidR="00E05C09" w:rsidRPr="00EA76F4" w:rsidRDefault="00E05C09">
            <w:pPr>
              <w:pStyle w:val="TableText"/>
            </w:pPr>
            <w:r w:rsidRPr="00EA76F4">
              <w:t>Vendors / Service Providers</w:t>
            </w:r>
          </w:p>
        </w:tc>
        <w:tc>
          <w:tcPr>
            <w:tcW w:w="6946" w:type="dxa"/>
            <w:tcBorders>
              <w:top w:val="single" w:sz="8" w:space="0" w:color="auto"/>
              <w:left w:val="nil"/>
              <w:bottom w:val="single" w:sz="4" w:space="0" w:color="auto"/>
              <w:right w:val="nil"/>
            </w:tcBorders>
            <w:hideMark/>
          </w:tcPr>
          <w:p w14:paraId="13B9CF35" w14:textId="77777777" w:rsidR="00E05C09" w:rsidRPr="00EA76F4" w:rsidRDefault="00E05C09" w:rsidP="00E05C09">
            <w:pPr>
              <w:pStyle w:val="ListBullet"/>
              <w:numPr>
                <w:ilvl w:val="0"/>
                <w:numId w:val="16"/>
              </w:numPr>
              <w:rPr>
                <w:sz w:val="20"/>
              </w:rPr>
            </w:pPr>
            <w:r w:rsidRPr="00EA76F4">
              <w:rPr>
                <w:sz w:val="20"/>
              </w:rPr>
              <w:t>Develop and maintain effective working relationships</w:t>
            </w:r>
          </w:p>
          <w:p w14:paraId="5A4ECEA9" w14:textId="77777777" w:rsidR="00E05C09" w:rsidRPr="00EA76F4" w:rsidRDefault="00E05C09" w:rsidP="00E05C09">
            <w:pPr>
              <w:pStyle w:val="ListBullet"/>
              <w:numPr>
                <w:ilvl w:val="0"/>
                <w:numId w:val="16"/>
              </w:numPr>
              <w:rPr>
                <w:sz w:val="20"/>
              </w:rPr>
            </w:pPr>
            <w:r w:rsidRPr="00EA76F4">
              <w:rPr>
                <w:sz w:val="20"/>
              </w:rPr>
              <w:t>Monitor provision of service to ensure compliance with contracts and service arrangements</w:t>
            </w:r>
          </w:p>
        </w:tc>
      </w:tr>
    </w:tbl>
    <w:bookmarkEnd w:id="4"/>
    <w:p w14:paraId="6F3DF0ED" w14:textId="77777777" w:rsidR="00E05C09" w:rsidRDefault="00E05C09" w:rsidP="00AC17A5">
      <w:pPr>
        <w:pStyle w:val="Heading2"/>
        <w:spacing w:before="120"/>
      </w:pPr>
      <w:r>
        <w:t>Role dimensions</w:t>
      </w:r>
    </w:p>
    <w:p w14:paraId="3650A1B8" w14:textId="77777777" w:rsidR="00E05C09" w:rsidRDefault="00E05C09" w:rsidP="00E05C09">
      <w:pPr>
        <w:pStyle w:val="Heading3"/>
      </w:pPr>
      <w:r>
        <w:t>Decision making</w:t>
      </w:r>
    </w:p>
    <w:p w14:paraId="4E58DFCB" w14:textId="77777777" w:rsidR="00E05C09" w:rsidRDefault="00E05C09" w:rsidP="00E05C09">
      <w:pPr>
        <w:pStyle w:val="ListParagraph"/>
        <w:numPr>
          <w:ilvl w:val="0"/>
          <w:numId w:val="17"/>
        </w:numPr>
      </w:pPr>
      <w:r>
        <w:t>This role has autonomy and makes decisions that are under their direct control as directed by their Manager. It refers decisions that require significant change to program outcomes or timeframes or are likely to escalate or require submission to a higher level of management to their manager.</w:t>
      </w:r>
    </w:p>
    <w:p w14:paraId="428E4151" w14:textId="77777777" w:rsidR="00E05C09" w:rsidRDefault="00E05C09" w:rsidP="00E05C09">
      <w:pPr>
        <w:pStyle w:val="ListParagraph"/>
        <w:numPr>
          <w:ilvl w:val="0"/>
          <w:numId w:val="17"/>
        </w:numPr>
      </w:pPr>
      <w:r>
        <w:t>This role is fully accountable for the delivery of work assignments on time and to expectations in terms of quality, deliverables and outcomes.</w:t>
      </w:r>
    </w:p>
    <w:p w14:paraId="666CA0B5" w14:textId="77777777" w:rsidR="00E05C09" w:rsidRDefault="00E05C09" w:rsidP="00E05C09">
      <w:pPr>
        <w:pStyle w:val="ListParagraph"/>
        <w:numPr>
          <w:ilvl w:val="0"/>
          <w:numId w:val="17"/>
        </w:numPr>
      </w:pPr>
      <w:r>
        <w:t>This role submits reports, business cases and other forms of written advice with minimal input from the manager.</w:t>
      </w:r>
    </w:p>
    <w:p w14:paraId="1BC8EC49" w14:textId="77777777" w:rsidR="001D133A" w:rsidRDefault="001D133A" w:rsidP="000C453F">
      <w:pPr>
        <w:pStyle w:val="Heading3"/>
      </w:pPr>
      <w:r w:rsidRPr="00C978B9">
        <w:t>Reporting line</w:t>
      </w:r>
    </w:p>
    <w:p w14:paraId="061D6DC9" w14:textId="1E84DBBF" w:rsidR="00E91D2A" w:rsidRDefault="00A55204" w:rsidP="001D133A">
      <w:r>
        <w:t>Manager</w:t>
      </w:r>
      <w:r w:rsidR="00DF2477">
        <w:t>,</w:t>
      </w:r>
      <w:r>
        <w:t xml:space="preserve"> Security </w:t>
      </w:r>
      <w:r w:rsidR="00DF2477" w:rsidRPr="00DF2477">
        <w:t>Resilience</w:t>
      </w:r>
    </w:p>
    <w:p w14:paraId="32097384" w14:textId="77777777" w:rsidR="001D133A" w:rsidRDefault="001D133A" w:rsidP="000C453F">
      <w:pPr>
        <w:pStyle w:val="Heading3"/>
      </w:pPr>
      <w:r w:rsidRPr="00C978B9">
        <w:t>Direct reports</w:t>
      </w:r>
    </w:p>
    <w:p w14:paraId="2FA14AF9" w14:textId="77777777" w:rsidR="001D133A" w:rsidRPr="00C978B9" w:rsidRDefault="00A55204" w:rsidP="001D133A">
      <w:r>
        <w:t>Nil</w:t>
      </w:r>
    </w:p>
    <w:p w14:paraId="59C5F8E3" w14:textId="77777777" w:rsidR="001D133A" w:rsidRDefault="001D133A" w:rsidP="000C453F">
      <w:pPr>
        <w:pStyle w:val="Heading3"/>
      </w:pPr>
      <w:r w:rsidRPr="00C978B9">
        <w:t>Budget/Expenditure</w:t>
      </w:r>
    </w:p>
    <w:p w14:paraId="1AEA12C7" w14:textId="77777777" w:rsidR="005505E4" w:rsidRDefault="00A55204" w:rsidP="005505E4">
      <w:r>
        <w:t>TBA</w:t>
      </w:r>
    </w:p>
    <w:p w14:paraId="20DF2EDE" w14:textId="77777777" w:rsidR="00911D8D" w:rsidRPr="000C453F" w:rsidRDefault="00911D8D" w:rsidP="00AC17A5">
      <w:pPr>
        <w:pStyle w:val="Heading2"/>
        <w:spacing w:before="240"/>
        <w:rPr>
          <w:rStyle w:val="Heading1Char"/>
          <w:b/>
          <w:bCs/>
          <w:kern w:val="0"/>
          <w:sz w:val="26"/>
          <w:szCs w:val="28"/>
        </w:rPr>
      </w:pPr>
      <w:bookmarkStart w:id="5" w:name="_Hlk40707470"/>
      <w:r w:rsidRPr="000C453F">
        <w:rPr>
          <w:rStyle w:val="Heading1Char"/>
          <w:b/>
          <w:bCs/>
          <w:kern w:val="0"/>
          <w:sz w:val="26"/>
          <w:szCs w:val="28"/>
        </w:rPr>
        <w:t>Key knowledge and experience</w:t>
      </w:r>
    </w:p>
    <w:p w14:paraId="3FECF94E" w14:textId="77777777" w:rsidR="00837A74" w:rsidRPr="00213C10" w:rsidRDefault="00837A74" w:rsidP="00837A74">
      <w:pPr>
        <w:pStyle w:val="ListParagraph"/>
        <w:numPr>
          <w:ilvl w:val="0"/>
          <w:numId w:val="19"/>
        </w:numPr>
        <w:spacing w:after="160" w:line="259" w:lineRule="auto"/>
        <w:rPr>
          <w:rFonts w:cs="Arial"/>
        </w:rPr>
      </w:pPr>
      <w:r w:rsidRPr="00213C10">
        <w:rPr>
          <w:rFonts w:cs="Arial"/>
        </w:rPr>
        <w:t xml:space="preserve">Demonstrated experience in security </w:t>
      </w:r>
      <w:r>
        <w:rPr>
          <w:rFonts w:cs="Arial"/>
        </w:rPr>
        <w:t>disaster recovery (DR) and business continuity (BCP)</w:t>
      </w:r>
      <w:r w:rsidRPr="00213C10">
        <w:rPr>
          <w:rFonts w:cs="Arial"/>
        </w:rPr>
        <w:t xml:space="preserve"> processes and procedures with real-world application</w:t>
      </w:r>
    </w:p>
    <w:p w14:paraId="01250C37" w14:textId="77777777" w:rsidR="00837A74" w:rsidRPr="00213C10" w:rsidRDefault="00837A74" w:rsidP="00837A74">
      <w:pPr>
        <w:pStyle w:val="ListParagraph"/>
        <w:numPr>
          <w:ilvl w:val="0"/>
          <w:numId w:val="19"/>
        </w:numPr>
        <w:spacing w:after="160" w:line="259" w:lineRule="auto"/>
        <w:rPr>
          <w:rFonts w:cs="Arial"/>
        </w:rPr>
      </w:pPr>
      <w:r w:rsidRPr="00213C10">
        <w:rPr>
          <w:rFonts w:cs="Arial"/>
        </w:rPr>
        <w:t xml:space="preserve">Knowledge of cloud service models and how those models can </w:t>
      </w:r>
      <w:r>
        <w:rPr>
          <w:rFonts w:cs="Arial"/>
        </w:rPr>
        <w:t>impact technology DR and BCP</w:t>
      </w:r>
      <w:r w:rsidRPr="00213C10">
        <w:rPr>
          <w:rFonts w:cs="Arial"/>
        </w:rPr>
        <w:t xml:space="preserve"> response</w:t>
      </w:r>
    </w:p>
    <w:p w14:paraId="43B4192F" w14:textId="77777777" w:rsidR="00837A74" w:rsidRDefault="00837A74" w:rsidP="00837A74">
      <w:pPr>
        <w:pStyle w:val="ListParagraph"/>
        <w:numPr>
          <w:ilvl w:val="0"/>
          <w:numId w:val="19"/>
        </w:numPr>
        <w:spacing w:after="160" w:line="259" w:lineRule="auto"/>
        <w:rPr>
          <w:rFonts w:cs="Arial"/>
        </w:rPr>
      </w:pPr>
      <w:r w:rsidRPr="00213C10">
        <w:rPr>
          <w:rFonts w:cs="Arial"/>
        </w:rPr>
        <w:t xml:space="preserve">Strong understanding of business continuity frameworks such as ISO 22301 and their effective implementation in complex organisations </w:t>
      </w:r>
    </w:p>
    <w:p w14:paraId="3389C596" w14:textId="77777777" w:rsidR="00EC454E" w:rsidRPr="00213C10" w:rsidRDefault="00EC454E" w:rsidP="00EC454E">
      <w:pPr>
        <w:pStyle w:val="ListParagraph"/>
        <w:numPr>
          <w:ilvl w:val="0"/>
          <w:numId w:val="19"/>
        </w:numPr>
        <w:autoSpaceDE w:val="0"/>
        <w:autoSpaceDN w:val="0"/>
        <w:adjustRightInd w:val="0"/>
        <w:spacing w:after="0"/>
        <w:rPr>
          <w:rFonts w:cs="Arial"/>
          <w:color w:val="000000"/>
          <w:szCs w:val="22"/>
        </w:rPr>
      </w:pPr>
      <w:r w:rsidRPr="00213C10">
        <w:rPr>
          <w:rFonts w:cs="Arial"/>
          <w:color w:val="000000"/>
          <w:szCs w:val="22"/>
        </w:rPr>
        <w:t xml:space="preserve">Demonstrated knowledge and experience in </w:t>
      </w:r>
      <w:r>
        <w:rPr>
          <w:rFonts w:cs="Arial"/>
          <w:color w:val="000000"/>
          <w:szCs w:val="22"/>
        </w:rPr>
        <w:t xml:space="preserve">technology </w:t>
      </w:r>
      <w:r w:rsidRPr="00213C10">
        <w:rPr>
          <w:rFonts w:cs="Arial"/>
          <w:color w:val="000000"/>
          <w:szCs w:val="22"/>
        </w:rPr>
        <w:t xml:space="preserve">crisis and emergency management, and the ICT operations recovery and resiliency needs of complex organisations. </w:t>
      </w:r>
    </w:p>
    <w:p w14:paraId="4681348A" w14:textId="5BCE9C05" w:rsidR="00EC454E" w:rsidRPr="00C710A1" w:rsidRDefault="00EC454E" w:rsidP="00C710A1">
      <w:pPr>
        <w:pStyle w:val="ListParagraph"/>
        <w:numPr>
          <w:ilvl w:val="0"/>
          <w:numId w:val="19"/>
        </w:numPr>
        <w:autoSpaceDE w:val="0"/>
        <w:autoSpaceDN w:val="0"/>
        <w:adjustRightInd w:val="0"/>
        <w:spacing w:after="0"/>
        <w:rPr>
          <w:rFonts w:cs="Arial"/>
          <w:color w:val="000000"/>
          <w:szCs w:val="22"/>
        </w:rPr>
      </w:pPr>
      <w:r w:rsidRPr="00213C10">
        <w:rPr>
          <w:rFonts w:cs="Arial"/>
          <w:color w:val="000000"/>
          <w:szCs w:val="22"/>
        </w:rPr>
        <w:t xml:space="preserve">Strong understanding of the information security, risk management, governance, business continuity management and business resiliency issues and threats impacting a complex organisation </w:t>
      </w:r>
    </w:p>
    <w:bookmarkEnd w:id="5"/>
    <w:p w14:paraId="361EB08F" w14:textId="77777777" w:rsidR="001D133A" w:rsidRDefault="001D133A" w:rsidP="000C453F">
      <w:pPr>
        <w:pStyle w:val="Heading2"/>
      </w:pPr>
      <w:r w:rsidRPr="00C978B9">
        <w:lastRenderedPageBreak/>
        <w:t>Essential requir</w:t>
      </w:r>
      <w:r w:rsidR="00E31CD3" w:rsidRPr="00C978B9">
        <w:t>e</w:t>
      </w:r>
      <w:r w:rsidRPr="00C978B9">
        <w:t>ments</w:t>
      </w:r>
    </w:p>
    <w:p w14:paraId="448C624B" w14:textId="77777777" w:rsidR="00837A74" w:rsidRPr="00213C10" w:rsidRDefault="00837A74" w:rsidP="00837A74">
      <w:pPr>
        <w:pStyle w:val="ListParagraph"/>
        <w:numPr>
          <w:ilvl w:val="0"/>
          <w:numId w:val="19"/>
        </w:numPr>
        <w:autoSpaceDE w:val="0"/>
        <w:autoSpaceDN w:val="0"/>
        <w:adjustRightInd w:val="0"/>
        <w:spacing w:after="0"/>
        <w:rPr>
          <w:rFonts w:cs="Arial"/>
          <w:color w:val="000000"/>
          <w:szCs w:val="22"/>
        </w:rPr>
      </w:pPr>
      <w:r w:rsidRPr="00213C10">
        <w:rPr>
          <w:rFonts w:cs="Arial"/>
          <w:color w:val="000000"/>
          <w:szCs w:val="22"/>
        </w:rPr>
        <w:t>Relevant tertiary qualification and/or significant relevant industry experience and professional security certifications/accreditations</w:t>
      </w:r>
    </w:p>
    <w:p w14:paraId="35148B6D" w14:textId="77777777" w:rsidR="004A6E47" w:rsidRDefault="004A6E47" w:rsidP="004A6E47">
      <w:pPr>
        <w:pStyle w:val="Heading2"/>
      </w:pPr>
      <w:r w:rsidRPr="00E33340">
        <w:t>Cyber Security</w:t>
      </w:r>
    </w:p>
    <w:p w14:paraId="663B9113" w14:textId="55CB41FB" w:rsidR="004A6E47" w:rsidRDefault="004A6E47" w:rsidP="004A6E47">
      <w:pPr>
        <w:pStyle w:val="ListBullet"/>
        <w:numPr>
          <w:ilvl w:val="0"/>
          <w:numId w:val="0"/>
        </w:numPr>
      </w:pPr>
      <w:r>
        <w:t>Cyber security forms an integral part of every employee’s role description and responsibilities. Individuals such as those with privileged access, application developers, risk owners, and system and application owners have additional responsibilities in securing the Department’s digital resources. As part of your role, you will be expected to undertake cyber security related activities to help contribute to the Department’s overall security posture.</w:t>
      </w:r>
    </w:p>
    <w:p w14:paraId="000396A8" w14:textId="77777777" w:rsidR="009E0B71" w:rsidRPr="00C978B9" w:rsidRDefault="009E0B71" w:rsidP="000C453F">
      <w:pPr>
        <w:pStyle w:val="Heading2"/>
      </w:pPr>
      <w:bookmarkStart w:id="6" w:name="_Hlk36203683"/>
      <w:bookmarkStart w:id="7" w:name="_Hlk36565316"/>
      <w:bookmarkStart w:id="8" w:name="_Hlk36209343"/>
      <w:bookmarkStart w:id="9" w:name="_Hlk36710441"/>
      <w:bookmarkStart w:id="10" w:name="_Hlk36722467"/>
      <w:bookmarkStart w:id="11" w:name="_Hlk40182787"/>
      <w:bookmarkStart w:id="12" w:name="_Hlk17375576"/>
      <w:bookmarkStart w:id="13" w:name="_Hlk36397202"/>
      <w:r w:rsidRPr="00C978B9">
        <w:t>Capabilities for the role</w:t>
      </w:r>
    </w:p>
    <w:p w14:paraId="24B76D6B" w14:textId="77777777" w:rsidR="009E0B71" w:rsidRPr="00175AAF" w:rsidRDefault="009E0B71" w:rsidP="009E0B71">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2BED792A" w14:textId="77777777" w:rsidR="003E0111" w:rsidRPr="003C7A36" w:rsidRDefault="009E0B71" w:rsidP="00E97E4E">
      <w:r w:rsidRPr="003E0111">
        <w:t>The capabilities are separated into focus capabilities and complementary capabilities</w:t>
      </w:r>
    </w:p>
    <w:p w14:paraId="504E1902" w14:textId="77777777" w:rsidR="009E0B71" w:rsidRPr="00C978B9" w:rsidRDefault="009E0B71" w:rsidP="000C453F">
      <w:pPr>
        <w:pStyle w:val="Heading2"/>
      </w:pPr>
      <w:r w:rsidRPr="00C978B9">
        <w:t xml:space="preserve">Focus </w:t>
      </w:r>
      <w:r>
        <w:t>c</w:t>
      </w:r>
      <w:r w:rsidRPr="00C978B9">
        <w:t>apabilities</w:t>
      </w:r>
      <w:r w:rsidR="00AC56D6">
        <w:tab/>
      </w:r>
    </w:p>
    <w:p w14:paraId="5F2254A1"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4315800D" w14:textId="0383AEC8"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E05C09" w14:paraId="26C98116" w14:textId="77777777" w:rsidTr="00E05C09">
        <w:trPr>
          <w:cnfStyle w:val="100000000000" w:firstRow="1" w:lastRow="0" w:firstColumn="0" w:lastColumn="0" w:oddVBand="0" w:evenVBand="0" w:oddHBand="0" w:evenHBand="0" w:firstRowFirstColumn="0" w:firstRowLastColumn="0" w:lastRowFirstColumn="0" w:lastRowLastColumn="0"/>
          <w:tblHeader/>
        </w:trPr>
        <w:tc>
          <w:tcPr>
            <w:tcW w:w="1385" w:type="dxa"/>
            <w:tcBorders>
              <w:top w:val="single" w:sz="4" w:space="0" w:color="auto"/>
              <w:left w:val="nil"/>
              <w:bottom w:val="single" w:sz="4" w:space="0" w:color="auto"/>
              <w:right w:val="nil"/>
            </w:tcBorders>
            <w:shd w:val="clear" w:color="auto" w:fill="BFBFBF" w:themeFill="background1" w:themeFillShade="BF"/>
            <w:vAlign w:val="center"/>
            <w:hideMark/>
          </w:tcPr>
          <w:p w14:paraId="3DCBD2E2" w14:textId="77777777" w:rsidR="00E05C09" w:rsidRDefault="00E05C09">
            <w:pPr>
              <w:rPr>
                <w:sz w:val="20"/>
              </w:rPr>
            </w:pPr>
            <w:r>
              <w:rPr>
                <w:b/>
                <w:sz w:val="20"/>
              </w:rPr>
              <w:t>Capability group/sets</w:t>
            </w:r>
          </w:p>
        </w:tc>
        <w:tc>
          <w:tcPr>
            <w:tcW w:w="2726" w:type="dxa"/>
            <w:tcBorders>
              <w:top w:val="single" w:sz="4" w:space="0" w:color="auto"/>
              <w:left w:val="nil"/>
              <w:bottom w:val="single" w:sz="4" w:space="0" w:color="auto"/>
              <w:right w:val="nil"/>
            </w:tcBorders>
            <w:shd w:val="clear" w:color="auto" w:fill="BFBFBF" w:themeFill="background1" w:themeFillShade="BF"/>
            <w:hideMark/>
          </w:tcPr>
          <w:p w14:paraId="4F65EBB0" w14:textId="77777777" w:rsidR="00E05C09" w:rsidRDefault="00E05C09">
            <w:pPr>
              <w:rPr>
                <w:sz w:val="20"/>
              </w:rPr>
            </w:pPr>
            <w:r>
              <w:rPr>
                <w:b/>
                <w:sz w:val="20"/>
              </w:rPr>
              <w:t>Capability name</w:t>
            </w:r>
          </w:p>
        </w:tc>
        <w:tc>
          <w:tcPr>
            <w:tcW w:w="4709" w:type="dxa"/>
            <w:tcBorders>
              <w:top w:val="single" w:sz="4" w:space="0" w:color="auto"/>
              <w:left w:val="nil"/>
              <w:bottom w:val="single" w:sz="4" w:space="0" w:color="auto"/>
              <w:right w:val="nil"/>
            </w:tcBorders>
            <w:shd w:val="clear" w:color="auto" w:fill="BFBFBF" w:themeFill="background1" w:themeFillShade="BF"/>
            <w:hideMark/>
          </w:tcPr>
          <w:p w14:paraId="140F92A3" w14:textId="77777777" w:rsidR="00E05C09" w:rsidRDefault="00E05C09">
            <w:pPr>
              <w:rPr>
                <w:sz w:val="20"/>
              </w:rPr>
            </w:pPr>
            <w:r>
              <w:rPr>
                <w:b/>
                <w:sz w:val="20"/>
              </w:rPr>
              <w:t>Behavioural indicators</w:t>
            </w:r>
          </w:p>
        </w:tc>
        <w:tc>
          <w:tcPr>
            <w:tcW w:w="1668" w:type="dxa"/>
            <w:tcBorders>
              <w:top w:val="single" w:sz="4" w:space="0" w:color="auto"/>
              <w:left w:val="nil"/>
              <w:bottom w:val="single" w:sz="4" w:space="0" w:color="auto"/>
              <w:right w:val="nil"/>
            </w:tcBorders>
            <w:shd w:val="clear" w:color="auto" w:fill="BFBFBF" w:themeFill="background1" w:themeFillShade="BF"/>
            <w:hideMark/>
          </w:tcPr>
          <w:p w14:paraId="34792692" w14:textId="77777777" w:rsidR="00E05C09" w:rsidRDefault="00E05C09">
            <w:pPr>
              <w:rPr>
                <w:b/>
                <w:bCs/>
                <w:sz w:val="20"/>
              </w:rPr>
            </w:pPr>
            <w:r>
              <w:rPr>
                <w:b/>
                <w:bCs/>
                <w:sz w:val="20"/>
              </w:rPr>
              <w:t>Level</w:t>
            </w:r>
          </w:p>
        </w:tc>
      </w:tr>
      <w:tr w:rsidR="00E05C09" w14:paraId="0FA535E1" w14:textId="77777777" w:rsidTr="00E05C09">
        <w:trPr>
          <w:cantSplit/>
        </w:trPr>
        <w:tc>
          <w:tcPr>
            <w:tcW w:w="1385" w:type="dxa"/>
            <w:tcBorders>
              <w:top w:val="single" w:sz="4" w:space="0" w:color="auto"/>
              <w:left w:val="nil"/>
              <w:bottom w:val="single" w:sz="4" w:space="0" w:color="auto"/>
              <w:right w:val="nil"/>
            </w:tcBorders>
            <w:hideMark/>
          </w:tcPr>
          <w:p w14:paraId="1B69FEDD" w14:textId="03BD3862" w:rsidR="00E05C09" w:rsidRDefault="00E05C09">
            <w:pPr>
              <w:jc w:val="center"/>
              <w:rPr>
                <w:noProof/>
                <w:sz w:val="20"/>
                <w:lang w:eastAsia="en-AU"/>
              </w:rPr>
            </w:pPr>
            <w:r>
              <w:rPr>
                <w:noProof/>
                <w:sz w:val="20"/>
                <w:lang w:eastAsia="en-AU"/>
              </w:rPr>
              <w:drawing>
                <wp:inline distT="0" distB="0" distL="0" distR="0" wp14:anchorId="2FBE8CC5" wp14:editId="58B06FC8">
                  <wp:extent cx="752475" cy="752475"/>
                  <wp:effectExtent l="0" t="0" r="9525" b="9525"/>
                  <wp:docPr id="9" name="Picture 9"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sonal-attribu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2726" w:type="dxa"/>
            <w:tcBorders>
              <w:top w:val="single" w:sz="4" w:space="0" w:color="auto"/>
              <w:left w:val="nil"/>
              <w:bottom w:val="single" w:sz="4" w:space="0" w:color="auto"/>
              <w:right w:val="nil"/>
            </w:tcBorders>
            <w:hideMark/>
          </w:tcPr>
          <w:p w14:paraId="4C631DE8" w14:textId="77777777" w:rsidR="00E05C09" w:rsidRDefault="00E05C09">
            <w:pPr>
              <w:rPr>
                <w:rFonts w:cs="Arial"/>
                <w:color w:val="000000"/>
                <w:sz w:val="20"/>
              </w:rPr>
            </w:pPr>
            <w:r>
              <w:rPr>
                <w:rFonts w:cs="Arial"/>
                <w:b/>
                <w:bCs/>
                <w:color w:val="000000"/>
                <w:sz w:val="20"/>
              </w:rPr>
              <w:t>Manage Self</w:t>
            </w:r>
          </w:p>
          <w:p w14:paraId="117F1AE9" w14:textId="77777777" w:rsidR="00E05C09" w:rsidRDefault="00E05C09">
            <w:pPr>
              <w:rPr>
                <w:rFonts w:cs="Arial"/>
                <w:color w:val="000000"/>
                <w:sz w:val="20"/>
              </w:rPr>
            </w:pPr>
            <w:r>
              <w:rPr>
                <w:rFonts w:cs="Arial"/>
                <w:color w:val="000000"/>
                <w:sz w:val="20"/>
              </w:rPr>
              <w:t>Show drive and motivation, an ability to self-reflect and a commitment to learning</w:t>
            </w:r>
          </w:p>
        </w:tc>
        <w:tc>
          <w:tcPr>
            <w:tcW w:w="4709" w:type="dxa"/>
            <w:tcBorders>
              <w:top w:val="single" w:sz="4" w:space="0" w:color="auto"/>
              <w:left w:val="nil"/>
              <w:bottom w:val="single" w:sz="4" w:space="0" w:color="auto"/>
              <w:right w:val="nil"/>
            </w:tcBorders>
            <w:hideMark/>
          </w:tcPr>
          <w:p w14:paraId="54381703" w14:textId="77777777" w:rsidR="00E05C09" w:rsidRDefault="00E05C09" w:rsidP="00E05C09">
            <w:pPr>
              <w:pStyle w:val="TableBullet"/>
              <w:numPr>
                <w:ilvl w:val="0"/>
                <w:numId w:val="15"/>
              </w:numPr>
            </w:pPr>
            <w:r>
              <w:t>Keep up to date with relevant contemporary knowledge and practices</w:t>
            </w:r>
          </w:p>
          <w:p w14:paraId="06D7BB0A" w14:textId="77777777" w:rsidR="00E05C09" w:rsidRDefault="00E05C09" w:rsidP="00E05C09">
            <w:pPr>
              <w:pStyle w:val="TableBullet"/>
              <w:numPr>
                <w:ilvl w:val="0"/>
                <w:numId w:val="15"/>
              </w:numPr>
            </w:pPr>
            <w:r>
              <w:t>Look for and take advantage of opportunities to learn new skills and develop strengths</w:t>
            </w:r>
          </w:p>
          <w:p w14:paraId="1D2F2628" w14:textId="77777777" w:rsidR="00E05C09" w:rsidRDefault="00E05C09" w:rsidP="00E05C09">
            <w:pPr>
              <w:pStyle w:val="TableBullet"/>
              <w:numPr>
                <w:ilvl w:val="0"/>
                <w:numId w:val="15"/>
              </w:numPr>
            </w:pPr>
            <w:r>
              <w:t>Show commitment to achieving challenging goals</w:t>
            </w:r>
          </w:p>
          <w:p w14:paraId="34D796DC" w14:textId="77777777" w:rsidR="00E05C09" w:rsidRDefault="00E05C09" w:rsidP="00E05C09">
            <w:pPr>
              <w:pStyle w:val="TableBullet"/>
              <w:numPr>
                <w:ilvl w:val="0"/>
                <w:numId w:val="15"/>
              </w:numPr>
            </w:pPr>
            <w:r>
              <w:t>Examine and reflect on own performance</w:t>
            </w:r>
          </w:p>
          <w:p w14:paraId="4DC356F4" w14:textId="77777777" w:rsidR="00E05C09" w:rsidRDefault="00E05C09" w:rsidP="00E05C09">
            <w:pPr>
              <w:pStyle w:val="TableBullet"/>
              <w:numPr>
                <w:ilvl w:val="0"/>
                <w:numId w:val="15"/>
              </w:numPr>
            </w:pPr>
            <w:r>
              <w:t>Seek and respond positively to constructive feedback and guidance</w:t>
            </w:r>
          </w:p>
          <w:p w14:paraId="59EBB118" w14:textId="77777777" w:rsidR="00E05C09" w:rsidRDefault="00E05C09" w:rsidP="00E05C09">
            <w:pPr>
              <w:pStyle w:val="TableBullet"/>
              <w:numPr>
                <w:ilvl w:val="0"/>
                <w:numId w:val="15"/>
              </w:numPr>
            </w:pPr>
            <w:r>
              <w:t>Demonstrate and maintain a high level of personal motivation</w:t>
            </w:r>
          </w:p>
        </w:tc>
        <w:tc>
          <w:tcPr>
            <w:tcW w:w="1668" w:type="dxa"/>
            <w:tcBorders>
              <w:top w:val="single" w:sz="4" w:space="0" w:color="auto"/>
              <w:left w:val="nil"/>
              <w:bottom w:val="single" w:sz="4" w:space="0" w:color="auto"/>
              <w:right w:val="nil"/>
            </w:tcBorders>
            <w:hideMark/>
          </w:tcPr>
          <w:p w14:paraId="41F5D97C" w14:textId="77777777" w:rsidR="00E05C09" w:rsidRDefault="00E05C09">
            <w:pPr>
              <w:pStyle w:val="TableText"/>
            </w:pPr>
            <w:r>
              <w:t>Adept</w:t>
            </w:r>
          </w:p>
        </w:tc>
      </w:tr>
      <w:tr w:rsidR="00E05C09" w14:paraId="02263156" w14:textId="77777777" w:rsidTr="00E05C09">
        <w:trPr>
          <w:cantSplit/>
        </w:trPr>
        <w:tc>
          <w:tcPr>
            <w:tcW w:w="1385" w:type="dxa"/>
            <w:tcBorders>
              <w:top w:val="single" w:sz="4" w:space="0" w:color="auto"/>
              <w:left w:val="nil"/>
              <w:bottom w:val="single" w:sz="4" w:space="0" w:color="auto"/>
              <w:right w:val="nil"/>
            </w:tcBorders>
            <w:hideMark/>
          </w:tcPr>
          <w:p w14:paraId="5010A552" w14:textId="15EE3094" w:rsidR="00E05C09" w:rsidRDefault="00E05C09">
            <w:pPr>
              <w:jc w:val="center"/>
              <w:rPr>
                <w:noProof/>
                <w:sz w:val="20"/>
                <w:lang w:eastAsia="en-AU"/>
              </w:rPr>
            </w:pPr>
            <w:r>
              <w:rPr>
                <w:noProof/>
                <w:sz w:val="20"/>
                <w:lang w:eastAsia="en-AU"/>
              </w:rPr>
              <w:lastRenderedPageBreak/>
              <w:drawing>
                <wp:inline distT="0" distB="0" distL="0" distR="0" wp14:anchorId="3C2B3077" wp14:editId="77D08794">
                  <wp:extent cx="752475" cy="752475"/>
                  <wp:effectExtent l="0" t="0" r="9525" b="9525"/>
                  <wp:docPr id="8" name="Picture 8"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ionshi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2726" w:type="dxa"/>
            <w:tcBorders>
              <w:top w:val="single" w:sz="4" w:space="0" w:color="auto"/>
              <w:left w:val="nil"/>
              <w:bottom w:val="single" w:sz="4" w:space="0" w:color="auto"/>
              <w:right w:val="nil"/>
            </w:tcBorders>
            <w:hideMark/>
          </w:tcPr>
          <w:p w14:paraId="29A3178D" w14:textId="77777777" w:rsidR="00E05C09" w:rsidRDefault="00E05C09">
            <w:pPr>
              <w:rPr>
                <w:rFonts w:cs="Arial"/>
                <w:color w:val="000000"/>
                <w:sz w:val="20"/>
              </w:rPr>
            </w:pPr>
            <w:r>
              <w:rPr>
                <w:rFonts w:cs="Arial"/>
                <w:b/>
                <w:bCs/>
                <w:color w:val="000000"/>
                <w:sz w:val="20"/>
              </w:rPr>
              <w:t>Communicate Effectively</w:t>
            </w:r>
          </w:p>
          <w:p w14:paraId="70CB511D" w14:textId="77777777" w:rsidR="00E05C09" w:rsidRDefault="00E05C09">
            <w:pPr>
              <w:rPr>
                <w:rFonts w:cs="Arial"/>
                <w:color w:val="000000"/>
                <w:sz w:val="20"/>
              </w:rPr>
            </w:pPr>
            <w:r>
              <w:rPr>
                <w:rFonts w:cs="Arial"/>
                <w:color w:val="000000"/>
                <w:sz w:val="20"/>
              </w:rPr>
              <w:t>Communicate clearly, actively listen to others, and respond with understanding and respect</w:t>
            </w:r>
          </w:p>
        </w:tc>
        <w:tc>
          <w:tcPr>
            <w:tcW w:w="4709" w:type="dxa"/>
            <w:tcBorders>
              <w:top w:val="single" w:sz="4" w:space="0" w:color="auto"/>
              <w:left w:val="nil"/>
              <w:bottom w:val="single" w:sz="4" w:space="0" w:color="auto"/>
              <w:right w:val="nil"/>
            </w:tcBorders>
            <w:hideMark/>
          </w:tcPr>
          <w:p w14:paraId="42F3BE05" w14:textId="77777777" w:rsidR="00E05C09" w:rsidRDefault="00E05C09" w:rsidP="00E05C09">
            <w:pPr>
              <w:pStyle w:val="TableBullet"/>
              <w:numPr>
                <w:ilvl w:val="0"/>
                <w:numId w:val="15"/>
              </w:numPr>
            </w:pPr>
            <w:r>
              <w:t>Tailor communication to diverse audiences</w:t>
            </w:r>
          </w:p>
          <w:p w14:paraId="1BCDA2A8" w14:textId="77777777" w:rsidR="00E05C09" w:rsidRDefault="00E05C09" w:rsidP="00E05C09">
            <w:pPr>
              <w:pStyle w:val="TableBullet"/>
              <w:numPr>
                <w:ilvl w:val="0"/>
                <w:numId w:val="15"/>
              </w:numPr>
            </w:pPr>
            <w:r>
              <w:t>Clearly explain complex concepts and arguments to individuals and groups</w:t>
            </w:r>
          </w:p>
          <w:p w14:paraId="3AE5BC88" w14:textId="77777777" w:rsidR="00E05C09" w:rsidRDefault="00E05C09" w:rsidP="00E05C09">
            <w:pPr>
              <w:pStyle w:val="TableBullet"/>
              <w:numPr>
                <w:ilvl w:val="0"/>
                <w:numId w:val="15"/>
              </w:numPr>
            </w:pPr>
            <w:r>
              <w:t>Create opportunities for others to be heard, listen attentively and encourage them to express their views</w:t>
            </w:r>
          </w:p>
          <w:p w14:paraId="1A7E7B69" w14:textId="77777777" w:rsidR="00E05C09" w:rsidRDefault="00E05C09" w:rsidP="00E05C09">
            <w:pPr>
              <w:pStyle w:val="TableBullet"/>
              <w:numPr>
                <w:ilvl w:val="0"/>
                <w:numId w:val="15"/>
              </w:numPr>
            </w:pPr>
            <w:r>
              <w:t>Share information across teams and units to enable informed decision making</w:t>
            </w:r>
          </w:p>
          <w:p w14:paraId="015121FF" w14:textId="77777777" w:rsidR="00E05C09" w:rsidRDefault="00E05C09" w:rsidP="00E05C09">
            <w:pPr>
              <w:pStyle w:val="TableBullet"/>
              <w:numPr>
                <w:ilvl w:val="0"/>
                <w:numId w:val="15"/>
              </w:numPr>
            </w:pPr>
            <w:r>
              <w:t>Write fluently in plain English and in a range of styles and formats</w:t>
            </w:r>
          </w:p>
          <w:p w14:paraId="2091E59E" w14:textId="77777777" w:rsidR="00E05C09" w:rsidRDefault="00E05C09" w:rsidP="00E05C09">
            <w:pPr>
              <w:pStyle w:val="TableBullet"/>
              <w:numPr>
                <w:ilvl w:val="0"/>
                <w:numId w:val="15"/>
              </w:numPr>
            </w:pPr>
            <w:r>
              <w:t>Use contemporary communication channels to share information, engage and interact with diverse audiences</w:t>
            </w:r>
          </w:p>
        </w:tc>
        <w:tc>
          <w:tcPr>
            <w:tcW w:w="1668" w:type="dxa"/>
            <w:tcBorders>
              <w:top w:val="single" w:sz="4" w:space="0" w:color="auto"/>
              <w:left w:val="nil"/>
              <w:bottom w:val="single" w:sz="4" w:space="0" w:color="auto"/>
              <w:right w:val="nil"/>
            </w:tcBorders>
            <w:hideMark/>
          </w:tcPr>
          <w:p w14:paraId="182297CC" w14:textId="77777777" w:rsidR="00E05C09" w:rsidRDefault="00E05C09">
            <w:pPr>
              <w:pStyle w:val="TableText"/>
            </w:pPr>
            <w:r>
              <w:t>Adept</w:t>
            </w:r>
          </w:p>
        </w:tc>
      </w:tr>
      <w:tr w:rsidR="00E05C09" w14:paraId="251CA1BC" w14:textId="77777777" w:rsidTr="00E05C09">
        <w:trPr>
          <w:cantSplit/>
        </w:trPr>
        <w:tc>
          <w:tcPr>
            <w:tcW w:w="1385" w:type="dxa"/>
            <w:tcBorders>
              <w:top w:val="single" w:sz="4" w:space="0" w:color="auto"/>
              <w:left w:val="nil"/>
              <w:bottom w:val="single" w:sz="4" w:space="0" w:color="auto"/>
              <w:right w:val="nil"/>
            </w:tcBorders>
            <w:hideMark/>
          </w:tcPr>
          <w:p w14:paraId="0E3F5F43" w14:textId="0A115E56" w:rsidR="00E05C09" w:rsidRDefault="00E05C09">
            <w:pPr>
              <w:jc w:val="center"/>
              <w:rPr>
                <w:noProof/>
                <w:sz w:val="20"/>
                <w:lang w:eastAsia="en-AU"/>
              </w:rPr>
            </w:pPr>
            <w:r>
              <w:rPr>
                <w:noProof/>
                <w:sz w:val="20"/>
                <w:lang w:eastAsia="en-AU"/>
              </w:rPr>
              <w:drawing>
                <wp:inline distT="0" distB="0" distL="0" distR="0" wp14:anchorId="5FEF2955" wp14:editId="263CEB08">
                  <wp:extent cx="752475" cy="752475"/>
                  <wp:effectExtent l="0" t="0" r="9525" b="9525"/>
                  <wp:docPr id="7" name="Picture 7"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ionshi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2726" w:type="dxa"/>
            <w:tcBorders>
              <w:top w:val="single" w:sz="4" w:space="0" w:color="auto"/>
              <w:left w:val="nil"/>
              <w:bottom w:val="single" w:sz="4" w:space="0" w:color="auto"/>
              <w:right w:val="nil"/>
            </w:tcBorders>
            <w:hideMark/>
          </w:tcPr>
          <w:p w14:paraId="30365337" w14:textId="77777777" w:rsidR="00E05C09" w:rsidRDefault="00E05C09">
            <w:pPr>
              <w:rPr>
                <w:rFonts w:cs="Arial"/>
                <w:color w:val="000000"/>
                <w:sz w:val="20"/>
              </w:rPr>
            </w:pPr>
            <w:r>
              <w:rPr>
                <w:rFonts w:cs="Arial"/>
                <w:b/>
                <w:bCs/>
                <w:color w:val="000000"/>
                <w:sz w:val="20"/>
              </w:rPr>
              <w:t>Influence and Negotiate</w:t>
            </w:r>
          </w:p>
          <w:p w14:paraId="2F232ADA" w14:textId="77777777" w:rsidR="00E05C09" w:rsidRDefault="00E05C09">
            <w:pPr>
              <w:rPr>
                <w:rFonts w:cs="Arial"/>
                <w:color w:val="000000"/>
                <w:sz w:val="20"/>
              </w:rPr>
            </w:pPr>
            <w:r>
              <w:rPr>
                <w:rFonts w:cs="Arial"/>
                <w:color w:val="000000"/>
                <w:sz w:val="20"/>
              </w:rPr>
              <w:t>Gain consensus and commitment from others, and resolve issues and conflicts</w:t>
            </w:r>
          </w:p>
        </w:tc>
        <w:tc>
          <w:tcPr>
            <w:tcW w:w="4709" w:type="dxa"/>
            <w:tcBorders>
              <w:top w:val="single" w:sz="4" w:space="0" w:color="auto"/>
              <w:left w:val="nil"/>
              <w:bottom w:val="single" w:sz="4" w:space="0" w:color="auto"/>
              <w:right w:val="nil"/>
            </w:tcBorders>
            <w:hideMark/>
          </w:tcPr>
          <w:p w14:paraId="732FC26C" w14:textId="77777777" w:rsidR="00E05C09" w:rsidRDefault="00E05C09" w:rsidP="00E05C09">
            <w:pPr>
              <w:pStyle w:val="TableBullet"/>
              <w:numPr>
                <w:ilvl w:val="0"/>
                <w:numId w:val="15"/>
              </w:numPr>
            </w:pPr>
            <w:r>
              <w:t>Influence others with a fair and considered approach and present persuasive counter-arguments</w:t>
            </w:r>
          </w:p>
          <w:p w14:paraId="0A42ADE6" w14:textId="77777777" w:rsidR="00E05C09" w:rsidRDefault="00E05C09" w:rsidP="00E05C09">
            <w:pPr>
              <w:pStyle w:val="TableBullet"/>
              <w:numPr>
                <w:ilvl w:val="0"/>
                <w:numId w:val="15"/>
              </w:numPr>
            </w:pPr>
            <w:r>
              <w:t>Work towards mutually beneficial ‘win-win’ outcomes</w:t>
            </w:r>
          </w:p>
          <w:p w14:paraId="3B1607C7" w14:textId="77777777" w:rsidR="00E05C09" w:rsidRDefault="00E05C09" w:rsidP="00E05C09">
            <w:pPr>
              <w:pStyle w:val="TableBullet"/>
              <w:numPr>
                <w:ilvl w:val="0"/>
                <w:numId w:val="15"/>
              </w:numPr>
            </w:pPr>
            <w:r>
              <w:t>Show sensitivity and understanding in resolving acute and complex conflicts and differences</w:t>
            </w:r>
          </w:p>
          <w:p w14:paraId="5735321C" w14:textId="77777777" w:rsidR="00E05C09" w:rsidRDefault="00E05C09" w:rsidP="00E05C09">
            <w:pPr>
              <w:pStyle w:val="TableBullet"/>
              <w:numPr>
                <w:ilvl w:val="0"/>
                <w:numId w:val="15"/>
              </w:numPr>
            </w:pPr>
            <w:r>
              <w:t>Identify key stakeholders and gain their support in advance</w:t>
            </w:r>
          </w:p>
          <w:p w14:paraId="2ED04DB1" w14:textId="77777777" w:rsidR="00E05C09" w:rsidRDefault="00E05C09" w:rsidP="00E05C09">
            <w:pPr>
              <w:pStyle w:val="TableBullet"/>
              <w:numPr>
                <w:ilvl w:val="0"/>
                <w:numId w:val="15"/>
              </w:numPr>
            </w:pPr>
            <w:r>
              <w:t>Establish a clear negotiation position based on research, a firm grasp of key issues, likely arguments, points of difference and areas for compromise</w:t>
            </w:r>
          </w:p>
          <w:p w14:paraId="084139E6" w14:textId="77777777" w:rsidR="00E05C09" w:rsidRDefault="00E05C09" w:rsidP="00E05C09">
            <w:pPr>
              <w:pStyle w:val="TableBullet"/>
              <w:numPr>
                <w:ilvl w:val="0"/>
                <w:numId w:val="15"/>
              </w:numPr>
            </w:pPr>
            <w:r>
              <w:t>Anticipate and minimise conflict within the organisation and with external stakeholders</w:t>
            </w:r>
          </w:p>
        </w:tc>
        <w:tc>
          <w:tcPr>
            <w:tcW w:w="1668" w:type="dxa"/>
            <w:tcBorders>
              <w:top w:val="single" w:sz="4" w:space="0" w:color="auto"/>
              <w:left w:val="nil"/>
              <w:bottom w:val="single" w:sz="4" w:space="0" w:color="auto"/>
              <w:right w:val="nil"/>
            </w:tcBorders>
            <w:hideMark/>
          </w:tcPr>
          <w:p w14:paraId="4956E1AE" w14:textId="77777777" w:rsidR="00E05C09" w:rsidRDefault="00E05C09">
            <w:pPr>
              <w:pStyle w:val="TableText"/>
            </w:pPr>
            <w:r>
              <w:t>Advanced</w:t>
            </w:r>
          </w:p>
        </w:tc>
      </w:tr>
      <w:tr w:rsidR="00E05C09" w14:paraId="24A538F0" w14:textId="77777777" w:rsidTr="00E05C09">
        <w:trPr>
          <w:cantSplit/>
        </w:trPr>
        <w:tc>
          <w:tcPr>
            <w:tcW w:w="1385" w:type="dxa"/>
            <w:tcBorders>
              <w:top w:val="single" w:sz="4" w:space="0" w:color="auto"/>
              <w:left w:val="nil"/>
              <w:bottom w:val="single" w:sz="4" w:space="0" w:color="auto"/>
              <w:right w:val="nil"/>
            </w:tcBorders>
            <w:hideMark/>
          </w:tcPr>
          <w:p w14:paraId="567574C0" w14:textId="6FFEDB38" w:rsidR="00E05C09" w:rsidRDefault="00E05C09">
            <w:pPr>
              <w:jc w:val="center"/>
              <w:rPr>
                <w:noProof/>
                <w:sz w:val="20"/>
                <w:lang w:eastAsia="en-AU"/>
              </w:rPr>
            </w:pPr>
            <w:r>
              <w:rPr>
                <w:noProof/>
                <w:sz w:val="20"/>
                <w:lang w:eastAsia="en-AU"/>
              </w:rPr>
              <w:drawing>
                <wp:inline distT="0" distB="0" distL="0" distR="0" wp14:anchorId="7511957E" wp14:editId="4237C149">
                  <wp:extent cx="752475" cy="752475"/>
                  <wp:effectExtent l="0" t="0" r="9525" b="9525"/>
                  <wp:docPr id="6" name="Picture 6"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2726" w:type="dxa"/>
            <w:tcBorders>
              <w:top w:val="single" w:sz="4" w:space="0" w:color="auto"/>
              <w:left w:val="nil"/>
              <w:bottom w:val="single" w:sz="4" w:space="0" w:color="auto"/>
              <w:right w:val="nil"/>
            </w:tcBorders>
            <w:hideMark/>
          </w:tcPr>
          <w:p w14:paraId="730CC037" w14:textId="77777777" w:rsidR="00E05C09" w:rsidRDefault="00E05C09">
            <w:pPr>
              <w:rPr>
                <w:rFonts w:cs="Arial"/>
                <w:color w:val="000000"/>
                <w:sz w:val="20"/>
              </w:rPr>
            </w:pPr>
            <w:r>
              <w:rPr>
                <w:rFonts w:cs="Arial"/>
                <w:b/>
                <w:bCs/>
                <w:color w:val="000000"/>
                <w:sz w:val="20"/>
              </w:rPr>
              <w:t>Plan and Prioritise</w:t>
            </w:r>
          </w:p>
          <w:p w14:paraId="4B36EF59" w14:textId="77777777" w:rsidR="00E05C09" w:rsidRDefault="00E05C09">
            <w:pPr>
              <w:rPr>
                <w:rFonts w:cs="Arial"/>
                <w:color w:val="000000"/>
                <w:sz w:val="20"/>
              </w:rPr>
            </w:pPr>
            <w:r>
              <w:rPr>
                <w:rFonts w:cs="Arial"/>
                <w:color w:val="000000"/>
                <w:sz w:val="20"/>
              </w:rPr>
              <w:t>Plan to achieve priority outcomes and respond flexibly to changing circumstances</w:t>
            </w:r>
          </w:p>
        </w:tc>
        <w:tc>
          <w:tcPr>
            <w:tcW w:w="4709" w:type="dxa"/>
            <w:tcBorders>
              <w:top w:val="single" w:sz="4" w:space="0" w:color="auto"/>
              <w:left w:val="nil"/>
              <w:bottom w:val="single" w:sz="4" w:space="0" w:color="auto"/>
              <w:right w:val="nil"/>
            </w:tcBorders>
            <w:hideMark/>
          </w:tcPr>
          <w:p w14:paraId="1588FC6E" w14:textId="77777777" w:rsidR="00E05C09" w:rsidRDefault="00E05C09" w:rsidP="00E05C09">
            <w:pPr>
              <w:pStyle w:val="TableBullet"/>
              <w:numPr>
                <w:ilvl w:val="0"/>
                <w:numId w:val="15"/>
              </w:numPr>
            </w:pPr>
            <w:r>
              <w:t>Understand the links between the business unit, organisation and the whole-of-government agenda</w:t>
            </w:r>
          </w:p>
          <w:p w14:paraId="4348CC4C" w14:textId="77777777" w:rsidR="00E05C09" w:rsidRDefault="00E05C09" w:rsidP="00E05C09">
            <w:pPr>
              <w:pStyle w:val="TableBullet"/>
              <w:numPr>
                <w:ilvl w:val="0"/>
                <w:numId w:val="15"/>
              </w:numPr>
            </w:pPr>
            <w:r>
              <w:t>Ensure business plan goals are clear and appropriate and include contingency provisions</w:t>
            </w:r>
          </w:p>
          <w:p w14:paraId="5AD24C42" w14:textId="77777777" w:rsidR="00E05C09" w:rsidRDefault="00E05C09" w:rsidP="00E05C09">
            <w:pPr>
              <w:pStyle w:val="TableBullet"/>
              <w:numPr>
                <w:ilvl w:val="0"/>
                <w:numId w:val="15"/>
              </w:numPr>
            </w:pPr>
            <w:r>
              <w:t>Monitor the progress of initiatives and make necessary adjustments</w:t>
            </w:r>
          </w:p>
          <w:p w14:paraId="50C47936" w14:textId="77777777" w:rsidR="00E05C09" w:rsidRDefault="00E05C09" w:rsidP="00E05C09">
            <w:pPr>
              <w:pStyle w:val="TableBullet"/>
              <w:numPr>
                <w:ilvl w:val="0"/>
                <w:numId w:val="15"/>
              </w:numPr>
            </w:pPr>
            <w:r>
              <w:t>Anticipate and assess the impact of changes, including government policy and economic conditions, on business plans and initiatives and respond appropriately</w:t>
            </w:r>
          </w:p>
          <w:p w14:paraId="1C6AE26A" w14:textId="77777777" w:rsidR="00E05C09" w:rsidRDefault="00E05C09" w:rsidP="00E05C09">
            <w:pPr>
              <w:pStyle w:val="TableBullet"/>
              <w:numPr>
                <w:ilvl w:val="0"/>
                <w:numId w:val="15"/>
              </w:numPr>
            </w:pPr>
            <w:r>
              <w:t>Consider the implications of a wide range of complex issues and shift business priorities when necessary</w:t>
            </w:r>
          </w:p>
          <w:p w14:paraId="4B7CAF29" w14:textId="77777777" w:rsidR="00E05C09" w:rsidRDefault="00E05C09" w:rsidP="00E05C09">
            <w:pPr>
              <w:pStyle w:val="TableBullet"/>
              <w:numPr>
                <w:ilvl w:val="0"/>
                <w:numId w:val="15"/>
              </w:numPr>
            </w:pPr>
            <w:r>
              <w:t>Undertake planning to help the organisation transition through change initiatives, and evaluate progress and outcomes to inform future planning</w:t>
            </w:r>
          </w:p>
        </w:tc>
        <w:tc>
          <w:tcPr>
            <w:tcW w:w="1668" w:type="dxa"/>
            <w:tcBorders>
              <w:top w:val="single" w:sz="4" w:space="0" w:color="auto"/>
              <w:left w:val="nil"/>
              <w:bottom w:val="single" w:sz="4" w:space="0" w:color="auto"/>
              <w:right w:val="nil"/>
            </w:tcBorders>
            <w:hideMark/>
          </w:tcPr>
          <w:p w14:paraId="095889A5" w14:textId="77777777" w:rsidR="00E05C09" w:rsidRDefault="00E05C09">
            <w:pPr>
              <w:pStyle w:val="TableText"/>
            </w:pPr>
            <w:r>
              <w:t>Advanced</w:t>
            </w:r>
          </w:p>
        </w:tc>
      </w:tr>
      <w:tr w:rsidR="00E05C09" w14:paraId="2642F849" w14:textId="77777777" w:rsidTr="00E05C09">
        <w:trPr>
          <w:cantSplit/>
        </w:trPr>
        <w:tc>
          <w:tcPr>
            <w:tcW w:w="1385" w:type="dxa"/>
            <w:tcBorders>
              <w:top w:val="single" w:sz="4" w:space="0" w:color="auto"/>
              <w:left w:val="nil"/>
              <w:bottom w:val="single" w:sz="4" w:space="0" w:color="auto"/>
              <w:right w:val="nil"/>
            </w:tcBorders>
            <w:hideMark/>
          </w:tcPr>
          <w:p w14:paraId="7186194A" w14:textId="6E43A754" w:rsidR="00E05C09" w:rsidRDefault="00E05C09">
            <w:pPr>
              <w:jc w:val="center"/>
              <w:rPr>
                <w:noProof/>
                <w:sz w:val="20"/>
                <w:lang w:eastAsia="en-AU"/>
              </w:rPr>
            </w:pPr>
            <w:r>
              <w:rPr>
                <w:noProof/>
                <w:sz w:val="20"/>
                <w:lang w:eastAsia="en-AU"/>
              </w:rPr>
              <w:lastRenderedPageBreak/>
              <w:drawing>
                <wp:inline distT="0" distB="0" distL="0" distR="0" wp14:anchorId="3EA0E707" wp14:editId="5909F688">
                  <wp:extent cx="752475" cy="752475"/>
                  <wp:effectExtent l="0" t="0" r="9525" b="9525"/>
                  <wp:docPr id="5" name="Picture 5"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business-enabl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2726" w:type="dxa"/>
            <w:tcBorders>
              <w:top w:val="single" w:sz="4" w:space="0" w:color="auto"/>
              <w:left w:val="nil"/>
              <w:bottom w:val="single" w:sz="4" w:space="0" w:color="auto"/>
              <w:right w:val="nil"/>
            </w:tcBorders>
            <w:hideMark/>
          </w:tcPr>
          <w:p w14:paraId="40851E60" w14:textId="77777777" w:rsidR="00E05C09" w:rsidRDefault="00E05C09">
            <w:pPr>
              <w:rPr>
                <w:rFonts w:cs="Arial"/>
                <w:color w:val="000000"/>
                <w:sz w:val="20"/>
              </w:rPr>
            </w:pPr>
            <w:r>
              <w:rPr>
                <w:rFonts w:cs="Arial"/>
                <w:b/>
                <w:bCs/>
                <w:color w:val="000000"/>
                <w:sz w:val="20"/>
              </w:rPr>
              <w:t>Technology</w:t>
            </w:r>
          </w:p>
          <w:p w14:paraId="4DEB1155" w14:textId="77777777" w:rsidR="00E05C09" w:rsidRDefault="00E05C09">
            <w:pPr>
              <w:rPr>
                <w:rFonts w:cs="Arial"/>
                <w:color w:val="000000"/>
                <w:sz w:val="20"/>
              </w:rPr>
            </w:pPr>
            <w:r>
              <w:rPr>
                <w:rFonts w:cs="Arial"/>
                <w:color w:val="000000"/>
                <w:sz w:val="20"/>
              </w:rPr>
              <w:t>Understand and use available technologies to maximise efficiencies and effectiveness</w:t>
            </w:r>
          </w:p>
        </w:tc>
        <w:tc>
          <w:tcPr>
            <w:tcW w:w="4709" w:type="dxa"/>
            <w:tcBorders>
              <w:top w:val="single" w:sz="4" w:space="0" w:color="auto"/>
              <w:left w:val="nil"/>
              <w:bottom w:val="single" w:sz="4" w:space="0" w:color="auto"/>
              <w:right w:val="nil"/>
            </w:tcBorders>
            <w:hideMark/>
          </w:tcPr>
          <w:p w14:paraId="4E04B628" w14:textId="77777777" w:rsidR="00E05C09" w:rsidRDefault="00E05C09" w:rsidP="00E05C09">
            <w:pPr>
              <w:pStyle w:val="TableBullet"/>
              <w:numPr>
                <w:ilvl w:val="0"/>
                <w:numId w:val="15"/>
              </w:numPr>
            </w:pPr>
            <w:r>
              <w:t>Identify opportunities to use a broad range of technologies to collaborate</w:t>
            </w:r>
          </w:p>
          <w:p w14:paraId="25CCF2ED" w14:textId="77777777" w:rsidR="00E05C09" w:rsidRDefault="00E05C09" w:rsidP="00E05C09">
            <w:pPr>
              <w:pStyle w:val="TableBullet"/>
              <w:numPr>
                <w:ilvl w:val="0"/>
                <w:numId w:val="15"/>
              </w:numPr>
            </w:pPr>
            <w:r>
              <w:t>Monitor compliance with cyber security and the use of technology policies</w:t>
            </w:r>
          </w:p>
          <w:p w14:paraId="42903222" w14:textId="77777777" w:rsidR="00E05C09" w:rsidRDefault="00E05C09" w:rsidP="00E05C09">
            <w:pPr>
              <w:pStyle w:val="TableBullet"/>
              <w:numPr>
                <w:ilvl w:val="0"/>
                <w:numId w:val="15"/>
              </w:numPr>
            </w:pPr>
            <w:r>
              <w:t>Identify ways to maximise the value of available technology to achieve business strategies and outcomes</w:t>
            </w:r>
          </w:p>
          <w:p w14:paraId="30E0197F" w14:textId="77777777" w:rsidR="00E05C09" w:rsidRDefault="00E05C09" w:rsidP="00E05C09">
            <w:pPr>
              <w:pStyle w:val="TableBullet"/>
              <w:numPr>
                <w:ilvl w:val="0"/>
                <w:numId w:val="15"/>
              </w:numPr>
            </w:pPr>
            <w:r>
              <w:t>Monitor compliance with the organisation’s records, information and knowledge management requirements</w:t>
            </w:r>
          </w:p>
        </w:tc>
        <w:tc>
          <w:tcPr>
            <w:tcW w:w="1668" w:type="dxa"/>
            <w:tcBorders>
              <w:top w:val="single" w:sz="4" w:space="0" w:color="auto"/>
              <w:left w:val="nil"/>
              <w:bottom w:val="single" w:sz="4" w:space="0" w:color="auto"/>
              <w:right w:val="nil"/>
            </w:tcBorders>
            <w:hideMark/>
          </w:tcPr>
          <w:p w14:paraId="203EDA21" w14:textId="77777777" w:rsidR="00E05C09" w:rsidRDefault="00E05C09">
            <w:pPr>
              <w:pStyle w:val="TableText"/>
            </w:pPr>
            <w:r>
              <w:t>Adept</w:t>
            </w:r>
          </w:p>
        </w:tc>
      </w:tr>
    </w:tbl>
    <w:p w14:paraId="6DD4D923" w14:textId="77777777" w:rsidR="00E05C09" w:rsidRDefault="00E05C09" w:rsidP="001312F5">
      <w:pPr>
        <w:pStyle w:val="PlainText"/>
        <w:spacing w:before="62" w:line="276" w:lineRule="auto"/>
        <w:rPr>
          <w:rFonts w:eastAsiaTheme="minorEastAsia"/>
          <w:szCs w:val="22"/>
          <w:lang w:val="en-US"/>
        </w:rPr>
      </w:pPr>
    </w:p>
    <w:bookmarkEnd w:id="6"/>
    <w:bookmarkEnd w:id="7"/>
    <w:bookmarkEnd w:id="8"/>
    <w:bookmarkEnd w:id="9"/>
    <w:p w14:paraId="27ACC531" w14:textId="4A445EE4" w:rsidR="00372FE9" w:rsidRDefault="00372FE9" w:rsidP="00372FE9">
      <w:pPr>
        <w:pStyle w:val="Heading2"/>
      </w:pPr>
      <w:r w:rsidRPr="00AF4777">
        <w:t>Occupational Specific</w:t>
      </w:r>
      <w:r>
        <w:t xml:space="preserve"> </w:t>
      </w:r>
      <w:r w:rsidR="00E05C09">
        <w:t>Focus</w:t>
      </w:r>
      <w:r w:rsidRPr="00AF4777">
        <w:t xml:space="preserve"> Capabilities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OccupationalSpecificComplimentaryCapabilitiesTable"/>
      </w:tblPr>
      <w:tblGrid>
        <w:gridCol w:w="1464"/>
        <w:gridCol w:w="2852"/>
        <w:gridCol w:w="4901"/>
        <w:gridCol w:w="1271"/>
      </w:tblGrid>
      <w:tr w:rsidR="00DA6BE6" w:rsidRPr="00652DE3" w14:paraId="096F0D75" w14:textId="77777777" w:rsidTr="00B92171">
        <w:trPr>
          <w:cnfStyle w:val="100000000000" w:firstRow="1" w:lastRow="0" w:firstColumn="0" w:lastColumn="0" w:oddVBand="0" w:evenVBand="0" w:oddHBand="0" w:evenHBand="0" w:firstRowFirstColumn="0" w:firstRowLastColumn="0" w:lastRowFirstColumn="0" w:lastRowLastColumn="0"/>
          <w:tblHeader/>
        </w:trPr>
        <w:tc>
          <w:tcPr>
            <w:tcW w:w="1464" w:type="dxa"/>
            <w:shd w:val="clear" w:color="auto" w:fill="BFBFBF" w:themeFill="background1" w:themeFillShade="BF"/>
            <w:vAlign w:val="center"/>
          </w:tcPr>
          <w:p w14:paraId="2A15B7DA" w14:textId="77777777" w:rsidR="00DA6BE6" w:rsidRPr="00652DE3" w:rsidRDefault="00DA6BE6" w:rsidP="003E0D69">
            <w:pPr>
              <w:rPr>
                <w:sz w:val="20"/>
              </w:rPr>
            </w:pPr>
            <w:r w:rsidRPr="00652DE3">
              <w:rPr>
                <w:b/>
                <w:sz w:val="20"/>
              </w:rPr>
              <w:t>Capability group/sets</w:t>
            </w:r>
          </w:p>
        </w:tc>
        <w:tc>
          <w:tcPr>
            <w:tcW w:w="2852" w:type="dxa"/>
            <w:shd w:val="clear" w:color="auto" w:fill="BFBFBF" w:themeFill="background1" w:themeFillShade="BF"/>
          </w:tcPr>
          <w:p w14:paraId="1E3AF1E0" w14:textId="77777777" w:rsidR="00DA6BE6" w:rsidRPr="00652DE3" w:rsidRDefault="00DA6BE6" w:rsidP="003E0D69">
            <w:pPr>
              <w:rPr>
                <w:sz w:val="20"/>
              </w:rPr>
            </w:pPr>
            <w:r w:rsidRPr="00652DE3">
              <w:rPr>
                <w:b/>
                <w:sz w:val="20"/>
              </w:rPr>
              <w:t>Capability name</w:t>
            </w:r>
          </w:p>
        </w:tc>
        <w:tc>
          <w:tcPr>
            <w:tcW w:w="4901" w:type="dxa"/>
            <w:shd w:val="clear" w:color="auto" w:fill="BFBFBF" w:themeFill="background1" w:themeFillShade="BF"/>
          </w:tcPr>
          <w:p w14:paraId="565DE362" w14:textId="77777777" w:rsidR="00DA6BE6" w:rsidRPr="00652DE3" w:rsidRDefault="00DA6BE6" w:rsidP="003E0D69">
            <w:pPr>
              <w:rPr>
                <w:sz w:val="20"/>
              </w:rPr>
            </w:pPr>
            <w:r w:rsidRPr="00652DE3">
              <w:rPr>
                <w:b/>
                <w:sz w:val="20"/>
              </w:rPr>
              <w:t>Description</w:t>
            </w:r>
          </w:p>
        </w:tc>
        <w:tc>
          <w:tcPr>
            <w:tcW w:w="1271" w:type="dxa"/>
            <w:shd w:val="clear" w:color="auto" w:fill="BFBFBF" w:themeFill="background1" w:themeFillShade="BF"/>
          </w:tcPr>
          <w:p w14:paraId="6AE90B9A" w14:textId="77777777" w:rsidR="00DA6BE6" w:rsidRPr="00652DE3" w:rsidRDefault="00DA6BE6" w:rsidP="003E0D69">
            <w:pPr>
              <w:rPr>
                <w:b/>
                <w:bCs/>
                <w:sz w:val="20"/>
              </w:rPr>
            </w:pPr>
            <w:r w:rsidRPr="00652DE3">
              <w:rPr>
                <w:b/>
                <w:bCs/>
                <w:sz w:val="20"/>
              </w:rPr>
              <w:t>Level</w:t>
            </w:r>
          </w:p>
        </w:tc>
      </w:tr>
      <w:bookmarkEnd w:id="10"/>
      <w:bookmarkEnd w:id="11"/>
      <w:bookmarkEnd w:id="12"/>
      <w:bookmarkEnd w:id="13"/>
      <w:tr w:rsidR="00DA6BE6" w:rsidRPr="00652DE3" w14:paraId="5D5991AA" w14:textId="77777777" w:rsidTr="00103875">
        <w:trPr>
          <w:cantSplit/>
        </w:trPr>
        <w:tc>
          <w:tcPr>
            <w:tcW w:w="1464" w:type="dxa"/>
          </w:tcPr>
          <w:p w14:paraId="0463F462" w14:textId="77777777" w:rsidR="00DA6BE6" w:rsidRPr="00652DE3" w:rsidRDefault="00DA6BE6" w:rsidP="003E0D69">
            <w:pPr>
              <w:rPr>
                <w:sz w:val="20"/>
              </w:rPr>
            </w:pPr>
            <w:r w:rsidRPr="00652DE3">
              <w:rPr>
                <w:noProof/>
                <w:sz w:val="20"/>
                <w:lang w:eastAsia="en-AU"/>
              </w:rPr>
              <w:drawing>
                <wp:inline distT="0" distB="0" distL="0" distR="0" wp14:anchorId="7C27FEA8" wp14:editId="256177E2">
                  <wp:extent cx="838200" cy="838200"/>
                  <wp:effectExtent l="0" t="0" r="0" b="0"/>
                  <wp:docPr id="8827"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nance-professionals-capability-set.jpg" descr="Finance log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52" w:type="dxa"/>
          </w:tcPr>
          <w:p w14:paraId="09A313E5" w14:textId="160D23F9" w:rsidR="00B016FA" w:rsidRPr="00652DE3" w:rsidRDefault="00B92171">
            <w:pPr>
              <w:rPr>
                <w:sz w:val="20"/>
              </w:rPr>
            </w:pPr>
            <w:r w:rsidRPr="00652DE3">
              <w:rPr>
                <w:sz w:val="20"/>
              </w:rPr>
              <w:t>Risk management (BURM)</w:t>
            </w:r>
          </w:p>
        </w:tc>
        <w:tc>
          <w:tcPr>
            <w:tcW w:w="4901" w:type="dxa"/>
          </w:tcPr>
          <w:p w14:paraId="0EB47AB8" w14:textId="77777777" w:rsidR="00B92171" w:rsidRPr="00652DE3" w:rsidRDefault="00B92171" w:rsidP="00B92171">
            <w:pPr>
              <w:numPr>
                <w:ilvl w:val="0"/>
                <w:numId w:val="1"/>
              </w:numPr>
              <w:tabs>
                <w:tab w:val="clear" w:pos="360"/>
              </w:tabs>
              <w:rPr>
                <w:sz w:val="20"/>
              </w:rPr>
            </w:pPr>
            <w:r w:rsidRPr="00652DE3">
              <w:rPr>
                <w:sz w:val="20"/>
              </w:rPr>
              <w:t>Plans and implements complex and substantial risk management activities within a specific function, technical area, project or programme.</w:t>
            </w:r>
          </w:p>
          <w:p w14:paraId="3CD4A5CF" w14:textId="77777777" w:rsidR="00B92171" w:rsidRPr="00652DE3" w:rsidRDefault="00B92171" w:rsidP="00B92171">
            <w:pPr>
              <w:numPr>
                <w:ilvl w:val="0"/>
                <w:numId w:val="1"/>
              </w:numPr>
              <w:tabs>
                <w:tab w:val="clear" w:pos="360"/>
              </w:tabs>
              <w:rPr>
                <w:sz w:val="20"/>
              </w:rPr>
            </w:pPr>
            <w:r w:rsidRPr="00652DE3">
              <w:rPr>
                <w:sz w:val="20"/>
              </w:rPr>
              <w:t>Implements consistent and reliable risk management processes and reporting to key stakeholders.</w:t>
            </w:r>
          </w:p>
          <w:p w14:paraId="44E9BC2F" w14:textId="77777777" w:rsidR="00B92171" w:rsidRPr="00652DE3" w:rsidRDefault="00B92171" w:rsidP="00B92171">
            <w:pPr>
              <w:numPr>
                <w:ilvl w:val="0"/>
                <w:numId w:val="1"/>
              </w:numPr>
              <w:tabs>
                <w:tab w:val="clear" w:pos="360"/>
              </w:tabs>
              <w:rPr>
                <w:sz w:val="20"/>
              </w:rPr>
            </w:pPr>
            <w:r w:rsidRPr="00652DE3">
              <w:rPr>
                <w:sz w:val="20"/>
              </w:rPr>
              <w:t>Engages specialists and domain experts as necessary.</w:t>
            </w:r>
          </w:p>
          <w:p w14:paraId="55E52393" w14:textId="77777777" w:rsidR="00B92171" w:rsidRPr="00652DE3" w:rsidRDefault="00B92171" w:rsidP="00B92171">
            <w:pPr>
              <w:numPr>
                <w:ilvl w:val="0"/>
                <w:numId w:val="1"/>
              </w:numPr>
              <w:tabs>
                <w:tab w:val="clear" w:pos="360"/>
              </w:tabs>
              <w:rPr>
                <w:sz w:val="20"/>
              </w:rPr>
            </w:pPr>
            <w:r w:rsidRPr="00652DE3">
              <w:rPr>
                <w:sz w:val="20"/>
              </w:rPr>
              <w:t>Advises on the organisation's approach to risk management.</w:t>
            </w:r>
          </w:p>
          <w:p w14:paraId="503EE5D2" w14:textId="1209C5D4" w:rsidR="00B016FA" w:rsidRPr="00652DE3" w:rsidRDefault="00B016FA">
            <w:pPr>
              <w:rPr>
                <w:sz w:val="20"/>
              </w:rPr>
            </w:pPr>
          </w:p>
        </w:tc>
        <w:tc>
          <w:tcPr>
            <w:tcW w:w="1271" w:type="dxa"/>
          </w:tcPr>
          <w:p w14:paraId="18039AE2" w14:textId="1654F9C0" w:rsidR="00B016FA" w:rsidRPr="00652DE3" w:rsidRDefault="00B92171">
            <w:pPr>
              <w:rPr>
                <w:sz w:val="20"/>
              </w:rPr>
            </w:pPr>
            <w:r w:rsidRPr="00652DE3">
              <w:rPr>
                <w:sz w:val="20"/>
              </w:rPr>
              <w:t>Level 5</w:t>
            </w:r>
          </w:p>
        </w:tc>
      </w:tr>
      <w:tr w:rsidR="00B92171" w:rsidRPr="00652DE3" w14:paraId="44435BBE" w14:textId="77777777" w:rsidTr="00103875">
        <w:trPr>
          <w:cantSplit/>
        </w:trPr>
        <w:tc>
          <w:tcPr>
            <w:tcW w:w="1464" w:type="dxa"/>
          </w:tcPr>
          <w:p w14:paraId="3BF8D8EF" w14:textId="114BA907" w:rsidR="00B92171" w:rsidRPr="00652DE3" w:rsidRDefault="00B92171" w:rsidP="003E0D69">
            <w:pPr>
              <w:rPr>
                <w:noProof/>
                <w:sz w:val="20"/>
                <w:lang w:eastAsia="en-AU"/>
              </w:rPr>
            </w:pPr>
            <w:r w:rsidRPr="00652DE3">
              <w:rPr>
                <w:noProof/>
                <w:sz w:val="20"/>
                <w:lang w:eastAsia="en-AU"/>
              </w:rPr>
              <w:drawing>
                <wp:inline distT="0" distB="0" distL="0" distR="0" wp14:anchorId="1EA029BE" wp14:editId="016E1A58">
                  <wp:extent cx="838200" cy="838200"/>
                  <wp:effectExtent l="0" t="0" r="0" b="0"/>
                  <wp:docPr id="1"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nance-professionals-capability-set.jpg" descr="Finance log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52" w:type="dxa"/>
          </w:tcPr>
          <w:p w14:paraId="54A71DCB" w14:textId="1129C311" w:rsidR="00B92171" w:rsidRPr="00652DE3" w:rsidRDefault="00591150">
            <w:pPr>
              <w:rPr>
                <w:sz w:val="20"/>
              </w:rPr>
            </w:pPr>
            <w:r>
              <w:rPr>
                <w:sz w:val="20"/>
              </w:rPr>
              <w:t>Acceptance testing (BPTS)</w:t>
            </w:r>
          </w:p>
        </w:tc>
        <w:tc>
          <w:tcPr>
            <w:tcW w:w="4901" w:type="dxa"/>
          </w:tcPr>
          <w:p w14:paraId="1579C8DF" w14:textId="77777777" w:rsidR="0032451E" w:rsidRPr="00EC454E" w:rsidRDefault="0032451E" w:rsidP="00EC454E">
            <w:pPr>
              <w:numPr>
                <w:ilvl w:val="0"/>
                <w:numId w:val="1"/>
              </w:numPr>
              <w:tabs>
                <w:tab w:val="clear" w:pos="360"/>
              </w:tabs>
              <w:rPr>
                <w:sz w:val="20"/>
              </w:rPr>
            </w:pPr>
            <w:r w:rsidRPr="00EC454E">
              <w:rPr>
                <w:sz w:val="20"/>
              </w:rPr>
              <w:t>Plans and manages acceptance testing activity.</w:t>
            </w:r>
          </w:p>
          <w:p w14:paraId="6A0E6485" w14:textId="77777777" w:rsidR="0032451E" w:rsidRDefault="0032451E" w:rsidP="00EC454E">
            <w:pPr>
              <w:numPr>
                <w:ilvl w:val="0"/>
                <w:numId w:val="1"/>
              </w:numPr>
              <w:tabs>
                <w:tab w:val="clear" w:pos="360"/>
              </w:tabs>
              <w:rPr>
                <w:sz w:val="20"/>
              </w:rPr>
            </w:pPr>
            <w:r w:rsidRPr="00EC454E">
              <w:rPr>
                <w:sz w:val="20"/>
              </w:rPr>
              <w:t>Specifies the acceptance testing environment for systems, products, business processes and services. Manages the creation of acceptance test cases and scenarios. Ensures that defined tests reflect realistic operational conditions and required level of coverage.</w:t>
            </w:r>
          </w:p>
          <w:p w14:paraId="09FE019C" w14:textId="2504068A" w:rsidR="0032451E" w:rsidRDefault="0032451E" w:rsidP="0032451E">
            <w:pPr>
              <w:numPr>
                <w:ilvl w:val="0"/>
                <w:numId w:val="1"/>
              </w:numPr>
              <w:tabs>
                <w:tab w:val="clear" w:pos="360"/>
              </w:tabs>
              <w:rPr>
                <w:sz w:val="20"/>
              </w:rPr>
            </w:pPr>
            <w:r w:rsidRPr="00EC454E">
              <w:rPr>
                <w:sz w:val="20"/>
              </w:rPr>
              <w:t>Ensure tests and results are documented, analysed and reported to stakeholders, and required actions taken. Highlights issues and risks identified during testing to stakeholders.</w:t>
            </w:r>
          </w:p>
          <w:p w14:paraId="267BA4E4" w14:textId="6203CF9D" w:rsidR="0032451E" w:rsidRDefault="0032451E" w:rsidP="00EC454E">
            <w:pPr>
              <w:numPr>
                <w:ilvl w:val="0"/>
                <w:numId w:val="1"/>
              </w:numPr>
              <w:tabs>
                <w:tab w:val="clear" w:pos="360"/>
              </w:tabs>
              <w:rPr>
                <w:sz w:val="20"/>
              </w:rPr>
            </w:pPr>
            <w:r w:rsidRPr="004A5CFA">
              <w:rPr>
                <w:sz w:val="20"/>
              </w:rPr>
              <w:t>Provides authoritative advice and guidance on planning and execution of acceptance tests.</w:t>
            </w:r>
          </w:p>
          <w:p w14:paraId="2A2ECDD6" w14:textId="77777777" w:rsidR="00B92171" w:rsidRPr="00652DE3" w:rsidRDefault="00B92171" w:rsidP="0032451E">
            <w:pPr>
              <w:rPr>
                <w:sz w:val="20"/>
              </w:rPr>
            </w:pPr>
          </w:p>
        </w:tc>
        <w:tc>
          <w:tcPr>
            <w:tcW w:w="1271" w:type="dxa"/>
          </w:tcPr>
          <w:p w14:paraId="609B6375" w14:textId="07CA2A06" w:rsidR="00B92171" w:rsidRPr="00652DE3" w:rsidRDefault="00B92171">
            <w:pPr>
              <w:rPr>
                <w:sz w:val="20"/>
              </w:rPr>
            </w:pPr>
            <w:r w:rsidRPr="00652DE3">
              <w:rPr>
                <w:sz w:val="20"/>
              </w:rPr>
              <w:t>Level 5</w:t>
            </w:r>
          </w:p>
        </w:tc>
      </w:tr>
      <w:tr w:rsidR="00B92171" w:rsidRPr="00652DE3" w14:paraId="72F27B18" w14:textId="77777777" w:rsidTr="00103875">
        <w:trPr>
          <w:cantSplit/>
        </w:trPr>
        <w:tc>
          <w:tcPr>
            <w:tcW w:w="1464" w:type="dxa"/>
          </w:tcPr>
          <w:p w14:paraId="23EAA88E" w14:textId="4BFA3807" w:rsidR="00B92171" w:rsidRPr="00652DE3" w:rsidRDefault="00B92171" w:rsidP="003E0D69">
            <w:pPr>
              <w:rPr>
                <w:noProof/>
                <w:sz w:val="20"/>
                <w:lang w:eastAsia="en-AU"/>
              </w:rPr>
            </w:pPr>
            <w:r w:rsidRPr="00652DE3">
              <w:rPr>
                <w:noProof/>
                <w:sz w:val="20"/>
                <w:lang w:eastAsia="en-AU"/>
              </w:rPr>
              <w:lastRenderedPageBreak/>
              <w:drawing>
                <wp:inline distT="0" distB="0" distL="0" distR="0" wp14:anchorId="59443491" wp14:editId="28A17838">
                  <wp:extent cx="838200" cy="838200"/>
                  <wp:effectExtent l="0" t="0" r="0" b="0"/>
                  <wp:docPr id="2"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nance-professionals-capability-set.jpg" descr="Finance log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52" w:type="dxa"/>
          </w:tcPr>
          <w:p w14:paraId="7C5126A6" w14:textId="5313336C" w:rsidR="00B92171" w:rsidRPr="00652DE3" w:rsidRDefault="00B92171">
            <w:pPr>
              <w:rPr>
                <w:sz w:val="20"/>
              </w:rPr>
            </w:pPr>
            <w:r w:rsidRPr="00652DE3">
              <w:rPr>
                <w:sz w:val="20"/>
              </w:rPr>
              <w:t>Quality management (QUMG)</w:t>
            </w:r>
          </w:p>
        </w:tc>
        <w:tc>
          <w:tcPr>
            <w:tcW w:w="4901" w:type="dxa"/>
          </w:tcPr>
          <w:p w14:paraId="24281CC6" w14:textId="77777777" w:rsidR="00B92171" w:rsidRPr="00652DE3" w:rsidRDefault="00B92171" w:rsidP="00B92171">
            <w:pPr>
              <w:numPr>
                <w:ilvl w:val="0"/>
                <w:numId w:val="1"/>
              </w:numPr>
              <w:tabs>
                <w:tab w:val="clear" w:pos="360"/>
              </w:tabs>
              <w:rPr>
                <w:sz w:val="20"/>
              </w:rPr>
            </w:pPr>
            <w:r w:rsidRPr="00652DE3">
              <w:rPr>
                <w:sz w:val="20"/>
              </w:rPr>
              <w:t>Ensures that projects, teams and functions have appropriate practices in place and are meeting required organisational quality levels.</w:t>
            </w:r>
          </w:p>
          <w:p w14:paraId="31E49F90" w14:textId="77777777" w:rsidR="00B92171" w:rsidRPr="00652DE3" w:rsidRDefault="00B92171" w:rsidP="00B92171">
            <w:pPr>
              <w:numPr>
                <w:ilvl w:val="0"/>
                <w:numId w:val="1"/>
              </w:numPr>
              <w:tabs>
                <w:tab w:val="clear" w:pos="360"/>
              </w:tabs>
              <w:rPr>
                <w:sz w:val="20"/>
              </w:rPr>
            </w:pPr>
            <w:r w:rsidRPr="00652DE3">
              <w:rPr>
                <w:sz w:val="20"/>
              </w:rPr>
              <w:t>Advises on the application of appropriate quality management techniques and standards.</w:t>
            </w:r>
          </w:p>
          <w:p w14:paraId="2ACA23AB" w14:textId="77777777" w:rsidR="00B92171" w:rsidRPr="00652DE3" w:rsidRDefault="00B92171" w:rsidP="00B92171">
            <w:pPr>
              <w:numPr>
                <w:ilvl w:val="0"/>
                <w:numId w:val="1"/>
              </w:numPr>
              <w:tabs>
                <w:tab w:val="clear" w:pos="360"/>
              </w:tabs>
              <w:rPr>
                <w:sz w:val="20"/>
              </w:rPr>
            </w:pPr>
            <w:r w:rsidRPr="00652DE3">
              <w:rPr>
                <w:sz w:val="20"/>
              </w:rPr>
              <w:t>Determines areas where existing processes should change from analysing audit findings. Facilitates improvements to processes by changing approaches and working practices, typically using recognised models.</w:t>
            </w:r>
          </w:p>
          <w:p w14:paraId="27C70E1F" w14:textId="77777777" w:rsidR="00B92171" w:rsidRPr="00652DE3" w:rsidRDefault="00B92171" w:rsidP="00B92171">
            <w:pPr>
              <w:numPr>
                <w:ilvl w:val="0"/>
                <w:numId w:val="1"/>
              </w:numPr>
              <w:tabs>
                <w:tab w:val="clear" w:pos="360"/>
              </w:tabs>
              <w:rPr>
                <w:sz w:val="20"/>
              </w:rPr>
            </w:pPr>
            <w:r w:rsidRPr="00652DE3">
              <w:rPr>
                <w:sz w:val="20"/>
              </w:rPr>
              <w:t>Takes responsibility for controlling updating and distributing organisational standards.</w:t>
            </w:r>
          </w:p>
          <w:p w14:paraId="5044B10E" w14:textId="77777777" w:rsidR="00B92171" w:rsidRPr="00652DE3" w:rsidRDefault="00B92171">
            <w:pPr>
              <w:rPr>
                <w:sz w:val="20"/>
              </w:rPr>
            </w:pPr>
          </w:p>
        </w:tc>
        <w:tc>
          <w:tcPr>
            <w:tcW w:w="1271" w:type="dxa"/>
          </w:tcPr>
          <w:p w14:paraId="76493E93" w14:textId="55D99541" w:rsidR="00B92171" w:rsidRPr="00652DE3" w:rsidRDefault="00B92171">
            <w:pPr>
              <w:rPr>
                <w:sz w:val="20"/>
              </w:rPr>
            </w:pPr>
            <w:r w:rsidRPr="00652DE3">
              <w:rPr>
                <w:sz w:val="20"/>
              </w:rPr>
              <w:t>Level 5</w:t>
            </w:r>
          </w:p>
        </w:tc>
      </w:tr>
      <w:tr w:rsidR="00B92171" w:rsidRPr="00652DE3" w14:paraId="62546AAB" w14:textId="77777777" w:rsidTr="00103875">
        <w:trPr>
          <w:cantSplit/>
        </w:trPr>
        <w:tc>
          <w:tcPr>
            <w:tcW w:w="1464" w:type="dxa"/>
          </w:tcPr>
          <w:p w14:paraId="2AE8638E" w14:textId="3D21188B" w:rsidR="00B92171" w:rsidRPr="00652DE3" w:rsidRDefault="00B92171" w:rsidP="003E0D69">
            <w:pPr>
              <w:rPr>
                <w:noProof/>
                <w:sz w:val="20"/>
                <w:lang w:eastAsia="en-AU"/>
              </w:rPr>
            </w:pPr>
            <w:r w:rsidRPr="00652DE3">
              <w:rPr>
                <w:noProof/>
                <w:sz w:val="20"/>
                <w:lang w:eastAsia="en-AU"/>
              </w:rPr>
              <w:drawing>
                <wp:inline distT="0" distB="0" distL="0" distR="0" wp14:anchorId="39B75840" wp14:editId="49C15B3A">
                  <wp:extent cx="838200" cy="838200"/>
                  <wp:effectExtent l="0" t="0" r="0" b="0"/>
                  <wp:docPr id="4"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nance-professionals-capability-set.jpg" descr="Finance log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52" w:type="dxa"/>
          </w:tcPr>
          <w:p w14:paraId="30401162" w14:textId="22A8892F" w:rsidR="00B92171" w:rsidRPr="00652DE3" w:rsidRDefault="00B92171">
            <w:pPr>
              <w:rPr>
                <w:sz w:val="20"/>
              </w:rPr>
            </w:pPr>
            <w:r w:rsidRPr="00652DE3">
              <w:rPr>
                <w:sz w:val="20"/>
              </w:rPr>
              <w:t>Quality assurance (QUAS)</w:t>
            </w:r>
          </w:p>
        </w:tc>
        <w:tc>
          <w:tcPr>
            <w:tcW w:w="4901" w:type="dxa"/>
          </w:tcPr>
          <w:p w14:paraId="2FA9A738" w14:textId="77777777" w:rsidR="00B92171" w:rsidRPr="00652DE3" w:rsidRDefault="00B92171" w:rsidP="00B92171">
            <w:pPr>
              <w:numPr>
                <w:ilvl w:val="0"/>
                <w:numId w:val="1"/>
              </w:numPr>
              <w:tabs>
                <w:tab w:val="clear" w:pos="360"/>
              </w:tabs>
              <w:rPr>
                <w:sz w:val="20"/>
              </w:rPr>
            </w:pPr>
            <w:r w:rsidRPr="00652DE3">
              <w:rPr>
                <w:sz w:val="20"/>
              </w:rPr>
              <w:t>Plans, organises and conducts formal reviews and assessments of complex domains areas, cross-functional areas, and across the supply chain.</w:t>
            </w:r>
          </w:p>
          <w:p w14:paraId="1A80CA77" w14:textId="77777777" w:rsidR="00B92171" w:rsidRPr="00652DE3" w:rsidRDefault="00B92171" w:rsidP="00B92171">
            <w:pPr>
              <w:numPr>
                <w:ilvl w:val="0"/>
                <w:numId w:val="1"/>
              </w:numPr>
              <w:tabs>
                <w:tab w:val="clear" w:pos="360"/>
              </w:tabs>
              <w:rPr>
                <w:sz w:val="20"/>
              </w:rPr>
            </w:pPr>
            <w:r w:rsidRPr="00652DE3">
              <w:rPr>
                <w:sz w:val="20"/>
              </w:rPr>
              <w:t>Evaluates, appraises and identifies non-compliances with organisational standards and determines the underlying reasons for non-compliance.</w:t>
            </w:r>
          </w:p>
          <w:p w14:paraId="59E3F6C5" w14:textId="77777777" w:rsidR="00B92171" w:rsidRPr="00652DE3" w:rsidRDefault="00B92171" w:rsidP="00B92171">
            <w:pPr>
              <w:numPr>
                <w:ilvl w:val="0"/>
                <w:numId w:val="1"/>
              </w:numPr>
              <w:tabs>
                <w:tab w:val="clear" w:pos="360"/>
              </w:tabs>
              <w:rPr>
                <w:sz w:val="20"/>
              </w:rPr>
            </w:pPr>
            <w:r w:rsidRPr="00652DE3">
              <w:rPr>
                <w:sz w:val="20"/>
              </w:rPr>
              <w:t>Prepares and reports on assessment findings and associated risks. Ensures that appropriate owners for corrective actions are identified. Identifies opportunities to improve organisational control mechanisms.</w:t>
            </w:r>
          </w:p>
          <w:p w14:paraId="197EBE9B" w14:textId="77777777" w:rsidR="00B92171" w:rsidRPr="00652DE3" w:rsidRDefault="00B92171" w:rsidP="00B92171">
            <w:pPr>
              <w:numPr>
                <w:ilvl w:val="0"/>
                <w:numId w:val="1"/>
              </w:numPr>
              <w:tabs>
                <w:tab w:val="clear" w:pos="360"/>
              </w:tabs>
              <w:rPr>
                <w:sz w:val="20"/>
              </w:rPr>
            </w:pPr>
            <w:r w:rsidRPr="00652DE3">
              <w:rPr>
                <w:sz w:val="20"/>
              </w:rPr>
              <w:t>Oversees the assurance activities of others, providing advice and expertise to support assurance activity.</w:t>
            </w:r>
          </w:p>
          <w:p w14:paraId="24E7AB6E" w14:textId="77777777" w:rsidR="00B92171" w:rsidRPr="00652DE3" w:rsidRDefault="00B92171">
            <w:pPr>
              <w:rPr>
                <w:sz w:val="20"/>
              </w:rPr>
            </w:pPr>
          </w:p>
        </w:tc>
        <w:tc>
          <w:tcPr>
            <w:tcW w:w="1271" w:type="dxa"/>
          </w:tcPr>
          <w:p w14:paraId="66A851BB" w14:textId="02CAADD4" w:rsidR="00B92171" w:rsidRPr="00652DE3" w:rsidRDefault="00B92171">
            <w:pPr>
              <w:rPr>
                <w:sz w:val="20"/>
              </w:rPr>
            </w:pPr>
            <w:r w:rsidRPr="00652DE3">
              <w:rPr>
                <w:sz w:val="20"/>
              </w:rPr>
              <w:t>Level 5</w:t>
            </w:r>
          </w:p>
        </w:tc>
      </w:tr>
    </w:tbl>
    <w:p w14:paraId="5035FE20" w14:textId="596293DF" w:rsidR="009E0B71" w:rsidRDefault="009E0B71" w:rsidP="001203EE">
      <w:pPr>
        <w:contextualSpacing/>
      </w:pPr>
    </w:p>
    <w:p w14:paraId="5F675BB5" w14:textId="77777777" w:rsidR="00E05C09" w:rsidRDefault="00E05C09" w:rsidP="00E05C09">
      <w:pPr>
        <w:pStyle w:val="Heading2"/>
      </w:pPr>
      <w:r>
        <w:t>Complementary capabilities</w:t>
      </w:r>
    </w:p>
    <w:p w14:paraId="1B3627EA" w14:textId="77777777" w:rsidR="00E05C09" w:rsidRDefault="00E05C09" w:rsidP="00E05C09">
      <w:pPr>
        <w:pStyle w:val="PlainText"/>
        <w:spacing w:line="276" w:lineRule="auto"/>
        <w:rPr>
          <w:rFonts w:eastAsiaTheme="minorEastAsia"/>
          <w:szCs w:val="22"/>
          <w:lang w:val="en-US"/>
        </w:rPr>
      </w:pPr>
      <w:r>
        <w:rPr>
          <w:rFonts w:eastAsiaTheme="minorEastAsia"/>
          <w:i/>
          <w:szCs w:val="22"/>
          <w:lang w:val="en-US"/>
        </w:rPr>
        <w:t>Complementary capabilities</w:t>
      </w:r>
      <w:r>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07A60AD6" w14:textId="77777777" w:rsidR="00E05C09" w:rsidRDefault="00E05C09" w:rsidP="00E05C09">
      <w:pPr>
        <w:pStyle w:val="PlainText"/>
        <w:spacing w:line="276" w:lineRule="auto"/>
        <w:contextualSpacing/>
        <w:rPr>
          <w:rFonts w:eastAsiaTheme="minorEastAsia"/>
          <w:szCs w:val="22"/>
          <w:lang w:val="en-US"/>
        </w:rPr>
      </w:pPr>
      <w:r>
        <w:rPr>
          <w:rFonts w:eastAsiaTheme="minorEastAsia"/>
          <w:szCs w:val="22"/>
          <w:lang w:val="en-US"/>
        </w:rPr>
        <w:t>Note: capabilities listed as ‘not essential’ for this role are not relevant for recruitment purposes however may be relevant for future career development.</w:t>
      </w:r>
    </w:p>
    <w:p w14:paraId="07FA6A85" w14:textId="77777777" w:rsidR="00E05C09" w:rsidRDefault="00E05C09" w:rsidP="00E05C09">
      <w:pPr>
        <w:pStyle w:val="PlainText"/>
        <w:spacing w:before="62" w:after="0"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E05C09" w14:paraId="759E23BB" w14:textId="77777777" w:rsidTr="00E05C09">
        <w:trPr>
          <w:cnfStyle w:val="100000000000" w:firstRow="1" w:lastRow="0" w:firstColumn="0" w:lastColumn="0" w:oddVBand="0" w:evenVBand="0" w:oddHBand="0" w:evenHBand="0" w:firstRowFirstColumn="0" w:firstRowLastColumn="0" w:lastRowFirstColumn="0" w:lastRowLastColumn="0"/>
          <w:tblHeader/>
        </w:trPr>
        <w:tc>
          <w:tcPr>
            <w:tcW w:w="1276" w:type="dxa"/>
            <w:tcBorders>
              <w:top w:val="single" w:sz="4" w:space="0" w:color="auto"/>
              <w:left w:val="nil"/>
              <w:bottom w:val="single" w:sz="4" w:space="0" w:color="auto"/>
              <w:right w:val="nil"/>
            </w:tcBorders>
            <w:shd w:val="clear" w:color="auto" w:fill="BFBFBF" w:themeFill="background1" w:themeFillShade="BF"/>
            <w:vAlign w:val="center"/>
            <w:hideMark/>
          </w:tcPr>
          <w:p w14:paraId="2CD51B54" w14:textId="77777777" w:rsidR="00E05C09" w:rsidRDefault="00E05C09">
            <w:pPr>
              <w:rPr>
                <w:sz w:val="20"/>
              </w:rPr>
            </w:pPr>
            <w:r>
              <w:rPr>
                <w:b/>
                <w:sz w:val="20"/>
              </w:rPr>
              <w:t>Capability group/sets</w:t>
            </w:r>
          </w:p>
        </w:tc>
        <w:tc>
          <w:tcPr>
            <w:tcW w:w="2693" w:type="dxa"/>
            <w:tcBorders>
              <w:top w:val="single" w:sz="4" w:space="0" w:color="auto"/>
              <w:left w:val="nil"/>
              <w:bottom w:val="single" w:sz="4" w:space="0" w:color="auto"/>
              <w:right w:val="nil"/>
            </w:tcBorders>
            <w:shd w:val="clear" w:color="auto" w:fill="BFBFBF" w:themeFill="background1" w:themeFillShade="BF"/>
            <w:hideMark/>
          </w:tcPr>
          <w:p w14:paraId="06862309" w14:textId="77777777" w:rsidR="00E05C09" w:rsidRDefault="00E05C09">
            <w:pPr>
              <w:rPr>
                <w:sz w:val="20"/>
              </w:rPr>
            </w:pPr>
            <w:r>
              <w:rPr>
                <w:b/>
                <w:sz w:val="20"/>
              </w:rPr>
              <w:t>Capability name</w:t>
            </w:r>
          </w:p>
        </w:tc>
        <w:tc>
          <w:tcPr>
            <w:tcW w:w="4851" w:type="dxa"/>
            <w:tcBorders>
              <w:top w:val="single" w:sz="4" w:space="0" w:color="auto"/>
              <w:left w:val="nil"/>
              <w:bottom w:val="single" w:sz="4" w:space="0" w:color="auto"/>
              <w:right w:val="nil"/>
            </w:tcBorders>
            <w:shd w:val="clear" w:color="auto" w:fill="BFBFBF" w:themeFill="background1" w:themeFillShade="BF"/>
            <w:hideMark/>
          </w:tcPr>
          <w:p w14:paraId="62FAC89D" w14:textId="77777777" w:rsidR="00E05C09" w:rsidRDefault="00E05C09">
            <w:pPr>
              <w:rPr>
                <w:sz w:val="20"/>
              </w:rPr>
            </w:pPr>
            <w:r>
              <w:rPr>
                <w:b/>
                <w:sz w:val="20"/>
              </w:rPr>
              <w:t>Description</w:t>
            </w:r>
          </w:p>
        </w:tc>
        <w:tc>
          <w:tcPr>
            <w:tcW w:w="1668" w:type="dxa"/>
            <w:tcBorders>
              <w:top w:val="single" w:sz="4" w:space="0" w:color="auto"/>
              <w:left w:val="nil"/>
              <w:bottom w:val="single" w:sz="4" w:space="0" w:color="auto"/>
              <w:right w:val="nil"/>
            </w:tcBorders>
            <w:shd w:val="clear" w:color="auto" w:fill="BFBFBF" w:themeFill="background1" w:themeFillShade="BF"/>
            <w:hideMark/>
          </w:tcPr>
          <w:p w14:paraId="49EF1FA7" w14:textId="77777777" w:rsidR="00E05C09" w:rsidRDefault="00E05C09">
            <w:pPr>
              <w:rPr>
                <w:b/>
                <w:bCs/>
                <w:sz w:val="20"/>
              </w:rPr>
            </w:pPr>
            <w:r>
              <w:rPr>
                <w:b/>
                <w:bCs/>
                <w:sz w:val="20"/>
              </w:rPr>
              <w:t>Level</w:t>
            </w:r>
          </w:p>
        </w:tc>
      </w:tr>
      <w:tr w:rsidR="00E05C09" w14:paraId="63B16547" w14:textId="77777777" w:rsidTr="00E05C09">
        <w:trPr>
          <w:cantSplit/>
        </w:trPr>
        <w:tc>
          <w:tcPr>
            <w:tcW w:w="1276" w:type="dxa"/>
            <w:tcBorders>
              <w:top w:val="single" w:sz="4" w:space="0" w:color="auto"/>
              <w:left w:val="nil"/>
              <w:bottom w:val="single" w:sz="4" w:space="0" w:color="auto"/>
              <w:right w:val="nil"/>
            </w:tcBorders>
            <w:hideMark/>
          </w:tcPr>
          <w:p w14:paraId="4ECDA383" w14:textId="09BB98A5" w:rsidR="00E05C09" w:rsidRDefault="00E05C09">
            <w:pPr>
              <w:rPr>
                <w:sz w:val="20"/>
              </w:rPr>
            </w:pPr>
            <w:r>
              <w:rPr>
                <w:noProof/>
                <w:sz w:val="20"/>
                <w:lang w:eastAsia="en-AU"/>
              </w:rPr>
              <w:drawing>
                <wp:inline distT="0" distB="0" distL="0" distR="0" wp14:anchorId="7B24D363" wp14:editId="3E24180E">
                  <wp:extent cx="419100" cy="419100"/>
                  <wp:effectExtent l="0" t="0" r="0" b="0"/>
                  <wp:docPr id="21" name="Picture 21"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ersonal-attribu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2693" w:type="dxa"/>
            <w:tcBorders>
              <w:top w:val="single" w:sz="4" w:space="0" w:color="auto"/>
              <w:left w:val="nil"/>
              <w:bottom w:val="single" w:sz="4" w:space="0" w:color="auto"/>
              <w:right w:val="nil"/>
            </w:tcBorders>
            <w:hideMark/>
          </w:tcPr>
          <w:p w14:paraId="4206A5B1" w14:textId="77777777" w:rsidR="00E05C09" w:rsidRDefault="00E05C09">
            <w:pPr>
              <w:pStyle w:val="TableText"/>
            </w:pPr>
            <w:r>
              <w:t>Display Resilience and Courage</w:t>
            </w:r>
          </w:p>
        </w:tc>
        <w:tc>
          <w:tcPr>
            <w:tcW w:w="4851" w:type="dxa"/>
            <w:tcBorders>
              <w:top w:val="single" w:sz="4" w:space="0" w:color="auto"/>
              <w:left w:val="nil"/>
              <w:bottom w:val="single" w:sz="4" w:space="0" w:color="auto"/>
              <w:right w:val="nil"/>
            </w:tcBorders>
            <w:hideMark/>
          </w:tcPr>
          <w:p w14:paraId="140F4D9F" w14:textId="77777777" w:rsidR="00E05C09" w:rsidRDefault="00E05C09">
            <w:pPr>
              <w:pStyle w:val="TableText"/>
            </w:pPr>
            <w:r>
              <w:t>Be open and honest, prepared to express your views, and willing to accept and commit to change</w:t>
            </w:r>
          </w:p>
        </w:tc>
        <w:tc>
          <w:tcPr>
            <w:tcW w:w="1668" w:type="dxa"/>
            <w:tcBorders>
              <w:top w:val="single" w:sz="4" w:space="0" w:color="auto"/>
              <w:left w:val="nil"/>
              <w:bottom w:val="single" w:sz="4" w:space="0" w:color="auto"/>
              <w:right w:val="nil"/>
            </w:tcBorders>
            <w:hideMark/>
          </w:tcPr>
          <w:p w14:paraId="2A2189D4" w14:textId="77777777" w:rsidR="00E05C09" w:rsidRDefault="00E05C09">
            <w:pPr>
              <w:pStyle w:val="TableText"/>
            </w:pPr>
            <w:r>
              <w:t>Adept</w:t>
            </w:r>
          </w:p>
        </w:tc>
      </w:tr>
      <w:tr w:rsidR="00E05C09" w14:paraId="475B31F9" w14:textId="77777777" w:rsidTr="00E05C09">
        <w:trPr>
          <w:cantSplit/>
        </w:trPr>
        <w:tc>
          <w:tcPr>
            <w:tcW w:w="1276" w:type="dxa"/>
            <w:tcBorders>
              <w:top w:val="single" w:sz="4" w:space="0" w:color="auto"/>
              <w:left w:val="nil"/>
              <w:bottom w:val="single" w:sz="4" w:space="0" w:color="auto"/>
              <w:right w:val="nil"/>
            </w:tcBorders>
            <w:hideMark/>
          </w:tcPr>
          <w:p w14:paraId="278737C6" w14:textId="3C6DF1E7" w:rsidR="00E05C09" w:rsidRDefault="00E05C09">
            <w:pPr>
              <w:rPr>
                <w:sz w:val="20"/>
              </w:rPr>
            </w:pPr>
            <w:r>
              <w:rPr>
                <w:noProof/>
                <w:sz w:val="20"/>
                <w:lang w:eastAsia="en-AU"/>
              </w:rPr>
              <w:drawing>
                <wp:inline distT="0" distB="0" distL="0" distR="0" wp14:anchorId="4ECE8675" wp14:editId="3B621289">
                  <wp:extent cx="419100" cy="419100"/>
                  <wp:effectExtent l="0" t="0" r="0" b="0"/>
                  <wp:docPr id="20" name="Picture 20"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ersonal-attribu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2693" w:type="dxa"/>
            <w:tcBorders>
              <w:top w:val="single" w:sz="4" w:space="0" w:color="auto"/>
              <w:left w:val="nil"/>
              <w:bottom w:val="single" w:sz="4" w:space="0" w:color="auto"/>
              <w:right w:val="nil"/>
            </w:tcBorders>
            <w:hideMark/>
          </w:tcPr>
          <w:p w14:paraId="09737EC0" w14:textId="77777777" w:rsidR="00E05C09" w:rsidRDefault="00E05C09">
            <w:pPr>
              <w:pStyle w:val="TableText"/>
            </w:pPr>
            <w:r>
              <w:t>Act with Integrity</w:t>
            </w:r>
          </w:p>
        </w:tc>
        <w:tc>
          <w:tcPr>
            <w:tcW w:w="4851" w:type="dxa"/>
            <w:tcBorders>
              <w:top w:val="single" w:sz="4" w:space="0" w:color="auto"/>
              <w:left w:val="nil"/>
              <w:bottom w:val="single" w:sz="4" w:space="0" w:color="auto"/>
              <w:right w:val="nil"/>
            </w:tcBorders>
            <w:hideMark/>
          </w:tcPr>
          <w:p w14:paraId="2ED23ABB" w14:textId="77777777" w:rsidR="00E05C09" w:rsidRDefault="00E05C09">
            <w:pPr>
              <w:pStyle w:val="TableText"/>
            </w:pPr>
            <w:r>
              <w:t>Be ethical and professional, and uphold and promote the public sector values</w:t>
            </w:r>
          </w:p>
        </w:tc>
        <w:tc>
          <w:tcPr>
            <w:tcW w:w="1668" w:type="dxa"/>
            <w:tcBorders>
              <w:top w:val="single" w:sz="4" w:space="0" w:color="auto"/>
              <w:left w:val="nil"/>
              <w:bottom w:val="single" w:sz="4" w:space="0" w:color="auto"/>
              <w:right w:val="nil"/>
            </w:tcBorders>
            <w:hideMark/>
          </w:tcPr>
          <w:p w14:paraId="5223ED80" w14:textId="77777777" w:rsidR="00E05C09" w:rsidRDefault="00E05C09">
            <w:pPr>
              <w:pStyle w:val="TableText"/>
            </w:pPr>
            <w:r>
              <w:t>Adept</w:t>
            </w:r>
          </w:p>
        </w:tc>
      </w:tr>
      <w:tr w:rsidR="00E05C09" w14:paraId="6205BBC7" w14:textId="77777777" w:rsidTr="00E05C09">
        <w:trPr>
          <w:cantSplit/>
        </w:trPr>
        <w:tc>
          <w:tcPr>
            <w:tcW w:w="1276" w:type="dxa"/>
            <w:tcBorders>
              <w:top w:val="single" w:sz="4" w:space="0" w:color="auto"/>
              <w:left w:val="nil"/>
              <w:bottom w:val="single" w:sz="4" w:space="0" w:color="auto"/>
              <w:right w:val="nil"/>
            </w:tcBorders>
            <w:hideMark/>
          </w:tcPr>
          <w:p w14:paraId="1098FB92" w14:textId="42B4CD93" w:rsidR="00E05C09" w:rsidRDefault="00E05C09">
            <w:pPr>
              <w:rPr>
                <w:sz w:val="20"/>
              </w:rPr>
            </w:pPr>
            <w:r>
              <w:rPr>
                <w:noProof/>
                <w:sz w:val="20"/>
                <w:lang w:eastAsia="en-AU"/>
              </w:rPr>
              <w:lastRenderedPageBreak/>
              <w:drawing>
                <wp:inline distT="0" distB="0" distL="0" distR="0" wp14:anchorId="64091C54" wp14:editId="6C06248B">
                  <wp:extent cx="419100" cy="419100"/>
                  <wp:effectExtent l="0" t="0" r="0" b="0"/>
                  <wp:docPr id="19" name="Picture 19"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ersonal-attribu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2693" w:type="dxa"/>
            <w:tcBorders>
              <w:top w:val="single" w:sz="4" w:space="0" w:color="auto"/>
              <w:left w:val="nil"/>
              <w:bottom w:val="single" w:sz="4" w:space="0" w:color="auto"/>
              <w:right w:val="nil"/>
            </w:tcBorders>
            <w:hideMark/>
          </w:tcPr>
          <w:p w14:paraId="57F7C8E9" w14:textId="77777777" w:rsidR="00E05C09" w:rsidRDefault="00E05C09">
            <w:pPr>
              <w:pStyle w:val="TableText"/>
            </w:pPr>
            <w:r>
              <w:t>Value Diversity and Inclusion</w:t>
            </w:r>
          </w:p>
        </w:tc>
        <w:tc>
          <w:tcPr>
            <w:tcW w:w="4851" w:type="dxa"/>
            <w:tcBorders>
              <w:top w:val="single" w:sz="4" w:space="0" w:color="auto"/>
              <w:left w:val="nil"/>
              <w:bottom w:val="single" w:sz="4" w:space="0" w:color="auto"/>
              <w:right w:val="nil"/>
            </w:tcBorders>
            <w:hideMark/>
          </w:tcPr>
          <w:p w14:paraId="57E36750" w14:textId="77777777" w:rsidR="00E05C09" w:rsidRDefault="00E05C09">
            <w:pPr>
              <w:pStyle w:val="TableText"/>
            </w:pPr>
            <w:r>
              <w:t>Demonstrate inclusive behaviour and show respect for diverse backgrounds, experiences and perspectives</w:t>
            </w:r>
          </w:p>
        </w:tc>
        <w:tc>
          <w:tcPr>
            <w:tcW w:w="1668" w:type="dxa"/>
            <w:tcBorders>
              <w:top w:val="single" w:sz="4" w:space="0" w:color="auto"/>
              <w:left w:val="nil"/>
              <w:bottom w:val="single" w:sz="4" w:space="0" w:color="auto"/>
              <w:right w:val="nil"/>
            </w:tcBorders>
            <w:hideMark/>
          </w:tcPr>
          <w:p w14:paraId="49FF4BA4" w14:textId="77777777" w:rsidR="00E05C09" w:rsidRDefault="00E05C09">
            <w:pPr>
              <w:pStyle w:val="TableText"/>
            </w:pPr>
            <w:r>
              <w:t>Intermediate</w:t>
            </w:r>
          </w:p>
        </w:tc>
      </w:tr>
      <w:tr w:rsidR="00E05C09" w14:paraId="1CD8BBE3" w14:textId="77777777" w:rsidTr="00E05C09">
        <w:trPr>
          <w:cantSplit/>
        </w:trPr>
        <w:tc>
          <w:tcPr>
            <w:tcW w:w="1276" w:type="dxa"/>
            <w:tcBorders>
              <w:top w:val="single" w:sz="4" w:space="0" w:color="auto"/>
              <w:left w:val="nil"/>
              <w:bottom w:val="single" w:sz="4" w:space="0" w:color="auto"/>
              <w:right w:val="nil"/>
            </w:tcBorders>
            <w:hideMark/>
          </w:tcPr>
          <w:p w14:paraId="11019C09" w14:textId="7F016480" w:rsidR="00E05C09" w:rsidRDefault="00E05C09">
            <w:pPr>
              <w:rPr>
                <w:sz w:val="20"/>
              </w:rPr>
            </w:pPr>
            <w:r>
              <w:rPr>
                <w:noProof/>
                <w:sz w:val="20"/>
                <w:lang w:eastAsia="en-AU"/>
              </w:rPr>
              <w:drawing>
                <wp:inline distT="0" distB="0" distL="0" distR="0" wp14:anchorId="4C90BCF3" wp14:editId="0F59B1A9">
                  <wp:extent cx="419100" cy="419100"/>
                  <wp:effectExtent l="0" t="0" r="0" b="0"/>
                  <wp:docPr id="18" name="Picture 18"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lationshi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2693" w:type="dxa"/>
            <w:tcBorders>
              <w:top w:val="single" w:sz="4" w:space="0" w:color="auto"/>
              <w:left w:val="nil"/>
              <w:bottom w:val="single" w:sz="4" w:space="0" w:color="auto"/>
              <w:right w:val="nil"/>
            </w:tcBorders>
            <w:hideMark/>
          </w:tcPr>
          <w:p w14:paraId="05CBB77A" w14:textId="77777777" w:rsidR="00E05C09" w:rsidRDefault="00E05C09">
            <w:pPr>
              <w:pStyle w:val="TableText"/>
            </w:pPr>
            <w:r>
              <w:t>Commit to Customer Service</w:t>
            </w:r>
          </w:p>
        </w:tc>
        <w:tc>
          <w:tcPr>
            <w:tcW w:w="4851" w:type="dxa"/>
            <w:tcBorders>
              <w:top w:val="single" w:sz="4" w:space="0" w:color="auto"/>
              <w:left w:val="nil"/>
              <w:bottom w:val="single" w:sz="4" w:space="0" w:color="auto"/>
              <w:right w:val="nil"/>
            </w:tcBorders>
            <w:hideMark/>
          </w:tcPr>
          <w:p w14:paraId="734A6B41" w14:textId="77777777" w:rsidR="00E05C09" w:rsidRDefault="00E05C09">
            <w:pPr>
              <w:pStyle w:val="TableText"/>
            </w:pPr>
            <w:r>
              <w:t>Provide customer-focused services in line with public sector and organisational objectives</w:t>
            </w:r>
          </w:p>
        </w:tc>
        <w:tc>
          <w:tcPr>
            <w:tcW w:w="1668" w:type="dxa"/>
            <w:tcBorders>
              <w:top w:val="single" w:sz="4" w:space="0" w:color="auto"/>
              <w:left w:val="nil"/>
              <w:bottom w:val="single" w:sz="4" w:space="0" w:color="auto"/>
              <w:right w:val="nil"/>
            </w:tcBorders>
            <w:hideMark/>
          </w:tcPr>
          <w:p w14:paraId="090195B3" w14:textId="77777777" w:rsidR="00E05C09" w:rsidRDefault="00E05C09">
            <w:pPr>
              <w:pStyle w:val="TableText"/>
            </w:pPr>
            <w:r>
              <w:t>Intermediate</w:t>
            </w:r>
          </w:p>
        </w:tc>
      </w:tr>
      <w:tr w:rsidR="00E05C09" w14:paraId="3446D9FC" w14:textId="77777777" w:rsidTr="00E05C09">
        <w:trPr>
          <w:cantSplit/>
        </w:trPr>
        <w:tc>
          <w:tcPr>
            <w:tcW w:w="1276" w:type="dxa"/>
            <w:tcBorders>
              <w:top w:val="single" w:sz="4" w:space="0" w:color="auto"/>
              <w:left w:val="nil"/>
              <w:bottom w:val="single" w:sz="4" w:space="0" w:color="auto"/>
              <w:right w:val="nil"/>
            </w:tcBorders>
            <w:hideMark/>
          </w:tcPr>
          <w:p w14:paraId="41ACAE5C" w14:textId="128498F0" w:rsidR="00E05C09" w:rsidRDefault="00E05C09">
            <w:pPr>
              <w:rPr>
                <w:sz w:val="20"/>
              </w:rPr>
            </w:pPr>
            <w:r>
              <w:rPr>
                <w:noProof/>
                <w:sz w:val="20"/>
                <w:lang w:eastAsia="en-AU"/>
              </w:rPr>
              <w:drawing>
                <wp:inline distT="0" distB="0" distL="0" distR="0" wp14:anchorId="67AD8879" wp14:editId="2C82019C">
                  <wp:extent cx="419100" cy="419100"/>
                  <wp:effectExtent l="0" t="0" r="0" b="0"/>
                  <wp:docPr id="16" name="Picture 16"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lationshi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2693" w:type="dxa"/>
            <w:tcBorders>
              <w:top w:val="single" w:sz="4" w:space="0" w:color="auto"/>
              <w:left w:val="nil"/>
              <w:bottom w:val="single" w:sz="4" w:space="0" w:color="auto"/>
              <w:right w:val="nil"/>
            </w:tcBorders>
            <w:hideMark/>
          </w:tcPr>
          <w:p w14:paraId="18A9D06C" w14:textId="77777777" w:rsidR="00E05C09" w:rsidRDefault="00E05C09">
            <w:pPr>
              <w:pStyle w:val="TableText"/>
            </w:pPr>
            <w:r>
              <w:t>Work Collaboratively</w:t>
            </w:r>
          </w:p>
        </w:tc>
        <w:tc>
          <w:tcPr>
            <w:tcW w:w="4851" w:type="dxa"/>
            <w:tcBorders>
              <w:top w:val="single" w:sz="4" w:space="0" w:color="auto"/>
              <w:left w:val="nil"/>
              <w:bottom w:val="single" w:sz="4" w:space="0" w:color="auto"/>
              <w:right w:val="nil"/>
            </w:tcBorders>
            <w:hideMark/>
          </w:tcPr>
          <w:p w14:paraId="45AD8046" w14:textId="77777777" w:rsidR="00E05C09" w:rsidRDefault="00E05C09">
            <w:pPr>
              <w:pStyle w:val="TableText"/>
            </w:pPr>
            <w:r>
              <w:t>Collaborate with others and value their contribution</w:t>
            </w:r>
          </w:p>
        </w:tc>
        <w:tc>
          <w:tcPr>
            <w:tcW w:w="1668" w:type="dxa"/>
            <w:tcBorders>
              <w:top w:val="single" w:sz="4" w:space="0" w:color="auto"/>
              <w:left w:val="nil"/>
              <w:bottom w:val="single" w:sz="4" w:space="0" w:color="auto"/>
              <w:right w:val="nil"/>
            </w:tcBorders>
            <w:hideMark/>
          </w:tcPr>
          <w:p w14:paraId="2C1ECA62" w14:textId="77777777" w:rsidR="00E05C09" w:rsidRDefault="00E05C09">
            <w:pPr>
              <w:pStyle w:val="TableText"/>
            </w:pPr>
            <w:r>
              <w:t>Adept</w:t>
            </w:r>
          </w:p>
        </w:tc>
      </w:tr>
      <w:tr w:rsidR="00E05C09" w14:paraId="2AA6036B" w14:textId="77777777" w:rsidTr="00E05C09">
        <w:trPr>
          <w:cantSplit/>
        </w:trPr>
        <w:tc>
          <w:tcPr>
            <w:tcW w:w="1276" w:type="dxa"/>
            <w:tcBorders>
              <w:top w:val="single" w:sz="4" w:space="0" w:color="auto"/>
              <w:left w:val="nil"/>
              <w:bottom w:val="single" w:sz="4" w:space="0" w:color="auto"/>
              <w:right w:val="nil"/>
            </w:tcBorders>
            <w:hideMark/>
          </w:tcPr>
          <w:p w14:paraId="1D255DDC" w14:textId="031AA529" w:rsidR="00E05C09" w:rsidRDefault="00E05C09">
            <w:pPr>
              <w:rPr>
                <w:sz w:val="20"/>
              </w:rPr>
            </w:pPr>
            <w:r>
              <w:rPr>
                <w:noProof/>
                <w:sz w:val="20"/>
                <w:lang w:eastAsia="en-AU"/>
              </w:rPr>
              <w:drawing>
                <wp:inline distT="0" distB="0" distL="0" distR="0" wp14:anchorId="07596DC4" wp14:editId="63746384">
                  <wp:extent cx="419100" cy="419100"/>
                  <wp:effectExtent l="0" t="0" r="0" b="0"/>
                  <wp:docPr id="15" name="Picture 15"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sul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2693" w:type="dxa"/>
            <w:tcBorders>
              <w:top w:val="single" w:sz="4" w:space="0" w:color="auto"/>
              <w:left w:val="nil"/>
              <w:bottom w:val="single" w:sz="4" w:space="0" w:color="auto"/>
              <w:right w:val="nil"/>
            </w:tcBorders>
            <w:hideMark/>
          </w:tcPr>
          <w:p w14:paraId="3D8E7513" w14:textId="77777777" w:rsidR="00E05C09" w:rsidRDefault="00E05C09">
            <w:pPr>
              <w:pStyle w:val="TableText"/>
            </w:pPr>
            <w:r>
              <w:t>Deliver Results</w:t>
            </w:r>
          </w:p>
        </w:tc>
        <w:tc>
          <w:tcPr>
            <w:tcW w:w="4851" w:type="dxa"/>
            <w:tcBorders>
              <w:top w:val="single" w:sz="4" w:space="0" w:color="auto"/>
              <w:left w:val="nil"/>
              <w:bottom w:val="single" w:sz="4" w:space="0" w:color="auto"/>
              <w:right w:val="nil"/>
            </w:tcBorders>
            <w:hideMark/>
          </w:tcPr>
          <w:p w14:paraId="1D2E1D91" w14:textId="77777777" w:rsidR="00E05C09" w:rsidRDefault="00E05C09">
            <w:pPr>
              <w:pStyle w:val="TableText"/>
            </w:pPr>
            <w:r>
              <w:t>Achieve results through the efficient use of resources and a commitment to quality outcomes</w:t>
            </w:r>
          </w:p>
        </w:tc>
        <w:tc>
          <w:tcPr>
            <w:tcW w:w="1668" w:type="dxa"/>
            <w:tcBorders>
              <w:top w:val="single" w:sz="4" w:space="0" w:color="auto"/>
              <w:left w:val="nil"/>
              <w:bottom w:val="single" w:sz="4" w:space="0" w:color="auto"/>
              <w:right w:val="nil"/>
            </w:tcBorders>
            <w:hideMark/>
          </w:tcPr>
          <w:p w14:paraId="0D30F7FB" w14:textId="77777777" w:rsidR="00E05C09" w:rsidRDefault="00E05C09">
            <w:pPr>
              <w:pStyle w:val="TableText"/>
            </w:pPr>
            <w:r>
              <w:t>Intermediate</w:t>
            </w:r>
          </w:p>
        </w:tc>
      </w:tr>
      <w:tr w:rsidR="00E05C09" w14:paraId="03921CC2" w14:textId="77777777" w:rsidTr="00E05C09">
        <w:trPr>
          <w:cantSplit/>
        </w:trPr>
        <w:tc>
          <w:tcPr>
            <w:tcW w:w="1276" w:type="dxa"/>
            <w:tcBorders>
              <w:top w:val="single" w:sz="4" w:space="0" w:color="auto"/>
              <w:left w:val="nil"/>
              <w:bottom w:val="single" w:sz="4" w:space="0" w:color="auto"/>
              <w:right w:val="nil"/>
            </w:tcBorders>
            <w:hideMark/>
          </w:tcPr>
          <w:p w14:paraId="3DDDF24B" w14:textId="68F0409E" w:rsidR="00E05C09" w:rsidRDefault="00E05C09">
            <w:pPr>
              <w:rPr>
                <w:sz w:val="20"/>
              </w:rPr>
            </w:pPr>
            <w:r>
              <w:rPr>
                <w:noProof/>
                <w:sz w:val="20"/>
                <w:lang w:eastAsia="en-AU"/>
              </w:rPr>
              <w:drawing>
                <wp:inline distT="0" distB="0" distL="0" distR="0" wp14:anchorId="0CD4A996" wp14:editId="7CD74147">
                  <wp:extent cx="419100" cy="419100"/>
                  <wp:effectExtent l="0" t="0" r="0" b="0"/>
                  <wp:docPr id="14" name="Picture 14"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sul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2693" w:type="dxa"/>
            <w:tcBorders>
              <w:top w:val="single" w:sz="4" w:space="0" w:color="auto"/>
              <w:left w:val="nil"/>
              <w:bottom w:val="single" w:sz="4" w:space="0" w:color="auto"/>
              <w:right w:val="nil"/>
            </w:tcBorders>
            <w:hideMark/>
          </w:tcPr>
          <w:p w14:paraId="06A4F999" w14:textId="77777777" w:rsidR="00E05C09" w:rsidRDefault="00E05C09">
            <w:pPr>
              <w:pStyle w:val="TableText"/>
            </w:pPr>
            <w:r>
              <w:t>Think and Solve Problems</w:t>
            </w:r>
          </w:p>
        </w:tc>
        <w:tc>
          <w:tcPr>
            <w:tcW w:w="4851" w:type="dxa"/>
            <w:tcBorders>
              <w:top w:val="single" w:sz="4" w:space="0" w:color="auto"/>
              <w:left w:val="nil"/>
              <w:bottom w:val="single" w:sz="4" w:space="0" w:color="auto"/>
              <w:right w:val="nil"/>
            </w:tcBorders>
            <w:hideMark/>
          </w:tcPr>
          <w:p w14:paraId="0208079A" w14:textId="77777777" w:rsidR="00E05C09" w:rsidRDefault="00E05C09">
            <w:pPr>
              <w:pStyle w:val="TableText"/>
            </w:pPr>
            <w:r>
              <w:t>Think, analyse and consider the broader context to develop practical solutions</w:t>
            </w:r>
          </w:p>
        </w:tc>
        <w:tc>
          <w:tcPr>
            <w:tcW w:w="1668" w:type="dxa"/>
            <w:tcBorders>
              <w:top w:val="single" w:sz="4" w:space="0" w:color="auto"/>
              <w:left w:val="nil"/>
              <w:bottom w:val="single" w:sz="4" w:space="0" w:color="auto"/>
              <w:right w:val="nil"/>
            </w:tcBorders>
            <w:hideMark/>
          </w:tcPr>
          <w:p w14:paraId="09184816" w14:textId="77777777" w:rsidR="00E05C09" w:rsidRDefault="00E05C09">
            <w:pPr>
              <w:pStyle w:val="TableText"/>
            </w:pPr>
            <w:r>
              <w:t>Adept</w:t>
            </w:r>
          </w:p>
        </w:tc>
      </w:tr>
      <w:tr w:rsidR="00E05C09" w14:paraId="7AEE3812" w14:textId="77777777" w:rsidTr="00E05C09">
        <w:trPr>
          <w:cantSplit/>
        </w:trPr>
        <w:tc>
          <w:tcPr>
            <w:tcW w:w="1276" w:type="dxa"/>
            <w:tcBorders>
              <w:top w:val="single" w:sz="4" w:space="0" w:color="auto"/>
              <w:left w:val="nil"/>
              <w:bottom w:val="single" w:sz="4" w:space="0" w:color="auto"/>
              <w:right w:val="nil"/>
            </w:tcBorders>
            <w:hideMark/>
          </w:tcPr>
          <w:p w14:paraId="176601C1" w14:textId="5AEBBE10" w:rsidR="00E05C09" w:rsidRDefault="00E05C09">
            <w:pPr>
              <w:rPr>
                <w:sz w:val="20"/>
              </w:rPr>
            </w:pPr>
            <w:r>
              <w:rPr>
                <w:noProof/>
                <w:sz w:val="20"/>
                <w:lang w:eastAsia="en-AU"/>
              </w:rPr>
              <w:drawing>
                <wp:inline distT="0" distB="0" distL="0" distR="0" wp14:anchorId="557A8781" wp14:editId="0B6FCBD7">
                  <wp:extent cx="419100" cy="419100"/>
                  <wp:effectExtent l="0" t="0" r="0" b="0"/>
                  <wp:docPr id="13" name="Picture 13"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esul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2693" w:type="dxa"/>
            <w:tcBorders>
              <w:top w:val="single" w:sz="4" w:space="0" w:color="auto"/>
              <w:left w:val="nil"/>
              <w:bottom w:val="single" w:sz="4" w:space="0" w:color="auto"/>
              <w:right w:val="nil"/>
            </w:tcBorders>
            <w:hideMark/>
          </w:tcPr>
          <w:p w14:paraId="3F5E180B" w14:textId="77777777" w:rsidR="00E05C09" w:rsidRDefault="00E05C09">
            <w:pPr>
              <w:pStyle w:val="TableText"/>
            </w:pPr>
            <w:r>
              <w:t>Demonstrate Accountability</w:t>
            </w:r>
          </w:p>
        </w:tc>
        <w:tc>
          <w:tcPr>
            <w:tcW w:w="4851" w:type="dxa"/>
            <w:tcBorders>
              <w:top w:val="single" w:sz="4" w:space="0" w:color="auto"/>
              <w:left w:val="nil"/>
              <w:bottom w:val="single" w:sz="4" w:space="0" w:color="auto"/>
              <w:right w:val="nil"/>
            </w:tcBorders>
            <w:hideMark/>
          </w:tcPr>
          <w:p w14:paraId="17CD2328" w14:textId="77777777" w:rsidR="00E05C09" w:rsidRDefault="00E05C09">
            <w:pPr>
              <w:pStyle w:val="TableText"/>
            </w:pPr>
            <w:r>
              <w:t>Be proactive and responsible for own actions, and adhere to legislation, policy and guidelines</w:t>
            </w:r>
          </w:p>
        </w:tc>
        <w:tc>
          <w:tcPr>
            <w:tcW w:w="1668" w:type="dxa"/>
            <w:tcBorders>
              <w:top w:val="single" w:sz="4" w:space="0" w:color="auto"/>
              <w:left w:val="nil"/>
              <w:bottom w:val="single" w:sz="4" w:space="0" w:color="auto"/>
              <w:right w:val="nil"/>
            </w:tcBorders>
            <w:hideMark/>
          </w:tcPr>
          <w:p w14:paraId="33CA821C" w14:textId="77777777" w:rsidR="00E05C09" w:rsidRDefault="00E05C09">
            <w:pPr>
              <w:pStyle w:val="TableText"/>
            </w:pPr>
            <w:r>
              <w:t>Adept</w:t>
            </w:r>
          </w:p>
        </w:tc>
      </w:tr>
      <w:tr w:rsidR="00E05C09" w14:paraId="66201CEC" w14:textId="77777777" w:rsidTr="00E05C09">
        <w:trPr>
          <w:cantSplit/>
        </w:trPr>
        <w:tc>
          <w:tcPr>
            <w:tcW w:w="1276" w:type="dxa"/>
            <w:tcBorders>
              <w:top w:val="single" w:sz="4" w:space="0" w:color="auto"/>
              <w:left w:val="nil"/>
              <w:bottom w:val="single" w:sz="4" w:space="0" w:color="auto"/>
              <w:right w:val="nil"/>
            </w:tcBorders>
            <w:hideMark/>
          </w:tcPr>
          <w:p w14:paraId="1FEA0AD2" w14:textId="68A568C3" w:rsidR="00E05C09" w:rsidRDefault="00E05C09">
            <w:pPr>
              <w:rPr>
                <w:sz w:val="20"/>
              </w:rPr>
            </w:pPr>
            <w:r>
              <w:rPr>
                <w:noProof/>
                <w:sz w:val="20"/>
                <w:lang w:eastAsia="en-AU"/>
              </w:rPr>
              <w:drawing>
                <wp:inline distT="0" distB="0" distL="0" distR="0" wp14:anchorId="58AD398D" wp14:editId="1A0FBBD4">
                  <wp:extent cx="419100" cy="419100"/>
                  <wp:effectExtent l="0" t="0" r="0" b="0"/>
                  <wp:docPr id="12" name="Picture 12"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usiness-enabl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2693" w:type="dxa"/>
            <w:tcBorders>
              <w:top w:val="single" w:sz="4" w:space="0" w:color="auto"/>
              <w:left w:val="nil"/>
              <w:bottom w:val="single" w:sz="4" w:space="0" w:color="auto"/>
              <w:right w:val="nil"/>
            </w:tcBorders>
            <w:hideMark/>
          </w:tcPr>
          <w:p w14:paraId="70ADCC90" w14:textId="77777777" w:rsidR="00E05C09" w:rsidRDefault="00E05C09">
            <w:pPr>
              <w:pStyle w:val="TableText"/>
            </w:pPr>
            <w:r>
              <w:t>Finance</w:t>
            </w:r>
          </w:p>
        </w:tc>
        <w:tc>
          <w:tcPr>
            <w:tcW w:w="4851" w:type="dxa"/>
            <w:tcBorders>
              <w:top w:val="single" w:sz="4" w:space="0" w:color="auto"/>
              <w:left w:val="nil"/>
              <w:bottom w:val="single" w:sz="4" w:space="0" w:color="auto"/>
              <w:right w:val="nil"/>
            </w:tcBorders>
            <w:hideMark/>
          </w:tcPr>
          <w:p w14:paraId="568DABF1" w14:textId="77777777" w:rsidR="00E05C09" w:rsidRDefault="00E05C09">
            <w:pPr>
              <w:pStyle w:val="TableText"/>
            </w:pPr>
            <w:r>
              <w:t>Understand and apply financial processes to achieve value for money and minimise financial risk</w:t>
            </w:r>
          </w:p>
        </w:tc>
        <w:tc>
          <w:tcPr>
            <w:tcW w:w="1668" w:type="dxa"/>
            <w:tcBorders>
              <w:top w:val="single" w:sz="4" w:space="0" w:color="auto"/>
              <w:left w:val="nil"/>
              <w:bottom w:val="single" w:sz="4" w:space="0" w:color="auto"/>
              <w:right w:val="nil"/>
            </w:tcBorders>
            <w:hideMark/>
          </w:tcPr>
          <w:p w14:paraId="140A31AB" w14:textId="77777777" w:rsidR="00E05C09" w:rsidRDefault="00E05C09">
            <w:pPr>
              <w:pStyle w:val="TableText"/>
            </w:pPr>
            <w:r>
              <w:t>Intermediate</w:t>
            </w:r>
          </w:p>
        </w:tc>
      </w:tr>
      <w:tr w:rsidR="00E05C09" w14:paraId="2678901B" w14:textId="77777777" w:rsidTr="00E05C09">
        <w:trPr>
          <w:cantSplit/>
        </w:trPr>
        <w:tc>
          <w:tcPr>
            <w:tcW w:w="1276" w:type="dxa"/>
            <w:tcBorders>
              <w:top w:val="single" w:sz="4" w:space="0" w:color="auto"/>
              <w:left w:val="nil"/>
              <w:bottom w:val="single" w:sz="4" w:space="0" w:color="auto"/>
              <w:right w:val="nil"/>
            </w:tcBorders>
            <w:hideMark/>
          </w:tcPr>
          <w:p w14:paraId="79028596" w14:textId="7C036138" w:rsidR="00E05C09" w:rsidRDefault="00E05C09">
            <w:pPr>
              <w:rPr>
                <w:sz w:val="20"/>
              </w:rPr>
            </w:pPr>
            <w:r>
              <w:rPr>
                <w:noProof/>
                <w:sz w:val="20"/>
                <w:lang w:eastAsia="en-AU"/>
              </w:rPr>
              <w:drawing>
                <wp:inline distT="0" distB="0" distL="0" distR="0" wp14:anchorId="0885C053" wp14:editId="3E9883C1">
                  <wp:extent cx="419100" cy="419100"/>
                  <wp:effectExtent l="0" t="0" r="0" b="0"/>
                  <wp:docPr id="11" name="Picture 11"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usiness-enabl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2693" w:type="dxa"/>
            <w:tcBorders>
              <w:top w:val="single" w:sz="4" w:space="0" w:color="auto"/>
              <w:left w:val="nil"/>
              <w:bottom w:val="single" w:sz="4" w:space="0" w:color="auto"/>
              <w:right w:val="nil"/>
            </w:tcBorders>
            <w:hideMark/>
          </w:tcPr>
          <w:p w14:paraId="70CBD55C" w14:textId="77777777" w:rsidR="00E05C09" w:rsidRDefault="00E05C09">
            <w:pPr>
              <w:pStyle w:val="TableText"/>
            </w:pPr>
            <w:r>
              <w:t>Procurement and Contract Management</w:t>
            </w:r>
          </w:p>
        </w:tc>
        <w:tc>
          <w:tcPr>
            <w:tcW w:w="4851" w:type="dxa"/>
            <w:tcBorders>
              <w:top w:val="single" w:sz="4" w:space="0" w:color="auto"/>
              <w:left w:val="nil"/>
              <w:bottom w:val="single" w:sz="4" w:space="0" w:color="auto"/>
              <w:right w:val="nil"/>
            </w:tcBorders>
            <w:hideMark/>
          </w:tcPr>
          <w:p w14:paraId="56C50CA7" w14:textId="77777777" w:rsidR="00E05C09" w:rsidRDefault="00E05C09">
            <w:pPr>
              <w:pStyle w:val="TableText"/>
            </w:pPr>
            <w:r>
              <w:t>Understand and apply procurement processes to ensure effective purchasing and contract performance</w:t>
            </w:r>
          </w:p>
        </w:tc>
        <w:tc>
          <w:tcPr>
            <w:tcW w:w="1668" w:type="dxa"/>
            <w:tcBorders>
              <w:top w:val="single" w:sz="4" w:space="0" w:color="auto"/>
              <w:left w:val="nil"/>
              <w:bottom w:val="single" w:sz="4" w:space="0" w:color="auto"/>
              <w:right w:val="nil"/>
            </w:tcBorders>
            <w:hideMark/>
          </w:tcPr>
          <w:p w14:paraId="6083419A" w14:textId="77777777" w:rsidR="00E05C09" w:rsidRDefault="00E05C09">
            <w:pPr>
              <w:pStyle w:val="TableText"/>
            </w:pPr>
            <w:r>
              <w:t>Intermediate</w:t>
            </w:r>
          </w:p>
        </w:tc>
      </w:tr>
      <w:tr w:rsidR="00E05C09" w14:paraId="72DA9B97" w14:textId="77777777" w:rsidTr="00E05C09">
        <w:trPr>
          <w:cantSplit/>
        </w:trPr>
        <w:tc>
          <w:tcPr>
            <w:tcW w:w="1276" w:type="dxa"/>
            <w:tcBorders>
              <w:top w:val="single" w:sz="4" w:space="0" w:color="auto"/>
              <w:left w:val="nil"/>
              <w:bottom w:val="single" w:sz="4" w:space="0" w:color="auto"/>
              <w:right w:val="nil"/>
            </w:tcBorders>
            <w:hideMark/>
          </w:tcPr>
          <w:p w14:paraId="7A3D2982" w14:textId="7B52361E" w:rsidR="00E05C09" w:rsidRDefault="00E05C09">
            <w:pPr>
              <w:rPr>
                <w:sz w:val="20"/>
              </w:rPr>
            </w:pPr>
            <w:r>
              <w:rPr>
                <w:noProof/>
                <w:sz w:val="20"/>
                <w:lang w:eastAsia="en-AU"/>
              </w:rPr>
              <w:drawing>
                <wp:inline distT="0" distB="0" distL="0" distR="0" wp14:anchorId="0E2FEB6D" wp14:editId="763C1DDA">
                  <wp:extent cx="419100" cy="419100"/>
                  <wp:effectExtent l="0" t="0" r="0" b="0"/>
                  <wp:docPr id="10" name="Picture 10"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business-enabl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2693" w:type="dxa"/>
            <w:tcBorders>
              <w:top w:val="single" w:sz="4" w:space="0" w:color="auto"/>
              <w:left w:val="nil"/>
              <w:bottom w:val="single" w:sz="4" w:space="0" w:color="auto"/>
              <w:right w:val="nil"/>
            </w:tcBorders>
            <w:hideMark/>
          </w:tcPr>
          <w:p w14:paraId="176E47EE" w14:textId="77777777" w:rsidR="00E05C09" w:rsidRDefault="00E05C09">
            <w:pPr>
              <w:pStyle w:val="TableText"/>
            </w:pPr>
            <w:r>
              <w:t>Project Management</w:t>
            </w:r>
          </w:p>
        </w:tc>
        <w:tc>
          <w:tcPr>
            <w:tcW w:w="4851" w:type="dxa"/>
            <w:tcBorders>
              <w:top w:val="single" w:sz="4" w:space="0" w:color="auto"/>
              <w:left w:val="nil"/>
              <w:bottom w:val="single" w:sz="4" w:space="0" w:color="auto"/>
              <w:right w:val="nil"/>
            </w:tcBorders>
            <w:hideMark/>
          </w:tcPr>
          <w:p w14:paraId="7CCA37EB" w14:textId="77777777" w:rsidR="00E05C09" w:rsidRDefault="00E05C09">
            <w:pPr>
              <w:pStyle w:val="TableText"/>
            </w:pPr>
            <w:r>
              <w:t>Understand and apply effective planning, coordination and control methods</w:t>
            </w:r>
          </w:p>
        </w:tc>
        <w:tc>
          <w:tcPr>
            <w:tcW w:w="1668" w:type="dxa"/>
            <w:tcBorders>
              <w:top w:val="single" w:sz="4" w:space="0" w:color="auto"/>
              <w:left w:val="nil"/>
              <w:bottom w:val="single" w:sz="4" w:space="0" w:color="auto"/>
              <w:right w:val="nil"/>
            </w:tcBorders>
            <w:hideMark/>
          </w:tcPr>
          <w:p w14:paraId="74D036FE" w14:textId="77777777" w:rsidR="00E05C09" w:rsidRDefault="00E05C09">
            <w:pPr>
              <w:pStyle w:val="TableText"/>
            </w:pPr>
            <w:r>
              <w:t>Adept</w:t>
            </w:r>
          </w:p>
        </w:tc>
      </w:tr>
    </w:tbl>
    <w:p w14:paraId="35CFAA21" w14:textId="77777777" w:rsidR="00E05C09" w:rsidRDefault="00E05C09" w:rsidP="001203EE">
      <w:pPr>
        <w:contextualSpacing/>
      </w:pPr>
    </w:p>
    <w:sectPr w:rsidR="00E05C09" w:rsidSect="00115AF2">
      <w:footerReference w:type="default" r:id="rId18"/>
      <w:footerReference w:type="first" r:id="rId19"/>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489C0" w14:textId="77777777" w:rsidR="00110E56" w:rsidRDefault="00110E56" w:rsidP="00AC273D">
      <w:pPr>
        <w:spacing w:after="0"/>
      </w:pPr>
      <w:r>
        <w:separator/>
      </w:r>
    </w:p>
  </w:endnote>
  <w:endnote w:type="continuationSeparator" w:id="0">
    <w:p w14:paraId="69EB2E0B" w14:textId="77777777" w:rsidR="00110E56" w:rsidRDefault="00110E56"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1E728" w14:textId="4C436A45"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 xml:space="preserve">Senior Security </w:t>
    </w:r>
    <w:r w:rsidR="00C76ABC" w:rsidRPr="00C76ABC">
      <w:rPr>
        <w:color w:val="262626" w:themeColor="text1" w:themeTint="D9"/>
      </w:rPr>
      <w:t xml:space="preserve">Resilience Specialist </w:t>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2F0C45A5" wp14:editId="04D885FD">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1EFD9D75" w14:textId="77777777" w:rsidR="00A90F97" w:rsidRPr="001E2B26" w:rsidRDefault="00A90F97" w:rsidP="00051237">
    <w:pPr>
      <w:pStyle w:val="Footer"/>
      <w:rPr>
        <w:sz w:val="12"/>
        <w:szCs w:val="12"/>
      </w:rPr>
    </w:pPr>
  </w:p>
  <w:p w14:paraId="028E66A0"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ABDDC"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70926E8C"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0198F37C" wp14:editId="63C194D7">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3CA7D198"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70822" w14:textId="77777777" w:rsidR="00110E56" w:rsidRDefault="00110E56" w:rsidP="00AC273D">
      <w:pPr>
        <w:spacing w:after="0"/>
      </w:pPr>
      <w:r>
        <w:separator/>
      </w:r>
    </w:p>
  </w:footnote>
  <w:footnote w:type="continuationSeparator" w:id="0">
    <w:p w14:paraId="6257180D" w14:textId="77777777" w:rsidR="00110E56" w:rsidRDefault="00110E56" w:rsidP="00AC2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56E4A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013DB"/>
    <w:multiLevelType w:val="multilevel"/>
    <w:tmpl w:val="C2C8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B3C86"/>
    <w:multiLevelType w:val="hybridMultilevel"/>
    <w:tmpl w:val="316C7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27533B"/>
    <w:multiLevelType w:val="multilevel"/>
    <w:tmpl w:val="AEE4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2C38F9"/>
    <w:multiLevelType w:val="multilevel"/>
    <w:tmpl w:val="AC88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854AA"/>
    <w:multiLevelType w:val="multilevel"/>
    <w:tmpl w:val="8BA2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808A8"/>
    <w:multiLevelType w:val="hybridMultilevel"/>
    <w:tmpl w:val="91FA9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68745D3"/>
    <w:multiLevelType w:val="hybridMultilevel"/>
    <w:tmpl w:val="D53CED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445808"/>
    <w:multiLevelType w:val="multilevel"/>
    <w:tmpl w:val="DC4E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0"/>
  </w:num>
  <w:num w:numId="13">
    <w:abstractNumId w:val="18"/>
  </w:num>
  <w:num w:numId="14">
    <w:abstractNumId w:val="15"/>
  </w:num>
  <w:num w:numId="15">
    <w:abstractNumId w:val="9"/>
  </w:num>
  <w:num w:numId="16">
    <w:abstractNumId w:val="9"/>
  </w:num>
  <w:num w:numId="17">
    <w:abstractNumId w:val="19"/>
  </w:num>
  <w:num w:numId="18">
    <w:abstractNumId w:val="13"/>
  </w:num>
  <w:num w:numId="19">
    <w:abstractNumId w:val="11"/>
  </w:num>
  <w:num w:numId="20">
    <w:abstractNumId w:val="14"/>
  </w:num>
  <w:num w:numId="21">
    <w:abstractNumId w:val="21"/>
  </w:num>
  <w:num w:numId="22">
    <w:abstractNumId w:val="12"/>
  </w:num>
  <w:num w:numId="23">
    <w:abstractNumId w:val="16"/>
  </w:num>
  <w:num w:numId="24">
    <w:abstractNumId w:val="10"/>
  </w:num>
  <w:num w:numId="2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174"/>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0C01"/>
    <w:rsid w:val="0009116E"/>
    <w:rsid w:val="000915AA"/>
    <w:rsid w:val="00092A99"/>
    <w:rsid w:val="00094538"/>
    <w:rsid w:val="0009663A"/>
    <w:rsid w:val="000967EB"/>
    <w:rsid w:val="000975C1"/>
    <w:rsid w:val="00097802"/>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D4301"/>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0E56"/>
    <w:rsid w:val="0011338E"/>
    <w:rsid w:val="001142DA"/>
    <w:rsid w:val="00115AF2"/>
    <w:rsid w:val="0011627F"/>
    <w:rsid w:val="00116B0F"/>
    <w:rsid w:val="00116F0D"/>
    <w:rsid w:val="001203B5"/>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3A3E"/>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07DB"/>
    <w:rsid w:val="00202CD4"/>
    <w:rsid w:val="00203E4E"/>
    <w:rsid w:val="00213ED7"/>
    <w:rsid w:val="00220A8B"/>
    <w:rsid w:val="00222CC4"/>
    <w:rsid w:val="002256A0"/>
    <w:rsid w:val="002347AA"/>
    <w:rsid w:val="00237136"/>
    <w:rsid w:val="00237CFF"/>
    <w:rsid w:val="00246BFC"/>
    <w:rsid w:val="00252BF9"/>
    <w:rsid w:val="00270724"/>
    <w:rsid w:val="00271FAE"/>
    <w:rsid w:val="00273008"/>
    <w:rsid w:val="002735A9"/>
    <w:rsid w:val="0028049D"/>
    <w:rsid w:val="00280676"/>
    <w:rsid w:val="00284FE6"/>
    <w:rsid w:val="00285EA6"/>
    <w:rsid w:val="00285EF8"/>
    <w:rsid w:val="002863B5"/>
    <w:rsid w:val="00286B47"/>
    <w:rsid w:val="002872F7"/>
    <w:rsid w:val="002901B8"/>
    <w:rsid w:val="00294E56"/>
    <w:rsid w:val="0029738C"/>
    <w:rsid w:val="00297CDF"/>
    <w:rsid w:val="002A18A8"/>
    <w:rsid w:val="002A41AA"/>
    <w:rsid w:val="002A60C2"/>
    <w:rsid w:val="002B0616"/>
    <w:rsid w:val="002B27D4"/>
    <w:rsid w:val="002C0E98"/>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51E"/>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036F"/>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14A3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4C85"/>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A6E47"/>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A4E"/>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1797"/>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150"/>
    <w:rsid w:val="00591804"/>
    <w:rsid w:val="00594A6C"/>
    <w:rsid w:val="00595E4B"/>
    <w:rsid w:val="00596C1A"/>
    <w:rsid w:val="00596EF3"/>
    <w:rsid w:val="005A019B"/>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428A"/>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2DE3"/>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1147"/>
    <w:rsid w:val="00694BF2"/>
    <w:rsid w:val="00695C95"/>
    <w:rsid w:val="00696D00"/>
    <w:rsid w:val="00697DF2"/>
    <w:rsid w:val="006A38B2"/>
    <w:rsid w:val="006A6D25"/>
    <w:rsid w:val="006B4035"/>
    <w:rsid w:val="006C1B5E"/>
    <w:rsid w:val="006C1FBD"/>
    <w:rsid w:val="006C3E53"/>
    <w:rsid w:val="006C56B3"/>
    <w:rsid w:val="006C73B6"/>
    <w:rsid w:val="006C76A2"/>
    <w:rsid w:val="006D59B7"/>
    <w:rsid w:val="006E0883"/>
    <w:rsid w:val="006E41E5"/>
    <w:rsid w:val="006E5F72"/>
    <w:rsid w:val="006F0059"/>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0758B"/>
    <w:rsid w:val="008151FF"/>
    <w:rsid w:val="0081582E"/>
    <w:rsid w:val="00821C4C"/>
    <w:rsid w:val="008223B3"/>
    <w:rsid w:val="00822B66"/>
    <w:rsid w:val="00822DC8"/>
    <w:rsid w:val="008245C3"/>
    <w:rsid w:val="00824DB4"/>
    <w:rsid w:val="00825325"/>
    <w:rsid w:val="0082615A"/>
    <w:rsid w:val="00826607"/>
    <w:rsid w:val="00830097"/>
    <w:rsid w:val="008325D5"/>
    <w:rsid w:val="00833FE0"/>
    <w:rsid w:val="00835D24"/>
    <w:rsid w:val="008365F5"/>
    <w:rsid w:val="00837A74"/>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654"/>
    <w:rsid w:val="00914D86"/>
    <w:rsid w:val="0092000E"/>
    <w:rsid w:val="009210BA"/>
    <w:rsid w:val="009258CF"/>
    <w:rsid w:val="00927549"/>
    <w:rsid w:val="00927BEC"/>
    <w:rsid w:val="00930255"/>
    <w:rsid w:val="009302D1"/>
    <w:rsid w:val="009309AC"/>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4B4D"/>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175C2"/>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17A5"/>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16FA"/>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82213"/>
    <w:rsid w:val="00B854E1"/>
    <w:rsid w:val="00B91FB1"/>
    <w:rsid w:val="00B9217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4B17"/>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0335"/>
    <w:rsid w:val="00C710A1"/>
    <w:rsid w:val="00C71ECA"/>
    <w:rsid w:val="00C75830"/>
    <w:rsid w:val="00C76ABC"/>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75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B4E9A"/>
    <w:rsid w:val="00DC006B"/>
    <w:rsid w:val="00DC18CB"/>
    <w:rsid w:val="00DC338F"/>
    <w:rsid w:val="00DC3A8C"/>
    <w:rsid w:val="00DC400E"/>
    <w:rsid w:val="00DC4999"/>
    <w:rsid w:val="00DD0F46"/>
    <w:rsid w:val="00DD1135"/>
    <w:rsid w:val="00DD1535"/>
    <w:rsid w:val="00DD15D6"/>
    <w:rsid w:val="00DD1FCB"/>
    <w:rsid w:val="00DD3989"/>
    <w:rsid w:val="00DD61DC"/>
    <w:rsid w:val="00DE1E21"/>
    <w:rsid w:val="00DE405D"/>
    <w:rsid w:val="00DE54F9"/>
    <w:rsid w:val="00DE64E2"/>
    <w:rsid w:val="00DE6AF8"/>
    <w:rsid w:val="00DF2477"/>
    <w:rsid w:val="00DF3DC9"/>
    <w:rsid w:val="00DF3F93"/>
    <w:rsid w:val="00DF42A4"/>
    <w:rsid w:val="00DF59CB"/>
    <w:rsid w:val="00E04F5B"/>
    <w:rsid w:val="00E058FB"/>
    <w:rsid w:val="00E05C09"/>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5DC9"/>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135C"/>
    <w:rsid w:val="00EA2ACF"/>
    <w:rsid w:val="00EA2DF3"/>
    <w:rsid w:val="00EA5D0F"/>
    <w:rsid w:val="00EA63F3"/>
    <w:rsid w:val="00EA76F4"/>
    <w:rsid w:val="00EB277F"/>
    <w:rsid w:val="00EB431F"/>
    <w:rsid w:val="00EB64B8"/>
    <w:rsid w:val="00EB6D4C"/>
    <w:rsid w:val="00EB76CB"/>
    <w:rsid w:val="00EB7F9D"/>
    <w:rsid w:val="00EC20DC"/>
    <w:rsid w:val="00EC237B"/>
    <w:rsid w:val="00EC454E"/>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1C36"/>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 w:val="067E7D58"/>
    <w:rsid w:val="126FA885"/>
    <w:rsid w:val="30AD193F"/>
    <w:rsid w:val="3D5B75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594C9"/>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5">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paragraph" w:styleId="Revision">
    <w:name w:val="Revision"/>
    <w:hidden/>
    <w:uiPriority w:val="99"/>
    <w:semiHidden/>
    <w:rsid w:val="00837A74"/>
    <w:pPr>
      <w:spacing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09047">
      <w:bodyDiv w:val="1"/>
      <w:marLeft w:val="0"/>
      <w:marRight w:val="0"/>
      <w:marTop w:val="0"/>
      <w:marBottom w:val="0"/>
      <w:divBdr>
        <w:top w:val="none" w:sz="0" w:space="0" w:color="auto"/>
        <w:left w:val="none" w:sz="0" w:space="0" w:color="auto"/>
        <w:bottom w:val="none" w:sz="0" w:space="0" w:color="auto"/>
        <w:right w:val="none" w:sz="0" w:space="0" w:color="auto"/>
      </w:divBdr>
    </w:div>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07977521">
      <w:bodyDiv w:val="1"/>
      <w:marLeft w:val="0"/>
      <w:marRight w:val="0"/>
      <w:marTop w:val="0"/>
      <w:marBottom w:val="0"/>
      <w:divBdr>
        <w:top w:val="none" w:sz="0" w:space="0" w:color="auto"/>
        <w:left w:val="none" w:sz="0" w:space="0" w:color="auto"/>
        <w:bottom w:val="none" w:sz="0" w:space="0" w:color="auto"/>
        <w:right w:val="none" w:sz="0" w:space="0" w:color="auto"/>
      </w:divBdr>
    </w:div>
    <w:div w:id="359091837">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415631607">
      <w:bodyDiv w:val="1"/>
      <w:marLeft w:val="0"/>
      <w:marRight w:val="0"/>
      <w:marTop w:val="0"/>
      <w:marBottom w:val="0"/>
      <w:divBdr>
        <w:top w:val="none" w:sz="0" w:space="0" w:color="auto"/>
        <w:left w:val="none" w:sz="0" w:space="0" w:color="auto"/>
        <w:bottom w:val="none" w:sz="0" w:space="0" w:color="auto"/>
        <w:right w:val="none" w:sz="0" w:space="0" w:color="auto"/>
      </w:divBdr>
    </w:div>
    <w:div w:id="498085085">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009403840">
      <w:bodyDiv w:val="1"/>
      <w:marLeft w:val="0"/>
      <w:marRight w:val="0"/>
      <w:marTop w:val="0"/>
      <w:marBottom w:val="0"/>
      <w:divBdr>
        <w:top w:val="none" w:sz="0" w:space="0" w:color="auto"/>
        <w:left w:val="none" w:sz="0" w:space="0" w:color="auto"/>
        <w:bottom w:val="none" w:sz="0" w:space="0" w:color="auto"/>
        <w:right w:val="none" w:sz="0" w:space="0" w:color="auto"/>
      </w:divBdr>
    </w:div>
    <w:div w:id="1128665560">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157575334">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615403090">
      <w:bodyDiv w:val="1"/>
      <w:marLeft w:val="0"/>
      <w:marRight w:val="0"/>
      <w:marTop w:val="0"/>
      <w:marBottom w:val="0"/>
      <w:divBdr>
        <w:top w:val="none" w:sz="0" w:space="0" w:color="auto"/>
        <w:left w:val="none" w:sz="0" w:space="0" w:color="auto"/>
        <w:bottom w:val="none" w:sz="0" w:space="0" w:color="auto"/>
        <w:right w:val="none" w:sz="0" w:space="0" w:color="auto"/>
      </w:divBdr>
    </w:div>
    <w:div w:id="1645501650">
      <w:bodyDiv w:val="1"/>
      <w:marLeft w:val="0"/>
      <w:marRight w:val="0"/>
      <w:marTop w:val="0"/>
      <w:marBottom w:val="0"/>
      <w:divBdr>
        <w:top w:val="none" w:sz="0" w:space="0" w:color="auto"/>
        <w:left w:val="none" w:sz="0" w:space="0" w:color="auto"/>
        <w:bottom w:val="none" w:sz="0" w:space="0" w:color="auto"/>
        <w:right w:val="none" w:sz="0" w:space="0" w:color="auto"/>
      </w:divBdr>
    </w:div>
    <w:div w:id="1671980925">
      <w:bodyDiv w:val="1"/>
      <w:marLeft w:val="0"/>
      <w:marRight w:val="0"/>
      <w:marTop w:val="0"/>
      <w:marBottom w:val="0"/>
      <w:divBdr>
        <w:top w:val="none" w:sz="0" w:space="0" w:color="auto"/>
        <w:left w:val="none" w:sz="0" w:space="0" w:color="auto"/>
        <w:bottom w:val="none" w:sz="0" w:space="0" w:color="auto"/>
        <w:right w:val="none" w:sz="0" w:space="0" w:color="auto"/>
      </w:divBdr>
    </w:div>
    <w:div w:id="1717662046">
      <w:bodyDiv w:val="1"/>
      <w:marLeft w:val="0"/>
      <w:marRight w:val="0"/>
      <w:marTop w:val="0"/>
      <w:marBottom w:val="0"/>
      <w:divBdr>
        <w:top w:val="none" w:sz="0" w:space="0" w:color="auto"/>
        <w:left w:val="none" w:sz="0" w:space="0" w:color="auto"/>
        <w:bottom w:val="none" w:sz="0" w:space="0" w:color="auto"/>
        <w:right w:val="none" w:sz="0" w:space="0" w:color="auto"/>
      </w:divBdr>
    </w:div>
    <w:div w:id="1813400190">
      <w:bodyDiv w:val="1"/>
      <w:marLeft w:val="0"/>
      <w:marRight w:val="0"/>
      <w:marTop w:val="0"/>
      <w:marBottom w:val="0"/>
      <w:divBdr>
        <w:top w:val="none" w:sz="0" w:space="0" w:color="auto"/>
        <w:left w:val="none" w:sz="0" w:space="0" w:color="auto"/>
        <w:bottom w:val="none" w:sz="0" w:space="0" w:color="auto"/>
        <w:right w:val="none" w:sz="0" w:space="0" w:color="auto"/>
      </w:divBdr>
    </w:div>
    <w:div w:id="1861314747">
      <w:bodyDiv w:val="1"/>
      <w:marLeft w:val="0"/>
      <w:marRight w:val="0"/>
      <w:marTop w:val="0"/>
      <w:marBottom w:val="0"/>
      <w:divBdr>
        <w:top w:val="none" w:sz="0" w:space="0" w:color="auto"/>
        <w:left w:val="none" w:sz="0" w:space="0" w:color="auto"/>
        <w:bottom w:val="none" w:sz="0" w:space="0" w:color="auto"/>
        <w:right w:val="none" w:sz="0" w:space="0" w:color="auto"/>
      </w:divBdr>
    </w:div>
    <w:div w:id="1874993947">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d0c133-cd87-4cf4-b341-5733ba8a055d" xsi:nil="true"/>
    <lcf76f155ced4ddcb4097134ff3c332f xmlns="9e337570-e849-4dbf-b7b2-2029a9a7fe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9BAD5C5869E844B3AA53C0BDCFACD8" ma:contentTypeVersion="14" ma:contentTypeDescription="Create a new document." ma:contentTypeScope="" ma:versionID="440fd23370ecb4fc25923563824c8bb4">
  <xsd:schema xmlns:xsd="http://www.w3.org/2001/XMLSchema" xmlns:xs="http://www.w3.org/2001/XMLSchema" xmlns:p="http://schemas.microsoft.com/office/2006/metadata/properties" xmlns:ns2="9e337570-e849-4dbf-b7b2-2029a9a7fed2" xmlns:ns3="4ed0c133-cd87-4cf4-b341-5733ba8a055d" targetNamespace="http://schemas.microsoft.com/office/2006/metadata/properties" ma:root="true" ma:fieldsID="55d45895d5639466b244a6218688c3a0" ns2:_="" ns3:_="">
    <xsd:import namespace="9e337570-e849-4dbf-b7b2-2029a9a7fed2"/>
    <xsd:import namespace="4ed0c133-cd87-4cf4-b341-5733ba8a05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37570-e849-4dbf-b7b2-2029a9a7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d0c133-cd87-4cf4-b341-5733ba8a05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6537d7-3973-4714-8843-f081ca978afd}" ma:internalName="TaxCatchAll" ma:showField="CatchAllData" ma:web="4ed0c133-cd87-4cf4-b341-5733ba8a05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31C40-1196-4107-97DA-115DEDA6B626}">
  <ds:schemaRefs>
    <ds:schemaRef ds:uri="http://schemas.microsoft.com/office/2006/metadata/properties"/>
    <ds:schemaRef ds:uri="http://schemas.microsoft.com/office/infopath/2007/PartnerControls"/>
    <ds:schemaRef ds:uri="4ed0c133-cd87-4cf4-b341-5733ba8a055d"/>
    <ds:schemaRef ds:uri="9e337570-e849-4dbf-b7b2-2029a9a7fed2"/>
  </ds:schemaRefs>
</ds:datastoreItem>
</file>

<file path=customXml/itemProps2.xml><?xml version="1.0" encoding="utf-8"?>
<ds:datastoreItem xmlns:ds="http://schemas.openxmlformats.org/officeDocument/2006/customXml" ds:itemID="{C5ABA473-28A9-4114-8040-164E0ED63AF8}">
  <ds:schemaRefs>
    <ds:schemaRef ds:uri="http://schemas.microsoft.com/sharepoint/v3/contenttype/forms"/>
  </ds:schemaRefs>
</ds:datastoreItem>
</file>

<file path=customXml/itemProps3.xml><?xml version="1.0" encoding="utf-8"?>
<ds:datastoreItem xmlns:ds="http://schemas.openxmlformats.org/officeDocument/2006/customXml" ds:itemID="{C5E31558-904B-4491-8932-BB81B2B70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37570-e849-4dbf-b7b2-2029a9a7fed2"/>
    <ds:schemaRef ds:uri="4ed0c133-cd87-4cf4-b341-5733ba8a0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F66A7-707F-412C-A040-847BDDBD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2098</Words>
  <Characters>13808</Characters>
  <Application>Microsoft Office Word</Application>
  <DocSecurity>0</DocSecurity>
  <Lines>431</Lines>
  <Paragraphs>256</Paragraphs>
  <ScaleCrop>false</ScaleCrop>
  <HeadingPairs>
    <vt:vector size="2" baseType="variant">
      <vt:variant>
        <vt:lpstr>Title</vt:lpstr>
      </vt:variant>
      <vt:variant>
        <vt:i4>1</vt:i4>
      </vt:variant>
    </vt:vector>
  </HeadingPairs>
  <TitlesOfParts>
    <vt:vector size="1" baseType="lpstr">
      <vt:lpstr>Senior Security Risk Analyst</vt:lpstr>
    </vt:vector>
  </TitlesOfParts>
  <Company>Public Sector Commission</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Security Risk Analyst</dc:title>
  <dc:creator>Jennifer Christensen</dc:creator>
  <cp:lastModifiedBy>Avinash Reddy Peddola</cp:lastModifiedBy>
  <cp:revision>3</cp:revision>
  <cp:lastPrinted>2021-06-07T04:46:00Z</cp:lastPrinted>
  <dcterms:created xsi:type="dcterms:W3CDTF">2024-07-31T00:52:00Z</dcterms:created>
  <dcterms:modified xsi:type="dcterms:W3CDTF">2024-07-31T00:52:00Z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0x010100E59BAD5C5869E844B3AA53C0BDCFACD8</vt:lpwstr>
  </property>
  <property fmtid="{D5CDD505-2E9C-101B-9397-08002B2CF9AE}" pid="4" name="GrammarlyDocumentId">
    <vt:lpwstr>f5b20910bb1aa7ff865e118b181844cbcfe7628db08118244016e30da2d2b2dc</vt:lpwstr>
  </property>
  <property fmtid="{D5CDD505-2E9C-101B-9397-08002B2CF9AE}" pid="5" name="rdHierarchyBusinessEnablers">
    <vt:lpwstr>112;#Finance: Complementary - Intermediate|4e8290b5-6d26-4576-923a-d3f45bb854da;#164;#Technology: Focus - Adept|0c3e111c-f185-4716-9d8b-51035a1c20b6;#242;#Procurement and Contract Management: Complementary - Adept|5b137eae-dfd3-4826-8a4d-faab0ef718bc;#228</vt:lpwstr>
  </property>
  <property fmtid="{D5CDD505-2E9C-101B-9397-08002B2CF9AE}" pid="6" name="rdHierarchyResults">
    <vt:lpwstr>208;#Deliver Results: Complementary - Intermediate|61200e3d-a294-4279-bdd6-342580fd57ad;#180;#Plan and Prioritise: Focus - Advanced|86fc6d63-4b76-40c9-9e89-b288440961f3;#226;#Think and Solve Problems: Complementary - Adept|c6544f6f-ff19-4735-a71b-2f6d2f67</vt:lpwstr>
  </property>
  <property fmtid="{D5CDD505-2E9C-101B-9397-08002B2CF9AE}" pid="7" name="rdHierarchyRelationships">
    <vt:lpwstr/>
  </property>
  <property fmtid="{D5CDD505-2E9C-101B-9397-08002B2CF9AE}" pid="8" name="rdHierarchyOccupationSpecific">
    <vt:lpwstr>189;#ICT (SFIA)|f8cf43f9-9b47-4e0c-98c5-caa063c3d4f9</vt:lpwstr>
  </property>
  <property fmtid="{D5CDD505-2E9C-101B-9397-08002B2CF9AE}" pid="9" name="rdHierarchyPersonalAttributes">
    <vt:lpwstr/>
  </property>
  <property fmtid="{D5CDD505-2E9C-101B-9397-08002B2CF9AE}" pid="10" name="rdHierarchyPeopleManagement">
    <vt:lpwstr/>
  </property>
  <property fmtid="{D5CDD505-2E9C-101B-9397-08002B2CF9AE}" pid="11" name="rdRequestedBy">
    <vt:lpwstr>622;#Ivana Stojnic</vt:lpwstr>
  </property>
  <property fmtid="{D5CDD505-2E9C-101B-9397-08002B2CF9AE}" pid="12" name="rdBusinessAttrLikertScale">
    <vt:lpwstr>["Complementary - Intermediate","Focus - Adept","Complementary - Adept","Complementary - Adept"]</vt:lpwstr>
  </property>
  <property fmtid="{D5CDD505-2E9C-101B-9397-08002B2CF9AE}" pid="13" name="rdIsNewRole">
    <vt:bool>true</vt:bool>
  </property>
  <property fmtid="{D5CDD505-2E9C-101B-9397-08002B2CF9AE}" pid="14" name="rdRelationshipsAttrLikertScale">
    <vt:lpwstr>["Focus - Adept","Complementary - Intermediate","Complementary - Adept","Focus - Advanced"]</vt:lpwstr>
  </property>
  <property fmtid="{D5CDD505-2E9C-101B-9397-08002B2CF9AE}" pid="15" name="rdDateRoleEvaluated">
    <vt:filetime>2022-10-24T13:00:00Z</vt:filetime>
  </property>
  <property fmtid="{D5CDD505-2E9C-101B-9397-08002B2CF9AE}" pid="16" name="rdApprovalStatus">
    <vt:lpwstr>Publishing in progress</vt:lpwstr>
  </property>
  <property fmtid="{D5CDD505-2E9C-101B-9397-08002B2CF9AE}" pid="17" name="rdRequiredByDate">
    <vt:filetime>2024-05-01T14:00:00Z</vt:filetime>
  </property>
  <property fmtid="{D5CDD505-2E9C-101B-9397-08002B2CF9AE}" pid="18" name="rdRequestedDate">
    <vt:filetime>2024-04-30T14:00:00Z</vt:filetime>
  </property>
  <property fmtid="{D5CDD505-2E9C-101B-9397-08002B2CF9AE}" pid="19" name="rdAssignedTo">
    <vt:lpwstr/>
  </property>
  <property fmtid="{D5CDD505-2E9C-101B-9397-08002B2CF9AE}" pid="20" name="rdResultsAttrLikertScale">
    <vt:lpwstr>["Complementary - Intermediate","Focus - Advanced","Complementary - Adept","Complementary - Adept"]</vt:lpwstr>
  </property>
  <property fmtid="{D5CDD505-2E9C-101B-9397-08002B2CF9AE}" pid="21" name="rdOccupationalAttrLikertScale">
    <vt:lpwstr>["ICT (SFIA)"]</vt:lpwstr>
  </property>
  <property fmtid="{D5CDD505-2E9C-101B-9397-08002B2CF9AE}" pid="22" name="rdReviewedBy">
    <vt:lpwstr/>
  </property>
  <property fmtid="{D5CDD505-2E9C-101B-9397-08002B2CF9AE}" pid="23" name="rdPersonalAttrLikertScale">
    <vt:lpwstr>["Complementary - Adept","Complementary - Adept","Focus - Adept","Complementary - Intermediate"]</vt:lpwstr>
  </property>
  <property fmtid="{D5CDD505-2E9C-101B-9397-08002B2CF9AE}" pid="24" name="MediaServiceImageTags">
    <vt:lpwstr/>
  </property>
</Properties>
</file>