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90"/>
        <w:gridCol w:w="6795"/>
      </w:tblGrid>
      <w:tr w:rsidR="1B510F3E" w14:paraId="7B505FD5" w14:textId="77777777" w:rsidTr="1B510F3E">
        <w:trPr>
          <w:trHeight w:val="300"/>
        </w:trPr>
        <w:tc>
          <w:tcPr>
            <w:tcW w:w="3990" w:type="dxa"/>
            <w:tcBorders>
              <w:top w:val="single" w:sz="6" w:space="0" w:color="auto"/>
              <w:left w:val="nil"/>
              <w:bottom w:val="nil"/>
              <w:right w:val="nil"/>
            </w:tcBorders>
            <w:shd w:val="clear" w:color="auto" w:fill="00A88F"/>
            <w:tcMar>
              <w:left w:w="45" w:type="dxa"/>
              <w:right w:w="105" w:type="dxa"/>
            </w:tcMar>
          </w:tcPr>
          <w:p w14:paraId="371B5DE3" w14:textId="0E9A7679" w:rsidR="1B510F3E" w:rsidRDefault="1B510F3E" w:rsidP="1B510F3E">
            <w:pPr>
              <w:pStyle w:val="TableTextWhite"/>
              <w:rPr>
                <w:rFonts w:eastAsia="Arial" w:cs="Arial"/>
                <w:color w:val="FFFFFF" w:themeColor="background1"/>
                <w:lang w:val="en-US"/>
              </w:rPr>
            </w:pPr>
            <w:r w:rsidRPr="1B510F3E">
              <w:rPr>
                <w:rFonts w:eastAsia="Arial" w:cs="Arial"/>
                <w:b/>
                <w:bCs/>
                <w:color w:val="FFFFFF" w:themeColor="background1"/>
              </w:rPr>
              <w:t>Cluster</w:t>
            </w:r>
          </w:p>
        </w:tc>
        <w:tc>
          <w:tcPr>
            <w:tcW w:w="6795" w:type="dxa"/>
            <w:tcBorders>
              <w:top w:val="single" w:sz="6" w:space="0" w:color="auto"/>
              <w:left w:val="nil"/>
              <w:bottom w:val="nil"/>
              <w:right w:val="nil"/>
            </w:tcBorders>
            <w:shd w:val="clear" w:color="auto" w:fill="00A88F"/>
            <w:tcMar>
              <w:left w:w="45" w:type="dxa"/>
              <w:right w:w="105" w:type="dxa"/>
            </w:tcMar>
          </w:tcPr>
          <w:p w14:paraId="30F41004" w14:textId="3E89BB81" w:rsidR="1B510F3E" w:rsidRPr="00802296" w:rsidRDefault="0004134A" w:rsidP="1B510F3E">
            <w:pPr>
              <w:pStyle w:val="TableTextWhite"/>
              <w:rPr>
                <w:rFonts w:eastAsia="Arial" w:cs="Arial"/>
                <w:b/>
                <w:bCs/>
                <w:color w:val="FFFFFF" w:themeColor="background1"/>
                <w:lang w:val="en-US"/>
              </w:rPr>
            </w:pPr>
            <w:r w:rsidRPr="00802296">
              <w:rPr>
                <w:rFonts w:eastAsia="Arial" w:cs="Arial"/>
                <w:b/>
                <w:bCs/>
                <w:color w:val="FFFFFF" w:themeColor="background1"/>
              </w:rPr>
              <w:t>Climate Change, Energy, the Environment and Water</w:t>
            </w:r>
          </w:p>
        </w:tc>
      </w:tr>
      <w:tr w:rsidR="1B510F3E" w14:paraId="7E14CBF4" w14:textId="77777777" w:rsidTr="1B510F3E">
        <w:trPr>
          <w:trHeight w:val="300"/>
        </w:trPr>
        <w:tc>
          <w:tcPr>
            <w:tcW w:w="3990" w:type="dxa"/>
            <w:tcBorders>
              <w:top w:val="single" w:sz="6" w:space="0" w:color="FFFFFF" w:themeColor="background1"/>
              <w:left w:val="nil"/>
              <w:bottom w:val="single" w:sz="6" w:space="0" w:color="FFFFFF" w:themeColor="background1"/>
              <w:right w:val="nil"/>
            </w:tcBorders>
            <w:shd w:val="clear" w:color="auto" w:fill="00A88F"/>
            <w:tcMar>
              <w:left w:w="45" w:type="dxa"/>
              <w:right w:w="105" w:type="dxa"/>
            </w:tcMar>
          </w:tcPr>
          <w:p w14:paraId="715792C4" w14:textId="7CB4044B" w:rsidR="1B510F3E" w:rsidRDefault="1B510F3E" w:rsidP="1B510F3E">
            <w:pPr>
              <w:pStyle w:val="TableTextWhite"/>
              <w:rPr>
                <w:rFonts w:eastAsia="Arial" w:cs="Arial"/>
                <w:color w:val="FFFFFF" w:themeColor="background1"/>
                <w:lang w:val="en-US"/>
              </w:rPr>
            </w:pPr>
            <w:r w:rsidRPr="1B510F3E">
              <w:rPr>
                <w:rFonts w:eastAsia="Arial" w:cs="Arial"/>
                <w:b/>
                <w:bCs/>
                <w:color w:val="FFFFFF" w:themeColor="background1"/>
              </w:rPr>
              <w:t>Agency</w:t>
            </w:r>
          </w:p>
        </w:tc>
        <w:tc>
          <w:tcPr>
            <w:tcW w:w="6795" w:type="dxa"/>
            <w:tcBorders>
              <w:top w:val="single" w:sz="6" w:space="0" w:color="FFFFFF" w:themeColor="background1"/>
              <w:left w:val="nil"/>
              <w:bottom w:val="single" w:sz="6" w:space="0" w:color="FFFFFF" w:themeColor="background1"/>
              <w:right w:val="nil"/>
            </w:tcBorders>
            <w:shd w:val="clear" w:color="auto" w:fill="00A88F"/>
            <w:tcMar>
              <w:left w:w="45" w:type="dxa"/>
              <w:right w:w="105" w:type="dxa"/>
            </w:tcMar>
          </w:tcPr>
          <w:p w14:paraId="5B43CAC8" w14:textId="0A0274D7" w:rsidR="1B510F3E" w:rsidRPr="00802296" w:rsidRDefault="0004134A" w:rsidP="1B510F3E">
            <w:pPr>
              <w:pStyle w:val="TableTextWhite"/>
              <w:rPr>
                <w:rFonts w:eastAsia="Arial" w:cs="Arial"/>
                <w:b/>
                <w:bCs/>
                <w:color w:val="FFFFFF" w:themeColor="background1"/>
                <w:lang w:val="en-US"/>
              </w:rPr>
            </w:pPr>
            <w:r w:rsidRPr="00802296">
              <w:rPr>
                <w:rFonts w:eastAsia="Arial" w:cs="Arial"/>
                <w:b/>
                <w:bCs/>
                <w:color w:val="FFFFFF" w:themeColor="background1"/>
              </w:rPr>
              <w:t>Energy Corporation of NSW</w:t>
            </w:r>
          </w:p>
        </w:tc>
      </w:tr>
      <w:tr w:rsidR="1B510F3E" w14:paraId="6DB513D2" w14:textId="77777777" w:rsidTr="1B510F3E">
        <w:trPr>
          <w:trHeight w:val="300"/>
        </w:trPr>
        <w:tc>
          <w:tcPr>
            <w:tcW w:w="3990" w:type="dxa"/>
            <w:tcBorders>
              <w:top w:val="single" w:sz="6" w:space="0" w:color="FFFFFF" w:themeColor="background1"/>
              <w:left w:val="nil"/>
              <w:bottom w:val="single" w:sz="6" w:space="0" w:color="FFFFFF" w:themeColor="background1"/>
              <w:right w:val="nil"/>
            </w:tcBorders>
            <w:shd w:val="clear" w:color="auto" w:fill="00A88F"/>
            <w:tcMar>
              <w:left w:w="45" w:type="dxa"/>
              <w:right w:w="105" w:type="dxa"/>
            </w:tcMar>
          </w:tcPr>
          <w:p w14:paraId="715EDC89" w14:textId="2F8DFF40" w:rsidR="1B510F3E" w:rsidRDefault="1B510F3E" w:rsidP="1B510F3E">
            <w:pPr>
              <w:pStyle w:val="TableTextWhite"/>
              <w:rPr>
                <w:rFonts w:eastAsia="Arial" w:cs="Arial"/>
                <w:color w:val="FFFFFF" w:themeColor="background1"/>
                <w:lang w:val="en-US"/>
              </w:rPr>
            </w:pPr>
            <w:r w:rsidRPr="1B510F3E">
              <w:rPr>
                <w:rFonts w:eastAsia="Arial" w:cs="Arial"/>
                <w:b/>
                <w:bCs/>
                <w:color w:val="FFFFFF" w:themeColor="background1"/>
              </w:rPr>
              <w:t>Group/Division/Branch</w:t>
            </w:r>
          </w:p>
        </w:tc>
        <w:tc>
          <w:tcPr>
            <w:tcW w:w="6795" w:type="dxa"/>
            <w:tcBorders>
              <w:top w:val="single" w:sz="6" w:space="0" w:color="FFFFFF" w:themeColor="background1"/>
              <w:left w:val="nil"/>
              <w:bottom w:val="single" w:sz="6" w:space="0" w:color="FFFFFF" w:themeColor="background1"/>
              <w:right w:val="nil"/>
            </w:tcBorders>
            <w:shd w:val="clear" w:color="auto" w:fill="00A88F"/>
            <w:tcMar>
              <w:left w:w="45" w:type="dxa"/>
              <w:right w:w="105" w:type="dxa"/>
            </w:tcMar>
          </w:tcPr>
          <w:p w14:paraId="3D6EBF68" w14:textId="0E888A40" w:rsidR="1B510F3E" w:rsidRPr="00802296" w:rsidRDefault="0004134A" w:rsidP="1B510F3E">
            <w:pPr>
              <w:pStyle w:val="TableTextWhite"/>
              <w:rPr>
                <w:rFonts w:eastAsia="Arial" w:cs="Arial"/>
                <w:b/>
                <w:bCs/>
                <w:color w:val="FFFFFF" w:themeColor="background1"/>
                <w:lang w:val="en-US"/>
              </w:rPr>
            </w:pPr>
            <w:r w:rsidRPr="00802296">
              <w:rPr>
                <w:rFonts w:eastAsia="Arial" w:cs="Arial"/>
                <w:b/>
                <w:bCs/>
                <w:color w:val="FFFFFF" w:themeColor="background1"/>
              </w:rPr>
              <w:t>Finance &amp; Operations / Governance, Risk &amp; Compliance</w:t>
            </w:r>
          </w:p>
        </w:tc>
      </w:tr>
      <w:tr w:rsidR="1B510F3E" w14:paraId="27D67270" w14:textId="77777777" w:rsidTr="1B510F3E">
        <w:trPr>
          <w:trHeight w:val="300"/>
        </w:trPr>
        <w:tc>
          <w:tcPr>
            <w:tcW w:w="3990" w:type="dxa"/>
            <w:tcBorders>
              <w:top w:val="single" w:sz="6" w:space="0" w:color="FFFFFF" w:themeColor="background1"/>
              <w:left w:val="nil"/>
              <w:bottom w:val="single" w:sz="6" w:space="0" w:color="FFFFFF" w:themeColor="background1"/>
              <w:right w:val="nil"/>
            </w:tcBorders>
            <w:shd w:val="clear" w:color="auto" w:fill="00A88F"/>
            <w:tcMar>
              <w:left w:w="45" w:type="dxa"/>
              <w:right w:w="105" w:type="dxa"/>
            </w:tcMar>
          </w:tcPr>
          <w:p w14:paraId="4E12548D" w14:textId="58D08767" w:rsidR="1B510F3E" w:rsidRDefault="1B510F3E" w:rsidP="1B510F3E">
            <w:pPr>
              <w:pStyle w:val="TableTextWhite"/>
              <w:rPr>
                <w:rFonts w:eastAsia="Arial" w:cs="Arial"/>
                <w:color w:val="FFFFFF" w:themeColor="background1"/>
                <w:lang w:val="en-US"/>
              </w:rPr>
            </w:pPr>
            <w:r w:rsidRPr="1B510F3E">
              <w:rPr>
                <w:rFonts w:eastAsia="Arial" w:cs="Arial"/>
                <w:b/>
                <w:bCs/>
                <w:color w:val="FFFFFF" w:themeColor="background1"/>
              </w:rPr>
              <w:t>Classification/Grade/Band</w:t>
            </w:r>
          </w:p>
        </w:tc>
        <w:tc>
          <w:tcPr>
            <w:tcW w:w="6795" w:type="dxa"/>
            <w:tcBorders>
              <w:top w:val="single" w:sz="6" w:space="0" w:color="FFFFFF" w:themeColor="background1"/>
              <w:left w:val="nil"/>
              <w:bottom w:val="single" w:sz="6" w:space="0" w:color="FFFFFF" w:themeColor="background1"/>
              <w:right w:val="nil"/>
            </w:tcBorders>
            <w:shd w:val="clear" w:color="auto" w:fill="00A88F"/>
            <w:tcMar>
              <w:left w:w="45" w:type="dxa"/>
              <w:right w:w="105" w:type="dxa"/>
            </w:tcMar>
          </w:tcPr>
          <w:p w14:paraId="3E855DFC" w14:textId="0AB4ADFF" w:rsidR="1B510F3E" w:rsidRPr="00802296" w:rsidRDefault="1B510F3E" w:rsidP="1B510F3E">
            <w:pPr>
              <w:pStyle w:val="TableTextWhite"/>
              <w:rPr>
                <w:rFonts w:eastAsia="Arial" w:cs="Arial"/>
                <w:b/>
                <w:bCs/>
                <w:color w:val="FFFFFF" w:themeColor="background1"/>
                <w:lang w:val="en-US"/>
              </w:rPr>
            </w:pPr>
            <w:r w:rsidRPr="00802296">
              <w:rPr>
                <w:rFonts w:eastAsia="Arial" w:cs="Arial"/>
                <w:b/>
                <w:bCs/>
                <w:color w:val="FFFFFF" w:themeColor="background1"/>
              </w:rPr>
              <w:t xml:space="preserve">Clerk </w:t>
            </w:r>
            <w:r w:rsidR="00BE50C9" w:rsidRPr="00802296">
              <w:rPr>
                <w:rFonts w:eastAsia="Arial" w:cs="Arial"/>
                <w:b/>
                <w:bCs/>
                <w:color w:val="FFFFFF" w:themeColor="background1"/>
              </w:rPr>
              <w:t xml:space="preserve">Grade </w:t>
            </w:r>
            <w:r w:rsidR="647769D0" w:rsidRPr="00802296">
              <w:rPr>
                <w:rFonts w:eastAsia="Arial" w:cs="Arial"/>
                <w:b/>
                <w:bCs/>
                <w:color w:val="FFFFFF" w:themeColor="background1"/>
              </w:rPr>
              <w:t>9/10</w:t>
            </w:r>
          </w:p>
        </w:tc>
      </w:tr>
      <w:tr w:rsidR="1B510F3E" w14:paraId="1FC36D8C" w14:textId="77777777" w:rsidTr="1B510F3E">
        <w:trPr>
          <w:trHeight w:val="300"/>
        </w:trPr>
        <w:tc>
          <w:tcPr>
            <w:tcW w:w="3990" w:type="dxa"/>
            <w:tcBorders>
              <w:top w:val="single" w:sz="6" w:space="0" w:color="FFFFFF" w:themeColor="background1"/>
              <w:left w:val="nil"/>
              <w:bottom w:val="single" w:sz="6" w:space="0" w:color="FFFFFF" w:themeColor="background1"/>
              <w:right w:val="nil"/>
            </w:tcBorders>
            <w:shd w:val="clear" w:color="auto" w:fill="00A88F"/>
            <w:tcMar>
              <w:left w:w="45" w:type="dxa"/>
              <w:right w:w="105" w:type="dxa"/>
            </w:tcMar>
          </w:tcPr>
          <w:p w14:paraId="0C0EB0D5" w14:textId="1F29C5FD" w:rsidR="1B510F3E" w:rsidRDefault="1B510F3E" w:rsidP="1B510F3E">
            <w:pPr>
              <w:pStyle w:val="TableTextWhite"/>
              <w:rPr>
                <w:rFonts w:eastAsia="Arial" w:cs="Arial"/>
                <w:color w:val="FFFFFF" w:themeColor="background1"/>
                <w:lang w:val="en-US"/>
              </w:rPr>
            </w:pPr>
            <w:r w:rsidRPr="1B510F3E">
              <w:rPr>
                <w:rFonts w:eastAsia="Arial" w:cs="Arial"/>
                <w:b/>
                <w:bCs/>
                <w:color w:val="FFFFFF" w:themeColor="background1"/>
              </w:rPr>
              <w:t>ANZSCO Code</w:t>
            </w:r>
          </w:p>
        </w:tc>
        <w:tc>
          <w:tcPr>
            <w:tcW w:w="6795" w:type="dxa"/>
            <w:tcBorders>
              <w:top w:val="single" w:sz="6" w:space="0" w:color="FFFFFF" w:themeColor="background1"/>
              <w:left w:val="nil"/>
              <w:bottom w:val="single" w:sz="6" w:space="0" w:color="FFFFFF" w:themeColor="background1"/>
              <w:right w:val="nil"/>
            </w:tcBorders>
            <w:shd w:val="clear" w:color="auto" w:fill="00A88F"/>
            <w:tcMar>
              <w:left w:w="45" w:type="dxa"/>
              <w:right w:w="105" w:type="dxa"/>
            </w:tcMar>
          </w:tcPr>
          <w:p w14:paraId="2408558E" w14:textId="528D3092" w:rsidR="1B510F3E" w:rsidRPr="00802296" w:rsidRDefault="00BE50C9" w:rsidP="1B510F3E">
            <w:pPr>
              <w:pStyle w:val="TableTextWhite"/>
              <w:rPr>
                <w:rFonts w:eastAsia="Arial" w:cs="Arial"/>
                <w:b/>
                <w:bCs/>
                <w:color w:val="FFFFFF" w:themeColor="background1"/>
                <w:lang w:val="en-US"/>
              </w:rPr>
            </w:pPr>
            <w:r w:rsidRPr="00802296">
              <w:rPr>
                <w:rFonts w:eastAsia="Arial" w:cs="Arial"/>
                <w:b/>
                <w:bCs/>
                <w:color w:val="FFFFFF" w:themeColor="background1"/>
              </w:rPr>
              <w:t>511112</w:t>
            </w:r>
          </w:p>
        </w:tc>
      </w:tr>
      <w:tr w:rsidR="1B510F3E" w14:paraId="1977AF43" w14:textId="77777777" w:rsidTr="1B510F3E">
        <w:trPr>
          <w:trHeight w:val="300"/>
        </w:trPr>
        <w:tc>
          <w:tcPr>
            <w:tcW w:w="3990" w:type="dxa"/>
            <w:tcBorders>
              <w:top w:val="single" w:sz="6" w:space="0" w:color="FFFFFF" w:themeColor="background1"/>
              <w:left w:val="nil"/>
              <w:bottom w:val="single" w:sz="6" w:space="0" w:color="FFFFFF" w:themeColor="background1"/>
              <w:right w:val="nil"/>
            </w:tcBorders>
            <w:shd w:val="clear" w:color="auto" w:fill="00A88F"/>
            <w:tcMar>
              <w:left w:w="45" w:type="dxa"/>
              <w:right w:w="105" w:type="dxa"/>
            </w:tcMar>
          </w:tcPr>
          <w:p w14:paraId="548BF4C0" w14:textId="5CB23B0E" w:rsidR="1B510F3E" w:rsidRDefault="1B510F3E" w:rsidP="1B510F3E">
            <w:pPr>
              <w:pStyle w:val="TableTextWhite"/>
              <w:rPr>
                <w:rFonts w:eastAsia="Arial" w:cs="Arial"/>
                <w:color w:val="FFFFFF" w:themeColor="background1"/>
                <w:lang w:val="en-US"/>
              </w:rPr>
            </w:pPr>
            <w:r w:rsidRPr="1B510F3E">
              <w:rPr>
                <w:rFonts w:eastAsia="Arial" w:cs="Arial"/>
                <w:b/>
                <w:bCs/>
                <w:color w:val="FFFFFF" w:themeColor="background1"/>
              </w:rPr>
              <w:t>PCAT Code</w:t>
            </w:r>
          </w:p>
        </w:tc>
        <w:tc>
          <w:tcPr>
            <w:tcW w:w="6795" w:type="dxa"/>
            <w:tcBorders>
              <w:top w:val="single" w:sz="6" w:space="0" w:color="FFFFFF" w:themeColor="background1"/>
              <w:left w:val="nil"/>
              <w:bottom w:val="single" w:sz="6" w:space="0" w:color="FFFFFF" w:themeColor="background1"/>
              <w:right w:val="nil"/>
            </w:tcBorders>
            <w:shd w:val="clear" w:color="auto" w:fill="00A88F"/>
            <w:tcMar>
              <w:left w:w="45" w:type="dxa"/>
              <w:right w:w="105" w:type="dxa"/>
            </w:tcMar>
          </w:tcPr>
          <w:p w14:paraId="719EC6B7" w14:textId="1EBF74D1" w:rsidR="1B510F3E" w:rsidRPr="00802296" w:rsidRDefault="00BE50C9" w:rsidP="1B510F3E">
            <w:pPr>
              <w:pStyle w:val="TableTextWhite"/>
              <w:rPr>
                <w:rFonts w:eastAsia="Arial" w:cs="Arial"/>
                <w:b/>
                <w:bCs/>
                <w:color w:val="FFFFFF" w:themeColor="background1"/>
                <w:lang w:val="en-US"/>
              </w:rPr>
            </w:pPr>
            <w:r w:rsidRPr="00802296">
              <w:rPr>
                <w:rFonts w:eastAsia="Arial" w:cs="Arial"/>
                <w:b/>
                <w:bCs/>
                <w:color w:val="FFFFFF" w:themeColor="background1"/>
              </w:rPr>
              <w:t>1229192</w:t>
            </w:r>
          </w:p>
        </w:tc>
      </w:tr>
      <w:tr w:rsidR="1B510F3E" w14:paraId="5AA4C5B8" w14:textId="77777777" w:rsidTr="1B510F3E">
        <w:trPr>
          <w:trHeight w:val="300"/>
        </w:trPr>
        <w:tc>
          <w:tcPr>
            <w:tcW w:w="3990" w:type="dxa"/>
            <w:tcBorders>
              <w:top w:val="single" w:sz="6" w:space="0" w:color="FFFFFF" w:themeColor="background1"/>
              <w:left w:val="nil"/>
              <w:bottom w:val="single" w:sz="6" w:space="0" w:color="FFFFFF" w:themeColor="background1"/>
              <w:right w:val="nil"/>
            </w:tcBorders>
            <w:shd w:val="clear" w:color="auto" w:fill="00A88F"/>
            <w:tcMar>
              <w:left w:w="45" w:type="dxa"/>
              <w:right w:w="105" w:type="dxa"/>
            </w:tcMar>
          </w:tcPr>
          <w:p w14:paraId="25B0CF39" w14:textId="70148C26" w:rsidR="1B510F3E" w:rsidRDefault="1B510F3E" w:rsidP="1B510F3E">
            <w:pPr>
              <w:pStyle w:val="TableTextWhite"/>
              <w:rPr>
                <w:rFonts w:eastAsia="Arial" w:cs="Arial"/>
                <w:color w:val="FFFFFF" w:themeColor="background1"/>
                <w:lang w:val="en-US"/>
              </w:rPr>
            </w:pPr>
            <w:r w:rsidRPr="1B510F3E">
              <w:rPr>
                <w:rFonts w:eastAsia="Arial" w:cs="Arial"/>
                <w:b/>
                <w:bCs/>
                <w:color w:val="FFFFFF" w:themeColor="background1"/>
              </w:rPr>
              <w:t>Date of Approval</w:t>
            </w:r>
          </w:p>
        </w:tc>
        <w:tc>
          <w:tcPr>
            <w:tcW w:w="6795" w:type="dxa"/>
            <w:tcBorders>
              <w:top w:val="single" w:sz="6" w:space="0" w:color="FFFFFF" w:themeColor="background1"/>
              <w:left w:val="nil"/>
              <w:bottom w:val="single" w:sz="6" w:space="0" w:color="FFFFFF" w:themeColor="background1"/>
              <w:right w:val="nil"/>
            </w:tcBorders>
            <w:shd w:val="clear" w:color="auto" w:fill="00A88F"/>
            <w:tcMar>
              <w:left w:w="45" w:type="dxa"/>
              <w:right w:w="105" w:type="dxa"/>
            </w:tcMar>
          </w:tcPr>
          <w:p w14:paraId="7EE5A732" w14:textId="304AC4A5" w:rsidR="1B510F3E" w:rsidRPr="00802296" w:rsidRDefault="0004134A" w:rsidP="1B510F3E">
            <w:pPr>
              <w:pStyle w:val="TableTextWhite"/>
              <w:rPr>
                <w:rFonts w:eastAsia="Arial" w:cs="Arial"/>
                <w:b/>
                <w:bCs/>
                <w:color w:val="FFFFFF" w:themeColor="background1"/>
                <w:lang w:val="en-US"/>
              </w:rPr>
            </w:pPr>
            <w:r w:rsidRPr="00802296">
              <w:rPr>
                <w:rFonts w:eastAsia="Arial" w:cs="Arial"/>
                <w:b/>
                <w:bCs/>
                <w:color w:val="FFFFFF" w:themeColor="background1"/>
              </w:rPr>
              <w:t xml:space="preserve">October </w:t>
            </w:r>
            <w:r w:rsidR="1B510F3E" w:rsidRPr="00802296">
              <w:rPr>
                <w:rFonts w:eastAsia="Arial" w:cs="Arial"/>
                <w:b/>
                <w:bCs/>
                <w:color w:val="FFFFFF" w:themeColor="background1"/>
              </w:rPr>
              <w:t>2024</w:t>
            </w:r>
          </w:p>
        </w:tc>
      </w:tr>
      <w:tr w:rsidR="1B510F3E" w14:paraId="649E3A4E" w14:textId="77777777" w:rsidTr="1B510F3E">
        <w:trPr>
          <w:trHeight w:val="300"/>
        </w:trPr>
        <w:tc>
          <w:tcPr>
            <w:tcW w:w="3990" w:type="dxa"/>
            <w:tcBorders>
              <w:top w:val="single" w:sz="6" w:space="0" w:color="FFFFFF" w:themeColor="background1"/>
              <w:left w:val="nil"/>
              <w:bottom w:val="single" w:sz="6" w:space="0" w:color="auto"/>
              <w:right w:val="nil"/>
            </w:tcBorders>
            <w:shd w:val="clear" w:color="auto" w:fill="00A88F"/>
            <w:tcMar>
              <w:left w:w="45" w:type="dxa"/>
              <w:right w:w="105" w:type="dxa"/>
            </w:tcMar>
          </w:tcPr>
          <w:p w14:paraId="50F6510D" w14:textId="1968A75A" w:rsidR="1B510F3E" w:rsidRDefault="1B510F3E" w:rsidP="1B510F3E">
            <w:pPr>
              <w:pStyle w:val="TableTextWhite"/>
              <w:rPr>
                <w:rFonts w:eastAsia="Arial" w:cs="Arial"/>
                <w:color w:val="FFFFFF" w:themeColor="background1"/>
                <w:lang w:val="en-US"/>
              </w:rPr>
            </w:pPr>
            <w:r w:rsidRPr="1B510F3E">
              <w:rPr>
                <w:rFonts w:eastAsia="Arial" w:cs="Arial"/>
                <w:b/>
                <w:bCs/>
                <w:color w:val="FFFFFF" w:themeColor="background1"/>
              </w:rPr>
              <w:t>Agency Website</w:t>
            </w:r>
          </w:p>
        </w:tc>
        <w:tc>
          <w:tcPr>
            <w:tcW w:w="6795" w:type="dxa"/>
            <w:tcBorders>
              <w:top w:val="single" w:sz="6" w:space="0" w:color="FFFFFF" w:themeColor="background1"/>
              <w:left w:val="nil"/>
              <w:bottom w:val="single" w:sz="6" w:space="0" w:color="auto"/>
              <w:right w:val="nil"/>
            </w:tcBorders>
            <w:shd w:val="clear" w:color="auto" w:fill="00A88F"/>
            <w:tcMar>
              <w:left w:w="45" w:type="dxa"/>
              <w:right w:w="105" w:type="dxa"/>
            </w:tcMar>
          </w:tcPr>
          <w:p w14:paraId="4C028D39" w14:textId="3B1052D4" w:rsidR="1B510F3E" w:rsidRPr="00802296" w:rsidRDefault="00C20002" w:rsidP="1B510F3E">
            <w:pPr>
              <w:spacing w:before="40" w:after="40" w:line="280" w:lineRule="atLeast"/>
              <w:rPr>
                <w:rFonts w:eastAsia="Arial" w:cs="Arial"/>
                <w:b/>
                <w:bCs/>
                <w:color w:val="FFFFFF" w:themeColor="background1"/>
                <w:sz w:val="20"/>
                <w:szCs w:val="20"/>
              </w:rPr>
            </w:pPr>
            <w:r w:rsidRPr="00802296">
              <w:rPr>
                <w:b/>
                <w:bCs/>
                <w:color w:val="FFFFFF" w:themeColor="background1"/>
                <w:sz w:val="20"/>
                <w:szCs w:val="20"/>
              </w:rPr>
              <w:t>www.energyco.nsw.gov.au</w:t>
            </w:r>
            <w:r w:rsidRPr="00802296" w:rsidDel="00C20002">
              <w:rPr>
                <w:b/>
                <w:bCs/>
                <w:color w:val="FFFFFF" w:themeColor="background1"/>
                <w:sz w:val="20"/>
                <w:szCs w:val="20"/>
              </w:rPr>
              <w:t xml:space="preserve"> </w:t>
            </w:r>
          </w:p>
        </w:tc>
      </w:tr>
    </w:tbl>
    <w:p w14:paraId="776271DB" w14:textId="77777777" w:rsidR="008D7673" w:rsidRDefault="008D7673" w:rsidP="009C1003">
      <w:pPr>
        <w:tabs>
          <w:tab w:val="left" w:pos="2925"/>
        </w:tabs>
        <w:spacing w:before="200" w:after="120"/>
        <w:rPr>
          <w:rStyle w:val="eop"/>
          <w:rFonts w:cs="Arial"/>
          <w:color w:val="000000"/>
          <w:sz w:val="26"/>
          <w:szCs w:val="26"/>
        </w:rPr>
      </w:pPr>
      <w:r>
        <w:rPr>
          <w:rStyle w:val="normaltextrun"/>
          <w:rFonts w:cs="Arial"/>
          <w:b/>
          <w:bCs/>
          <w:color w:val="000000"/>
          <w:sz w:val="26"/>
          <w:szCs w:val="26"/>
        </w:rPr>
        <w:t>Who we are</w:t>
      </w:r>
      <w:r>
        <w:rPr>
          <w:rStyle w:val="eop"/>
          <w:rFonts w:cs="Arial"/>
          <w:color w:val="000000"/>
          <w:sz w:val="26"/>
          <w:szCs w:val="26"/>
        </w:rPr>
        <w:t> </w:t>
      </w:r>
    </w:p>
    <w:p w14:paraId="7DBE10EA" w14:textId="77777777" w:rsidR="008D7673" w:rsidRPr="00FC735A" w:rsidRDefault="008D7673" w:rsidP="008D7673">
      <w:pPr>
        <w:tabs>
          <w:tab w:val="left" w:pos="2925"/>
        </w:tabs>
        <w:rPr>
          <w:lang w:val="en-AU"/>
        </w:rPr>
      </w:pPr>
      <w:r w:rsidRPr="00FC735A">
        <w:rPr>
          <w:lang w:val="en-AU"/>
        </w:rPr>
        <w:t xml:space="preserve">The Energy Corporation of NSW (EnergyCo) is a statutory corporation established under the Energy and Utilities Administration Act 1987 and governed by its Board, appointed by the Minister for Energy. EnergyCo is a Staff Agency employing all EnergyCo staff and is an separate agency related to within the Department of Climate Change, Energy, the Environment and Water (DCCEEW). </w:t>
      </w:r>
    </w:p>
    <w:p w14:paraId="7F9BE22E" w14:textId="77777777" w:rsidR="008D7673" w:rsidRDefault="008D7673" w:rsidP="008D7673">
      <w:pPr>
        <w:tabs>
          <w:tab w:val="left" w:pos="2925"/>
        </w:tabs>
        <w:rPr>
          <w:lang w:val="en-AU"/>
        </w:rPr>
      </w:pPr>
      <w:r w:rsidRPr="00FC735A">
        <w:rPr>
          <w:lang w:val="en-AU"/>
        </w:rPr>
        <w:t xml:space="preserve"> EnergyCo plays a pivotal role in the NSW Government's Electricity Infrastructure Roadmap, which aims to transform the state's electricity system into one that is cheap, clean, and reliable. As Infrastructure Planner under the Electricity Infrastructure Investment Act 2020, EnergyCo is responsible for leading the delivery of the State's first five Renewable Energy Zones (REZs) and the first two priority transmission infrastructure projects (PTIPs), which are located in the Central-West Orana, New England, South West, Hunter-Central Coast, and Illawarra regions. We work closely with communities, investors, and industry to investigate, plan, recommend and coordinate generation, storage and network infrastructure projects.</w:t>
      </w:r>
    </w:p>
    <w:p w14:paraId="38C64CB8" w14:textId="6A4A739C" w:rsidR="003927AE" w:rsidRPr="00614552" w:rsidRDefault="003927AE" w:rsidP="00DD117C">
      <w:pPr>
        <w:tabs>
          <w:tab w:val="left" w:pos="2925"/>
        </w:tabs>
        <w:spacing w:before="200" w:after="120"/>
        <w:rPr>
          <w:rStyle w:val="Heading1Char"/>
        </w:rPr>
      </w:pPr>
      <w:r w:rsidRPr="00614552">
        <w:rPr>
          <w:rStyle w:val="Heading1Char"/>
        </w:rPr>
        <w:t>Primary purpose of the role</w:t>
      </w:r>
    </w:p>
    <w:p w14:paraId="511C3461" w14:textId="46850686" w:rsidR="0004134A" w:rsidRDefault="007A7990" w:rsidP="1B510F3E">
      <w:pPr>
        <w:tabs>
          <w:tab w:val="left" w:pos="2925"/>
        </w:tabs>
      </w:pPr>
      <w:r>
        <w:t xml:space="preserve">The </w:t>
      </w:r>
      <w:r w:rsidR="0004134A">
        <w:t>S</w:t>
      </w:r>
      <w:r w:rsidR="0004134A" w:rsidRPr="0004134A">
        <w:t xml:space="preserve">enior Governance &amp; Compliance </w:t>
      </w:r>
      <w:r w:rsidR="0004134A">
        <w:t>Officer</w:t>
      </w:r>
      <w:r w:rsidR="0004134A" w:rsidRPr="0004134A">
        <w:t xml:space="preserve"> </w:t>
      </w:r>
      <w:r w:rsidR="0004134A">
        <w:t>develops policy and processes, provides high quality advice</w:t>
      </w:r>
      <w:r w:rsidR="00F97844">
        <w:t>,</w:t>
      </w:r>
      <w:r w:rsidR="0004134A">
        <w:t xml:space="preserve"> delivers projects </w:t>
      </w:r>
      <w:r w:rsidR="00F97844">
        <w:t xml:space="preserve">and professional learning programs </w:t>
      </w:r>
      <w:r w:rsidR="0004134A">
        <w:t xml:space="preserve">to </w:t>
      </w:r>
      <w:r w:rsidR="0004134A" w:rsidRPr="0004134A">
        <w:t>ensur</w:t>
      </w:r>
      <w:r w:rsidR="0004134A">
        <w:t>e</w:t>
      </w:r>
      <w:r w:rsidR="0004134A" w:rsidRPr="0004134A">
        <w:t xml:space="preserve"> that </w:t>
      </w:r>
      <w:r w:rsidR="0004134A">
        <w:t xml:space="preserve">EnergyCo and staff </w:t>
      </w:r>
      <w:r w:rsidR="00802296">
        <w:t xml:space="preserve">adhere </w:t>
      </w:r>
      <w:r w:rsidR="0004134A" w:rsidRPr="0004134A">
        <w:t xml:space="preserve">to </w:t>
      </w:r>
      <w:r w:rsidR="0004134A">
        <w:t xml:space="preserve">legislative, </w:t>
      </w:r>
      <w:r w:rsidR="0004134A" w:rsidRPr="0004134A">
        <w:t xml:space="preserve">regulatory </w:t>
      </w:r>
      <w:r w:rsidR="0004134A">
        <w:t xml:space="preserve">and government </w:t>
      </w:r>
      <w:r w:rsidR="0004134A" w:rsidRPr="0004134A">
        <w:t>requirements</w:t>
      </w:r>
      <w:r w:rsidR="00F97844">
        <w:t xml:space="preserve">, </w:t>
      </w:r>
      <w:r w:rsidR="0004134A" w:rsidRPr="0004134A">
        <w:t>internal policies</w:t>
      </w:r>
      <w:r w:rsidR="00F97844">
        <w:t xml:space="preserve"> and good governance and compliance principles and practices. </w:t>
      </w:r>
      <w:r w:rsidR="0004134A" w:rsidRPr="0004134A">
        <w:t xml:space="preserve"> </w:t>
      </w:r>
    </w:p>
    <w:p w14:paraId="0F972CA1" w14:textId="5538A085" w:rsidR="000F5A1B" w:rsidRDefault="0004134A" w:rsidP="1B510F3E">
      <w:pPr>
        <w:tabs>
          <w:tab w:val="left" w:pos="2925"/>
        </w:tabs>
      </w:pPr>
      <w:r w:rsidRPr="0004134A">
        <w:t>Th</w:t>
      </w:r>
      <w:r>
        <w:t>e</w:t>
      </w:r>
      <w:r w:rsidRPr="0004134A">
        <w:t xml:space="preserve"> role </w:t>
      </w:r>
      <w:r w:rsidR="00F97844">
        <w:t>builds networks and knowledge across business areas</w:t>
      </w:r>
      <w:r w:rsidR="00AD12C5">
        <w:t xml:space="preserve"> to </w:t>
      </w:r>
      <w:r w:rsidR="00F97844">
        <w:t>support the</w:t>
      </w:r>
      <w:r w:rsidRPr="0004134A">
        <w:t xml:space="preserve"> develop</w:t>
      </w:r>
      <w:r w:rsidR="00F97844">
        <w:t>ment</w:t>
      </w:r>
      <w:r w:rsidRPr="0004134A">
        <w:t>, implement</w:t>
      </w:r>
      <w:r w:rsidR="00F97844">
        <w:t>ation</w:t>
      </w:r>
      <w:r w:rsidRPr="0004134A">
        <w:t xml:space="preserve">, and </w:t>
      </w:r>
      <w:r w:rsidR="00F97844">
        <w:t>ongoing effectiveness of</w:t>
      </w:r>
      <w:r w:rsidRPr="0004134A">
        <w:t xml:space="preserve"> governance frameworks and compliance programs</w:t>
      </w:r>
      <w:r w:rsidR="00AD12C5">
        <w:t>, and</w:t>
      </w:r>
      <w:r w:rsidRPr="0004134A">
        <w:t xml:space="preserve"> to </w:t>
      </w:r>
      <w:r w:rsidR="00580B7B" w:rsidRPr="0004134A">
        <w:t>promote ethical standards</w:t>
      </w:r>
      <w:r w:rsidR="00580B7B">
        <w:t xml:space="preserve"> and</w:t>
      </w:r>
      <w:r w:rsidR="00580B7B" w:rsidRPr="0004134A">
        <w:t xml:space="preserve"> </w:t>
      </w:r>
      <w:r w:rsidRPr="0004134A">
        <w:t xml:space="preserve">mitigate risks across </w:t>
      </w:r>
      <w:r>
        <w:t xml:space="preserve">EnergyCo. </w:t>
      </w:r>
    </w:p>
    <w:p w14:paraId="23E8D310" w14:textId="77777777" w:rsidR="003927AE" w:rsidRDefault="003927AE" w:rsidP="00DD117C">
      <w:pPr>
        <w:tabs>
          <w:tab w:val="left" w:pos="2925"/>
        </w:tabs>
        <w:spacing w:before="200" w:after="120"/>
        <w:rPr>
          <w:rStyle w:val="Heading1Char"/>
        </w:rPr>
      </w:pPr>
      <w:r w:rsidRPr="39739DC6">
        <w:rPr>
          <w:rStyle w:val="Heading1Char"/>
        </w:rPr>
        <w:t>Key accountabilities</w:t>
      </w:r>
    </w:p>
    <w:p w14:paraId="4B84373A" w14:textId="447A55A6" w:rsidR="009E1AED" w:rsidRPr="00802296" w:rsidRDefault="002456A7" w:rsidP="00802296">
      <w:pPr>
        <w:pStyle w:val="ListParagraph"/>
        <w:numPr>
          <w:ilvl w:val="0"/>
          <w:numId w:val="3"/>
        </w:numPr>
        <w:tabs>
          <w:tab w:val="left" w:pos="735"/>
        </w:tabs>
        <w:rPr>
          <w:rFonts w:eastAsia="Arial" w:cs="Arial"/>
          <w:color w:val="000000" w:themeColor="text1"/>
        </w:rPr>
      </w:pPr>
      <w:r w:rsidRPr="00802296">
        <w:rPr>
          <w:rFonts w:eastAsia="Arial" w:cs="Arial"/>
          <w:color w:val="000000" w:themeColor="text1"/>
        </w:rPr>
        <w:t>Design and implement governance</w:t>
      </w:r>
      <w:r w:rsidR="00401766" w:rsidRPr="00802296">
        <w:rPr>
          <w:rFonts w:eastAsia="Arial" w:cs="Arial"/>
          <w:color w:val="000000" w:themeColor="text1"/>
        </w:rPr>
        <w:t xml:space="preserve"> and compliance</w:t>
      </w:r>
      <w:r w:rsidRPr="00802296">
        <w:rPr>
          <w:rFonts w:eastAsia="Arial" w:cs="Arial"/>
          <w:color w:val="000000" w:themeColor="text1"/>
        </w:rPr>
        <w:t xml:space="preserve"> frameworks</w:t>
      </w:r>
      <w:r w:rsidR="00802296" w:rsidRPr="00802296">
        <w:rPr>
          <w:rFonts w:eastAsia="Arial" w:cs="Arial"/>
          <w:color w:val="000000" w:themeColor="text1"/>
        </w:rPr>
        <w:t xml:space="preserve"> by developing and amending governance and compliance policies and procedures</w:t>
      </w:r>
      <w:r w:rsidRPr="00802296">
        <w:rPr>
          <w:rFonts w:eastAsia="Arial" w:cs="Arial"/>
          <w:color w:val="000000" w:themeColor="text1"/>
        </w:rPr>
        <w:t xml:space="preserve"> </w:t>
      </w:r>
      <w:r w:rsidR="00802296">
        <w:rPr>
          <w:rFonts w:eastAsia="Arial" w:cs="Arial"/>
          <w:color w:val="000000" w:themeColor="text1"/>
        </w:rPr>
        <w:t>to ensure alignment with current</w:t>
      </w:r>
      <w:r w:rsidRPr="00802296">
        <w:rPr>
          <w:rFonts w:eastAsia="Arial" w:cs="Arial"/>
          <w:color w:val="000000" w:themeColor="text1"/>
        </w:rPr>
        <w:t xml:space="preserve"> </w:t>
      </w:r>
      <w:r w:rsidR="009E1AED" w:rsidRPr="00802296">
        <w:rPr>
          <w:rFonts w:eastAsia="Arial" w:cs="Arial"/>
          <w:color w:val="000000" w:themeColor="text1"/>
        </w:rPr>
        <w:t xml:space="preserve">legislative and regulatory requirements and </w:t>
      </w:r>
      <w:r w:rsidR="00401766" w:rsidRPr="00802296">
        <w:rPr>
          <w:rFonts w:eastAsia="Arial" w:cs="Arial"/>
          <w:color w:val="000000" w:themeColor="text1"/>
        </w:rPr>
        <w:t xml:space="preserve">NSW government sector </w:t>
      </w:r>
      <w:r w:rsidRPr="00802296">
        <w:rPr>
          <w:rFonts w:eastAsia="Arial" w:cs="Arial"/>
          <w:color w:val="000000" w:themeColor="text1"/>
        </w:rPr>
        <w:t>best practices</w:t>
      </w:r>
      <w:r w:rsidR="00802296" w:rsidRPr="00802296">
        <w:rPr>
          <w:rFonts w:eastAsia="Arial" w:cs="Arial"/>
          <w:color w:val="000000" w:themeColor="text1"/>
        </w:rPr>
        <w:t>; and design and implement</w:t>
      </w:r>
      <w:r w:rsidR="00802296">
        <w:rPr>
          <w:rFonts w:eastAsia="Arial" w:cs="Arial"/>
          <w:color w:val="000000" w:themeColor="text1"/>
        </w:rPr>
        <w:t xml:space="preserve"> associated </w:t>
      </w:r>
      <w:r w:rsidR="00802296" w:rsidRPr="00802296">
        <w:rPr>
          <w:rFonts w:eastAsia="Arial" w:cs="Arial"/>
          <w:color w:val="000000" w:themeColor="text1"/>
        </w:rPr>
        <w:t>risk control systems are in place to mitigate risk and compliance issues</w:t>
      </w:r>
    </w:p>
    <w:p w14:paraId="1E427FD1" w14:textId="68E09CA8" w:rsidR="00413DBD" w:rsidRDefault="00AD12C5" w:rsidP="002456A7">
      <w:pPr>
        <w:pStyle w:val="ListParagraph"/>
        <w:numPr>
          <w:ilvl w:val="0"/>
          <w:numId w:val="3"/>
        </w:numPr>
        <w:tabs>
          <w:tab w:val="left" w:pos="2925"/>
        </w:tabs>
        <w:rPr>
          <w:rFonts w:eastAsia="Arial" w:cs="Arial"/>
          <w:color w:val="000000" w:themeColor="text1"/>
        </w:rPr>
      </w:pPr>
      <w:r>
        <w:rPr>
          <w:rFonts w:eastAsia="Arial" w:cs="Arial"/>
          <w:color w:val="000000" w:themeColor="text1"/>
        </w:rPr>
        <w:t>M</w:t>
      </w:r>
      <w:r w:rsidR="002456A7" w:rsidRPr="002456A7">
        <w:rPr>
          <w:rFonts w:eastAsia="Arial" w:cs="Arial"/>
          <w:color w:val="000000" w:themeColor="text1"/>
        </w:rPr>
        <w:t xml:space="preserve">onitor and report </w:t>
      </w:r>
      <w:r>
        <w:rPr>
          <w:rFonts w:eastAsia="Arial" w:cs="Arial"/>
          <w:color w:val="000000" w:themeColor="text1"/>
        </w:rPr>
        <w:t xml:space="preserve">on EnergyCo’s </w:t>
      </w:r>
      <w:r w:rsidR="002456A7" w:rsidRPr="002456A7">
        <w:rPr>
          <w:rFonts w:eastAsia="Arial" w:cs="Arial"/>
          <w:color w:val="000000" w:themeColor="text1"/>
        </w:rPr>
        <w:t xml:space="preserve">compliance with laws, regulations, </w:t>
      </w:r>
      <w:r w:rsidR="00401766">
        <w:rPr>
          <w:rFonts w:eastAsia="Arial" w:cs="Arial"/>
          <w:color w:val="000000" w:themeColor="text1"/>
        </w:rPr>
        <w:t>relevant government requirements, delegations</w:t>
      </w:r>
      <w:r w:rsidR="009E1AED">
        <w:rPr>
          <w:rFonts w:eastAsia="Arial" w:cs="Arial"/>
          <w:color w:val="000000" w:themeColor="text1"/>
        </w:rPr>
        <w:t>, corporate</w:t>
      </w:r>
      <w:r w:rsidR="00401766">
        <w:rPr>
          <w:rFonts w:eastAsia="Arial" w:cs="Arial"/>
          <w:color w:val="000000" w:themeColor="text1"/>
        </w:rPr>
        <w:t xml:space="preserve"> </w:t>
      </w:r>
      <w:r w:rsidR="002456A7" w:rsidRPr="002456A7">
        <w:rPr>
          <w:rFonts w:eastAsia="Arial" w:cs="Arial"/>
          <w:color w:val="000000" w:themeColor="text1"/>
        </w:rPr>
        <w:t>policies</w:t>
      </w:r>
      <w:r w:rsidR="00401766">
        <w:rPr>
          <w:rFonts w:eastAsia="Arial" w:cs="Arial"/>
          <w:color w:val="000000" w:themeColor="text1"/>
        </w:rPr>
        <w:t xml:space="preserve">, </w:t>
      </w:r>
      <w:r>
        <w:rPr>
          <w:rFonts w:eastAsia="Arial" w:cs="Arial"/>
          <w:color w:val="000000" w:themeColor="text1"/>
        </w:rPr>
        <w:t xml:space="preserve">and </w:t>
      </w:r>
      <w:r w:rsidR="00401766">
        <w:rPr>
          <w:rFonts w:eastAsia="Arial" w:cs="Arial"/>
          <w:color w:val="000000" w:themeColor="text1"/>
        </w:rPr>
        <w:t xml:space="preserve">key contractual obligations. </w:t>
      </w:r>
    </w:p>
    <w:p w14:paraId="323F84F9" w14:textId="0BE6D5F1" w:rsidR="002456A7" w:rsidRPr="002456A7" w:rsidRDefault="00401766" w:rsidP="002456A7">
      <w:pPr>
        <w:pStyle w:val="ListParagraph"/>
        <w:numPr>
          <w:ilvl w:val="0"/>
          <w:numId w:val="3"/>
        </w:numPr>
        <w:tabs>
          <w:tab w:val="left" w:pos="2925"/>
        </w:tabs>
        <w:rPr>
          <w:rFonts w:eastAsia="Arial" w:cs="Arial"/>
          <w:color w:val="000000" w:themeColor="text1"/>
        </w:rPr>
      </w:pPr>
      <w:r>
        <w:rPr>
          <w:rFonts w:eastAsia="Arial" w:cs="Arial"/>
          <w:color w:val="000000" w:themeColor="text1"/>
        </w:rPr>
        <w:lastRenderedPageBreak/>
        <w:t xml:space="preserve">Advise and support </w:t>
      </w:r>
      <w:r w:rsidR="00413DBD">
        <w:rPr>
          <w:rFonts w:eastAsia="Arial" w:cs="Arial"/>
          <w:color w:val="000000" w:themeColor="text1"/>
        </w:rPr>
        <w:t xml:space="preserve">leaders and </w:t>
      </w:r>
      <w:r>
        <w:rPr>
          <w:rFonts w:eastAsia="Arial" w:cs="Arial"/>
          <w:color w:val="000000" w:themeColor="text1"/>
        </w:rPr>
        <w:t xml:space="preserve">business areas </w:t>
      </w:r>
      <w:r w:rsidR="00413DBD">
        <w:rPr>
          <w:rFonts w:eastAsia="Arial" w:cs="Arial"/>
          <w:color w:val="000000" w:themeColor="text1"/>
        </w:rPr>
        <w:t xml:space="preserve">on governance and compliance matters, including </w:t>
      </w:r>
      <w:r>
        <w:rPr>
          <w:rFonts w:eastAsia="Arial" w:cs="Arial"/>
          <w:color w:val="000000" w:themeColor="text1"/>
        </w:rPr>
        <w:t>managing instances of non-compliance and improvement of controls and processes</w:t>
      </w:r>
      <w:r w:rsidR="002456A7" w:rsidRPr="002456A7">
        <w:rPr>
          <w:rFonts w:eastAsia="Arial" w:cs="Arial"/>
          <w:color w:val="000000" w:themeColor="text1"/>
        </w:rPr>
        <w:t>.</w:t>
      </w:r>
    </w:p>
    <w:p w14:paraId="1B0E17D3" w14:textId="72353BE8" w:rsidR="002456A7" w:rsidRPr="009E1AED" w:rsidRDefault="00536052" w:rsidP="005A75E4">
      <w:pPr>
        <w:pStyle w:val="ListParagraph"/>
        <w:numPr>
          <w:ilvl w:val="0"/>
          <w:numId w:val="3"/>
        </w:numPr>
        <w:tabs>
          <w:tab w:val="left" w:pos="2925"/>
        </w:tabs>
        <w:rPr>
          <w:rFonts w:eastAsia="Arial" w:cs="Arial"/>
          <w:color w:val="000000" w:themeColor="text1"/>
        </w:rPr>
      </w:pPr>
      <w:r w:rsidRPr="009E1AED">
        <w:rPr>
          <w:rFonts w:eastAsia="Arial" w:cs="Arial"/>
          <w:color w:val="000000" w:themeColor="text1"/>
        </w:rPr>
        <w:t>Coordinate and deliver learning and development sessions, materials and programs to p</w:t>
      </w:r>
      <w:r w:rsidRPr="009E1AED">
        <w:rPr>
          <w:rFonts w:eastAsia="Arial" w:cs="Arial"/>
        </w:rPr>
        <w:t xml:space="preserve">romote the understanding of governance and compliance concepts, </w:t>
      </w:r>
      <w:r>
        <w:t xml:space="preserve">principles, issues and practices </w:t>
      </w:r>
      <w:r w:rsidRPr="009E1AED">
        <w:rPr>
          <w:rFonts w:eastAsia="Arial" w:cs="Arial"/>
        </w:rPr>
        <w:t>across EnergyCo</w:t>
      </w:r>
      <w:r w:rsidR="002456A7" w:rsidRPr="009E1AED">
        <w:rPr>
          <w:rFonts w:eastAsia="Arial" w:cs="Arial"/>
          <w:color w:val="000000" w:themeColor="text1"/>
        </w:rPr>
        <w:t>.</w:t>
      </w:r>
    </w:p>
    <w:p w14:paraId="06B4B30D" w14:textId="7F48191B" w:rsidR="002456A7" w:rsidRPr="002456A7" w:rsidRDefault="00413DBD" w:rsidP="002456A7">
      <w:pPr>
        <w:pStyle w:val="ListParagraph"/>
        <w:numPr>
          <w:ilvl w:val="0"/>
          <w:numId w:val="3"/>
        </w:numPr>
        <w:tabs>
          <w:tab w:val="left" w:pos="2925"/>
        </w:tabs>
        <w:rPr>
          <w:rFonts w:eastAsia="Arial" w:cs="Arial"/>
          <w:color w:val="000000" w:themeColor="text1"/>
        </w:rPr>
      </w:pPr>
      <w:r>
        <w:rPr>
          <w:rFonts w:eastAsia="Arial" w:cs="Arial"/>
          <w:color w:val="000000" w:themeColor="text1"/>
        </w:rPr>
        <w:t xml:space="preserve">Support </w:t>
      </w:r>
      <w:r w:rsidR="002456A7" w:rsidRPr="002456A7">
        <w:rPr>
          <w:rFonts w:eastAsia="Arial" w:cs="Arial"/>
          <w:color w:val="000000" w:themeColor="text1"/>
        </w:rPr>
        <w:t>audi</w:t>
      </w:r>
      <w:r>
        <w:rPr>
          <w:rFonts w:eastAsia="Arial" w:cs="Arial"/>
          <w:color w:val="000000" w:themeColor="text1"/>
        </w:rPr>
        <w:t xml:space="preserve">ts, investigations, enquiries, complaints and dispute resolution, including advising on processes and facilitating </w:t>
      </w:r>
      <w:r w:rsidR="002456A7" w:rsidRPr="002456A7">
        <w:rPr>
          <w:rFonts w:eastAsia="Arial" w:cs="Arial"/>
          <w:color w:val="000000" w:themeColor="text1"/>
        </w:rPr>
        <w:t>timely</w:t>
      </w:r>
      <w:r>
        <w:rPr>
          <w:rFonts w:eastAsia="Arial" w:cs="Arial"/>
          <w:color w:val="000000" w:themeColor="text1"/>
        </w:rPr>
        <w:t xml:space="preserve">, </w:t>
      </w:r>
      <w:r w:rsidR="002456A7" w:rsidRPr="002456A7">
        <w:rPr>
          <w:rFonts w:eastAsia="Arial" w:cs="Arial"/>
          <w:color w:val="000000" w:themeColor="text1"/>
        </w:rPr>
        <w:t xml:space="preserve">accurate </w:t>
      </w:r>
      <w:r>
        <w:rPr>
          <w:rFonts w:eastAsia="Arial" w:cs="Arial"/>
          <w:color w:val="000000" w:themeColor="text1"/>
        </w:rPr>
        <w:t>and helpful communication of information</w:t>
      </w:r>
      <w:r w:rsidR="002456A7" w:rsidRPr="002456A7">
        <w:rPr>
          <w:rFonts w:eastAsia="Arial" w:cs="Arial"/>
          <w:color w:val="000000" w:themeColor="text1"/>
        </w:rPr>
        <w:t>.</w:t>
      </w:r>
    </w:p>
    <w:p w14:paraId="46B5F03D" w14:textId="0BF81B52" w:rsidR="00536052" w:rsidRPr="002456A7" w:rsidRDefault="00536052" w:rsidP="00536052">
      <w:pPr>
        <w:pStyle w:val="ListParagraph"/>
        <w:numPr>
          <w:ilvl w:val="0"/>
          <w:numId w:val="3"/>
        </w:numPr>
        <w:tabs>
          <w:tab w:val="left" w:pos="2925"/>
        </w:tabs>
        <w:rPr>
          <w:color w:val="000000" w:themeColor="text1"/>
        </w:rPr>
      </w:pPr>
      <w:r w:rsidRPr="002456A7">
        <w:rPr>
          <w:rFonts w:eastAsia="Arial" w:cs="Arial"/>
          <w:color w:val="000000" w:themeColor="text1"/>
        </w:rPr>
        <w:t xml:space="preserve">Prepare governance </w:t>
      </w:r>
      <w:r>
        <w:rPr>
          <w:rFonts w:eastAsia="Arial" w:cs="Arial"/>
          <w:color w:val="000000" w:themeColor="text1"/>
        </w:rPr>
        <w:t xml:space="preserve">and compliance </w:t>
      </w:r>
      <w:r w:rsidRPr="002456A7">
        <w:rPr>
          <w:rFonts w:eastAsia="Arial" w:cs="Arial"/>
          <w:color w:val="000000" w:themeColor="text1"/>
        </w:rPr>
        <w:t>reports</w:t>
      </w:r>
      <w:r>
        <w:rPr>
          <w:rFonts w:eastAsia="Arial" w:cs="Arial"/>
          <w:color w:val="000000" w:themeColor="text1"/>
        </w:rPr>
        <w:t>, briefing notes and submission</w:t>
      </w:r>
      <w:r w:rsidRPr="002456A7">
        <w:rPr>
          <w:rFonts w:eastAsia="Arial" w:cs="Arial"/>
          <w:color w:val="000000" w:themeColor="text1"/>
        </w:rPr>
        <w:t xml:space="preserve"> to </w:t>
      </w:r>
      <w:r>
        <w:rPr>
          <w:rFonts w:eastAsia="Arial" w:cs="Arial"/>
          <w:color w:val="000000" w:themeColor="text1"/>
        </w:rPr>
        <w:t xml:space="preserve">EnergyCo </w:t>
      </w:r>
      <w:r w:rsidRPr="002456A7">
        <w:rPr>
          <w:rFonts w:eastAsia="Arial" w:cs="Arial"/>
          <w:color w:val="000000" w:themeColor="text1"/>
        </w:rPr>
        <w:t>management</w:t>
      </w:r>
      <w:r>
        <w:rPr>
          <w:rFonts w:eastAsia="Arial" w:cs="Arial"/>
          <w:color w:val="000000" w:themeColor="text1"/>
        </w:rPr>
        <w:t>, EnergyCo B</w:t>
      </w:r>
      <w:r w:rsidRPr="002456A7">
        <w:rPr>
          <w:rFonts w:eastAsia="Arial" w:cs="Arial"/>
          <w:color w:val="000000" w:themeColor="text1"/>
        </w:rPr>
        <w:t xml:space="preserve">oard </w:t>
      </w:r>
      <w:r>
        <w:rPr>
          <w:rFonts w:eastAsia="Arial" w:cs="Arial"/>
          <w:color w:val="000000" w:themeColor="text1"/>
        </w:rPr>
        <w:t>and committees</w:t>
      </w:r>
      <w:r w:rsidRPr="002456A7">
        <w:rPr>
          <w:rFonts w:eastAsia="Arial" w:cs="Arial"/>
          <w:color w:val="000000" w:themeColor="text1"/>
        </w:rPr>
        <w:t>.</w:t>
      </w:r>
    </w:p>
    <w:p w14:paraId="5C3B6744" w14:textId="09F50A4B" w:rsidR="003927AE" w:rsidRPr="00536052" w:rsidRDefault="00413DBD" w:rsidP="00536052">
      <w:pPr>
        <w:pStyle w:val="ListParagraph"/>
        <w:numPr>
          <w:ilvl w:val="0"/>
          <w:numId w:val="3"/>
        </w:numPr>
        <w:tabs>
          <w:tab w:val="left" w:pos="2925"/>
        </w:tabs>
        <w:rPr>
          <w:rStyle w:val="Heading1Char"/>
          <w:rFonts w:eastAsia="Arial"/>
          <w:b w:val="0"/>
          <w:bCs w:val="0"/>
          <w:color w:val="000000" w:themeColor="text1"/>
          <w:kern w:val="0"/>
          <w:sz w:val="22"/>
          <w:szCs w:val="22"/>
          <w:lang w:val="en-US"/>
        </w:rPr>
      </w:pPr>
      <w:r>
        <w:rPr>
          <w:rFonts w:eastAsia="Arial" w:cs="Arial"/>
          <w:color w:val="000000" w:themeColor="text1"/>
        </w:rPr>
        <w:t>Collaborate with other governance</w:t>
      </w:r>
      <w:r w:rsidR="00536052">
        <w:rPr>
          <w:rFonts w:eastAsia="Arial" w:cs="Arial"/>
          <w:color w:val="000000" w:themeColor="text1"/>
        </w:rPr>
        <w:t xml:space="preserve">, </w:t>
      </w:r>
      <w:r>
        <w:rPr>
          <w:rFonts w:eastAsia="Arial" w:cs="Arial"/>
          <w:color w:val="000000" w:themeColor="text1"/>
        </w:rPr>
        <w:t xml:space="preserve">compliance </w:t>
      </w:r>
      <w:r w:rsidR="00536052">
        <w:rPr>
          <w:rFonts w:eastAsia="Arial" w:cs="Arial"/>
          <w:color w:val="000000" w:themeColor="text1"/>
        </w:rPr>
        <w:t xml:space="preserve">and complaint handling </w:t>
      </w:r>
      <w:r>
        <w:rPr>
          <w:rFonts w:eastAsia="Arial" w:cs="Arial"/>
          <w:color w:val="000000" w:themeColor="text1"/>
        </w:rPr>
        <w:t>professionals</w:t>
      </w:r>
      <w:r w:rsidR="00536052">
        <w:rPr>
          <w:rFonts w:eastAsia="Arial" w:cs="Arial"/>
          <w:color w:val="000000" w:themeColor="text1"/>
        </w:rPr>
        <w:t xml:space="preserve">, including in </w:t>
      </w:r>
      <w:r>
        <w:rPr>
          <w:rFonts w:eastAsia="Arial" w:cs="Arial"/>
          <w:color w:val="000000" w:themeColor="text1"/>
        </w:rPr>
        <w:t>the broader department</w:t>
      </w:r>
      <w:r w:rsidR="00536052">
        <w:rPr>
          <w:rFonts w:eastAsia="Arial" w:cs="Arial"/>
          <w:color w:val="000000" w:themeColor="text1"/>
        </w:rPr>
        <w:t xml:space="preserve">, Ombudsman and other independent bodies, and key delivery partners of EnergyCo projects to </w:t>
      </w:r>
      <w:r w:rsidR="002456A7" w:rsidRPr="002456A7">
        <w:rPr>
          <w:rFonts w:eastAsia="Arial" w:cs="Arial"/>
          <w:color w:val="000000" w:themeColor="text1"/>
        </w:rPr>
        <w:t xml:space="preserve">ensure </w:t>
      </w:r>
      <w:r w:rsidR="00536052">
        <w:rPr>
          <w:rFonts w:eastAsia="Arial" w:cs="Arial"/>
          <w:color w:val="000000" w:themeColor="text1"/>
        </w:rPr>
        <w:t xml:space="preserve">aligned and effective governance and </w:t>
      </w:r>
      <w:r w:rsidR="002456A7" w:rsidRPr="002456A7">
        <w:rPr>
          <w:rFonts w:eastAsia="Arial" w:cs="Arial"/>
          <w:color w:val="000000" w:themeColor="text1"/>
        </w:rPr>
        <w:t xml:space="preserve">compliance </w:t>
      </w:r>
      <w:r w:rsidR="00536052">
        <w:rPr>
          <w:rFonts w:eastAsia="Arial" w:cs="Arial"/>
          <w:color w:val="000000" w:themeColor="text1"/>
        </w:rPr>
        <w:t>approach and outcomes</w:t>
      </w:r>
      <w:r w:rsidR="002456A7" w:rsidRPr="002456A7">
        <w:rPr>
          <w:rFonts w:eastAsia="Arial" w:cs="Arial"/>
          <w:color w:val="000000" w:themeColor="text1"/>
        </w:rPr>
        <w:t>.</w:t>
      </w:r>
    </w:p>
    <w:p w14:paraId="456AFD2D" w14:textId="4098347A" w:rsidR="003927AE" w:rsidRPr="00614552" w:rsidRDefault="003927AE" w:rsidP="00BE50C9">
      <w:pPr>
        <w:tabs>
          <w:tab w:val="left" w:pos="2925"/>
        </w:tabs>
        <w:spacing w:before="200" w:after="120"/>
        <w:rPr>
          <w:rStyle w:val="Heading1Char"/>
        </w:rPr>
      </w:pPr>
      <w:r w:rsidRPr="1B510F3E">
        <w:rPr>
          <w:rStyle w:val="Heading1Char"/>
        </w:rPr>
        <w:t>Key challenges</w:t>
      </w:r>
    </w:p>
    <w:p w14:paraId="751B2891" w14:textId="65A35F83" w:rsidR="00905A9B" w:rsidRPr="00905A9B" w:rsidRDefault="00905A9B" w:rsidP="002456A7">
      <w:pPr>
        <w:pStyle w:val="ListParagraph"/>
        <w:numPr>
          <w:ilvl w:val="0"/>
          <w:numId w:val="3"/>
        </w:numPr>
        <w:tabs>
          <w:tab w:val="left" w:pos="2925"/>
        </w:tabs>
      </w:pPr>
      <w:r>
        <w:rPr>
          <w:lang w:val="en-AU"/>
        </w:rPr>
        <w:t>I</w:t>
      </w:r>
      <w:r w:rsidRPr="00905A9B">
        <w:rPr>
          <w:lang w:val="en-AU"/>
        </w:rPr>
        <w:t>mplementing governance,</w:t>
      </w:r>
      <w:r>
        <w:rPr>
          <w:lang w:val="en-AU"/>
        </w:rPr>
        <w:t xml:space="preserve"> compliance and complaint resolution</w:t>
      </w:r>
      <w:r w:rsidRPr="00905A9B">
        <w:rPr>
          <w:lang w:val="en-AU"/>
        </w:rPr>
        <w:t xml:space="preserve"> processes that are fit</w:t>
      </w:r>
      <w:r>
        <w:rPr>
          <w:lang w:val="en-AU"/>
        </w:rPr>
        <w:t>-</w:t>
      </w:r>
      <w:r w:rsidRPr="00905A9B">
        <w:rPr>
          <w:lang w:val="en-AU"/>
        </w:rPr>
        <w:t>for</w:t>
      </w:r>
      <w:r>
        <w:rPr>
          <w:lang w:val="en-AU"/>
        </w:rPr>
        <w:t>-</w:t>
      </w:r>
      <w:r w:rsidRPr="00905A9B">
        <w:rPr>
          <w:lang w:val="en-AU"/>
        </w:rPr>
        <w:t xml:space="preserve">purpose, </w:t>
      </w:r>
      <w:r>
        <w:rPr>
          <w:lang w:val="en-AU"/>
        </w:rPr>
        <w:t xml:space="preserve">relevant </w:t>
      </w:r>
      <w:r w:rsidRPr="00905A9B">
        <w:rPr>
          <w:lang w:val="en-AU"/>
        </w:rPr>
        <w:t xml:space="preserve">and effective without unnecessary bureaucracy and </w:t>
      </w:r>
      <w:r>
        <w:rPr>
          <w:lang w:val="en-AU"/>
        </w:rPr>
        <w:t xml:space="preserve">excessive </w:t>
      </w:r>
      <w:r w:rsidRPr="00905A9B">
        <w:rPr>
          <w:lang w:val="en-AU"/>
        </w:rPr>
        <w:t xml:space="preserve">administrative </w:t>
      </w:r>
      <w:r>
        <w:rPr>
          <w:lang w:val="en-AU"/>
        </w:rPr>
        <w:t>burden.</w:t>
      </w:r>
    </w:p>
    <w:p w14:paraId="3DA3EA64" w14:textId="2B1DFAED" w:rsidR="002456A7" w:rsidRPr="002456A7" w:rsidRDefault="00E5246D" w:rsidP="002456A7">
      <w:pPr>
        <w:pStyle w:val="ListParagraph"/>
        <w:numPr>
          <w:ilvl w:val="0"/>
          <w:numId w:val="3"/>
        </w:numPr>
        <w:tabs>
          <w:tab w:val="left" w:pos="2925"/>
        </w:tabs>
        <w:rPr>
          <w:rFonts w:eastAsia="Arial" w:cs="Arial"/>
          <w:color w:val="000000" w:themeColor="text1"/>
        </w:rPr>
      </w:pPr>
      <w:r>
        <w:t xml:space="preserve">Driving staff engagement and leveraging </w:t>
      </w:r>
      <w:r w:rsidR="00F714D4">
        <w:t xml:space="preserve">expertise from professional networks to deliver </w:t>
      </w:r>
      <w:r>
        <w:t xml:space="preserve">valuable and effective </w:t>
      </w:r>
      <w:r w:rsidR="002456A7">
        <w:t xml:space="preserve">governance </w:t>
      </w:r>
      <w:r>
        <w:t xml:space="preserve">and compliance </w:t>
      </w:r>
      <w:r w:rsidR="00F714D4">
        <w:t xml:space="preserve">programs and activities </w:t>
      </w:r>
      <w:r w:rsidR="002456A7">
        <w:t>within the constraints of available resources and budget.</w:t>
      </w:r>
    </w:p>
    <w:p w14:paraId="47332E71" w14:textId="1A47C243" w:rsidR="003927AE" w:rsidRPr="00905A9B" w:rsidRDefault="00905A9B" w:rsidP="00905A9B">
      <w:pPr>
        <w:pStyle w:val="ListParagraph"/>
        <w:numPr>
          <w:ilvl w:val="0"/>
          <w:numId w:val="3"/>
        </w:numPr>
        <w:tabs>
          <w:tab w:val="left" w:pos="2925"/>
        </w:tabs>
      </w:pPr>
      <w:r>
        <w:t>Keeping up with changes in relevant legislation, regulations and policies and ensuring the organisation remains compliant and in alignment with related departments.</w:t>
      </w:r>
    </w:p>
    <w:p w14:paraId="255F3BCC" w14:textId="6C1DFD49" w:rsidR="003927AE" w:rsidRPr="00BD537E" w:rsidRDefault="003927AE" w:rsidP="1B510F3E">
      <w:pPr>
        <w:pStyle w:val="ListParagraph"/>
        <w:tabs>
          <w:tab w:val="left" w:pos="2925"/>
        </w:tabs>
        <w:spacing w:line="240" w:lineRule="auto"/>
        <w:rPr>
          <w:rFonts w:ascii="Georgia" w:hAnsi="Georgia"/>
          <w:b/>
          <w:bCs/>
          <w:sz w:val="28"/>
          <w:szCs w:val="28"/>
        </w:rPr>
      </w:pPr>
    </w:p>
    <w:p w14:paraId="4C6B1C7D" w14:textId="3E25C3CC" w:rsidR="003927AE" w:rsidRPr="00BD537E" w:rsidRDefault="003927AE" w:rsidP="1B510F3E">
      <w:pPr>
        <w:tabs>
          <w:tab w:val="left" w:pos="2925"/>
        </w:tabs>
        <w:spacing w:line="240" w:lineRule="auto"/>
        <w:rPr>
          <w:rFonts w:ascii="Georgia" w:hAnsi="Georgia"/>
          <w:b/>
          <w:bCs/>
          <w:sz w:val="28"/>
          <w:szCs w:val="28"/>
        </w:rPr>
      </w:pPr>
      <w:r w:rsidRPr="1B510F3E">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1DD237C7" w14:textId="77777777" w:rsidTr="1B510F3E">
        <w:trPr>
          <w:cnfStyle w:val="100000000000" w:firstRow="1" w:lastRow="0" w:firstColumn="0" w:lastColumn="0" w:oddVBand="0" w:evenVBand="0" w:oddHBand="0" w:evenHBand="0" w:firstRowFirstColumn="0" w:firstRowLastColumn="0" w:lastRowFirstColumn="0" w:lastRowLastColumn="0"/>
          <w:tblHeader/>
        </w:trPr>
        <w:tc>
          <w:tcPr>
            <w:tcW w:w="3601" w:type="dxa"/>
          </w:tcPr>
          <w:p w14:paraId="4430D34F" w14:textId="77777777" w:rsidR="003927AE" w:rsidRPr="0005321E" w:rsidRDefault="003927AE" w:rsidP="39739DC6">
            <w:pPr>
              <w:pStyle w:val="TableTextWhite0"/>
              <w:rPr>
                <w:color w:val="FFFFFF" w:themeColor="background1"/>
              </w:rPr>
            </w:pPr>
            <w:r w:rsidRPr="0005321E">
              <w:rPr>
                <w:color w:val="FFFFFF" w:themeColor="background1"/>
              </w:rPr>
              <w:t>Who</w:t>
            </w:r>
          </w:p>
        </w:tc>
        <w:tc>
          <w:tcPr>
            <w:tcW w:w="7256" w:type="dxa"/>
          </w:tcPr>
          <w:p w14:paraId="202746C2" w14:textId="05251B64" w:rsidR="003927AE" w:rsidRPr="0005321E" w:rsidRDefault="003927AE" w:rsidP="39739DC6">
            <w:pPr>
              <w:pStyle w:val="TableTextWhite0"/>
              <w:rPr>
                <w:color w:val="FFFFFF" w:themeColor="background1"/>
              </w:rPr>
            </w:pPr>
            <w:r w:rsidRPr="0005321E">
              <w:rPr>
                <w:color w:val="FFFFFF" w:themeColor="background1"/>
              </w:rPr>
              <w:t>Why</w:t>
            </w:r>
          </w:p>
        </w:tc>
      </w:tr>
      <w:tr w:rsidR="003927AE" w:rsidRPr="00A8245E" w14:paraId="0E2ED9B6" w14:textId="77777777" w:rsidTr="1B510F3E">
        <w:tc>
          <w:tcPr>
            <w:tcW w:w="3601" w:type="dxa"/>
            <w:shd w:val="clear" w:color="auto" w:fill="BCBEC0"/>
          </w:tcPr>
          <w:p w14:paraId="24B282B8" w14:textId="77777777" w:rsidR="003927AE" w:rsidRPr="00A8245E" w:rsidRDefault="003927AE" w:rsidP="39739DC6">
            <w:pPr>
              <w:pStyle w:val="TableText"/>
              <w:keepNext/>
              <w:rPr>
                <w:b/>
                <w:bCs/>
              </w:rPr>
            </w:pPr>
            <w:r w:rsidRPr="39739DC6">
              <w:rPr>
                <w:b/>
                <w:bCs/>
              </w:rPr>
              <w:t>Internal</w:t>
            </w:r>
          </w:p>
        </w:tc>
        <w:tc>
          <w:tcPr>
            <w:tcW w:w="7256" w:type="dxa"/>
            <w:shd w:val="clear" w:color="auto" w:fill="BCBEC0"/>
          </w:tcPr>
          <w:p w14:paraId="6F4D93E0" w14:textId="77777777" w:rsidR="003927AE" w:rsidRPr="00A8245E" w:rsidRDefault="003927AE" w:rsidP="39739DC6">
            <w:pPr>
              <w:pStyle w:val="TableText"/>
              <w:keepNext/>
              <w:rPr>
                <w:b/>
                <w:bCs/>
              </w:rPr>
            </w:pPr>
          </w:p>
        </w:tc>
      </w:tr>
      <w:tr w:rsidR="003927AE" w:rsidRPr="00C978B9" w14:paraId="6853D1B8" w14:textId="77777777" w:rsidTr="1B510F3E">
        <w:tc>
          <w:tcPr>
            <w:tcW w:w="3601" w:type="dxa"/>
            <w:tcBorders>
              <w:top w:val="single" w:sz="8" w:space="0" w:color="auto"/>
              <w:bottom w:val="single" w:sz="8" w:space="0" w:color="BCBEC0"/>
            </w:tcBorders>
          </w:tcPr>
          <w:p w14:paraId="0809EFF0" w14:textId="1A65D4A7" w:rsidR="003927AE" w:rsidRPr="005163E0" w:rsidRDefault="003927AE" w:rsidP="0005321E">
            <w:pPr>
              <w:pStyle w:val="TableText"/>
              <w:spacing w:before="20" w:after="20" w:line="240" w:lineRule="auto"/>
            </w:pPr>
            <w:r w:rsidRPr="005163E0">
              <w:t>Manager</w:t>
            </w:r>
            <w:r w:rsidR="00F714D4">
              <w:t xml:space="preserve"> </w:t>
            </w:r>
            <w:r w:rsidR="00F714D4">
              <w:br/>
              <w:t>(include direct line manager, Director Governance Risk and Compliance, and other managers of the branch)</w:t>
            </w:r>
          </w:p>
        </w:tc>
        <w:tc>
          <w:tcPr>
            <w:tcW w:w="7256" w:type="dxa"/>
            <w:tcBorders>
              <w:top w:val="single" w:sz="8" w:space="0" w:color="auto"/>
              <w:bottom w:val="single" w:sz="8" w:space="0" w:color="BCBEC0"/>
            </w:tcBorders>
          </w:tcPr>
          <w:p w14:paraId="621971FD" w14:textId="27F4771B" w:rsidR="2CAE5F95" w:rsidRDefault="2CAE5F95" w:rsidP="00BE50C9">
            <w:pPr>
              <w:pStyle w:val="TableText"/>
              <w:numPr>
                <w:ilvl w:val="0"/>
                <w:numId w:val="2"/>
              </w:numPr>
              <w:spacing w:before="20" w:after="20" w:line="240" w:lineRule="auto"/>
              <w:ind w:left="447"/>
            </w:pPr>
            <w:r w:rsidRPr="1B510F3E">
              <w:rPr>
                <w:rFonts w:eastAsia="Arial" w:cs="Arial"/>
              </w:rPr>
              <w:t>Provide expert advice and contribute to decision making, report writing, and development of probity resources</w:t>
            </w:r>
          </w:p>
          <w:p w14:paraId="599232CA" w14:textId="7FF009BE" w:rsidR="003927AE" w:rsidRPr="005163E0" w:rsidRDefault="39739DC6" w:rsidP="00BE50C9">
            <w:pPr>
              <w:pStyle w:val="ListParagraph"/>
              <w:numPr>
                <w:ilvl w:val="0"/>
                <w:numId w:val="2"/>
              </w:numPr>
              <w:spacing w:before="20" w:after="20"/>
              <w:ind w:left="447"/>
              <w:rPr>
                <w:rFonts w:eastAsia="Arial" w:cs="Arial"/>
                <w:color w:val="000000" w:themeColor="text1"/>
              </w:rPr>
            </w:pPr>
            <w:r w:rsidRPr="005163E0">
              <w:t>Identify emerging issues/risks and their implications and propose solutions</w:t>
            </w:r>
          </w:p>
          <w:p w14:paraId="2E5AB162" w14:textId="3F7616F0" w:rsidR="003927AE" w:rsidRPr="005163E0" w:rsidRDefault="39739DC6" w:rsidP="00BE50C9">
            <w:pPr>
              <w:pStyle w:val="ListParagraph"/>
              <w:numPr>
                <w:ilvl w:val="0"/>
                <w:numId w:val="2"/>
              </w:numPr>
              <w:spacing w:before="20" w:after="20"/>
              <w:ind w:left="447"/>
              <w:rPr>
                <w:rFonts w:eastAsia="Arial" w:cs="Arial"/>
                <w:color w:val="000000" w:themeColor="text1"/>
                <w:lang w:val="en-US"/>
              </w:rPr>
            </w:pPr>
            <w:r w:rsidRPr="005163E0">
              <w:rPr>
                <w:rFonts w:eastAsia="Arial" w:cs="Arial"/>
                <w:lang w:val="en-US"/>
              </w:rPr>
              <w:t>Report on progress towards business objectives and discuss future directions</w:t>
            </w:r>
          </w:p>
        </w:tc>
      </w:tr>
      <w:tr w:rsidR="09DB0221" w14:paraId="7EF28852" w14:textId="77777777" w:rsidTr="1B510F3E">
        <w:tc>
          <w:tcPr>
            <w:tcW w:w="3601" w:type="dxa"/>
            <w:tcBorders>
              <w:top w:val="single" w:sz="8" w:space="0" w:color="auto"/>
              <w:bottom w:val="single" w:sz="8" w:space="0" w:color="BCBEC0"/>
            </w:tcBorders>
          </w:tcPr>
          <w:p w14:paraId="12D55A95" w14:textId="6F8691F7" w:rsidR="09DB0221" w:rsidRPr="005163E0" w:rsidRDefault="09DB0221" w:rsidP="0005321E">
            <w:pPr>
              <w:pStyle w:val="TableText"/>
              <w:spacing w:before="20" w:after="20" w:line="240" w:lineRule="auto"/>
              <w:rPr>
                <w:rFonts w:eastAsia="Calibri"/>
                <w:lang w:val="en-US"/>
              </w:rPr>
            </w:pPr>
            <w:r w:rsidRPr="005163E0">
              <w:rPr>
                <w:rFonts w:eastAsia="Arial" w:cs="Arial"/>
                <w:lang w:val="en-US"/>
              </w:rPr>
              <w:t xml:space="preserve">Team </w:t>
            </w:r>
            <w:r w:rsidR="00F714D4">
              <w:rPr>
                <w:rFonts w:eastAsia="Arial" w:cs="Arial"/>
                <w:lang w:val="en-US"/>
              </w:rPr>
              <w:t>m</w:t>
            </w:r>
            <w:r w:rsidRPr="005163E0">
              <w:rPr>
                <w:rFonts w:eastAsia="Arial" w:cs="Arial"/>
                <w:lang w:val="en-US"/>
              </w:rPr>
              <w:t>embers</w:t>
            </w:r>
            <w:r w:rsidR="00F714D4">
              <w:rPr>
                <w:rFonts w:eastAsia="Arial" w:cs="Arial"/>
                <w:lang w:val="en-US"/>
              </w:rPr>
              <w:br/>
            </w:r>
          </w:p>
        </w:tc>
        <w:tc>
          <w:tcPr>
            <w:tcW w:w="7256" w:type="dxa"/>
            <w:tcBorders>
              <w:top w:val="single" w:sz="8" w:space="0" w:color="auto"/>
              <w:bottom w:val="single" w:sz="8" w:space="0" w:color="BCBEC0"/>
            </w:tcBorders>
          </w:tcPr>
          <w:p w14:paraId="0ADDFFE9" w14:textId="7A36F90C" w:rsidR="09DB0221" w:rsidRPr="00155719" w:rsidRDefault="09DB0221" w:rsidP="00155719">
            <w:pPr>
              <w:pStyle w:val="TableText"/>
              <w:numPr>
                <w:ilvl w:val="0"/>
                <w:numId w:val="2"/>
              </w:numPr>
              <w:spacing w:before="20" w:after="20" w:line="240" w:lineRule="auto"/>
              <w:ind w:left="447"/>
              <w:rPr>
                <w:rFonts w:eastAsia="Arial" w:cs="Arial"/>
              </w:rPr>
            </w:pPr>
            <w:r w:rsidRPr="00155719">
              <w:rPr>
                <w:rFonts w:eastAsia="Arial" w:cs="Arial"/>
              </w:rPr>
              <w:t>Supports the team to</w:t>
            </w:r>
            <w:r w:rsidR="1514A615" w:rsidRPr="00155719">
              <w:rPr>
                <w:rFonts w:eastAsia="Arial" w:cs="Arial"/>
              </w:rPr>
              <w:t xml:space="preserve"> assist</w:t>
            </w:r>
            <w:r w:rsidRPr="00155719">
              <w:rPr>
                <w:rFonts w:eastAsia="Arial" w:cs="Arial"/>
              </w:rPr>
              <w:t xml:space="preserve"> and mentor others when required</w:t>
            </w:r>
          </w:p>
          <w:p w14:paraId="063C0C01" w14:textId="019CD64E" w:rsidR="09DB0221" w:rsidRPr="00155719" w:rsidRDefault="6A8BF564" w:rsidP="00155719">
            <w:pPr>
              <w:pStyle w:val="TableText"/>
              <w:numPr>
                <w:ilvl w:val="0"/>
                <w:numId w:val="2"/>
              </w:numPr>
              <w:spacing w:before="20" w:after="20" w:line="240" w:lineRule="auto"/>
              <w:ind w:left="447"/>
              <w:rPr>
                <w:rFonts w:eastAsia="Arial" w:cs="Arial"/>
              </w:rPr>
            </w:pPr>
            <w:r w:rsidRPr="00155719">
              <w:rPr>
                <w:rFonts w:eastAsia="Arial" w:cs="Arial"/>
              </w:rPr>
              <w:t>Actively participate in meetings, share information and provide input on issues</w:t>
            </w:r>
          </w:p>
        </w:tc>
      </w:tr>
      <w:tr w:rsidR="00F714D4" w14:paraId="41A9BABB" w14:textId="77777777" w:rsidTr="1B510F3E">
        <w:tc>
          <w:tcPr>
            <w:tcW w:w="3601" w:type="dxa"/>
            <w:tcBorders>
              <w:top w:val="single" w:sz="8" w:space="0" w:color="auto"/>
              <w:bottom w:val="single" w:sz="8" w:space="0" w:color="BCBEC0"/>
            </w:tcBorders>
          </w:tcPr>
          <w:p w14:paraId="69AA0299" w14:textId="657E2843" w:rsidR="00F714D4" w:rsidRDefault="009D529A" w:rsidP="0005321E">
            <w:pPr>
              <w:pStyle w:val="TableText"/>
              <w:spacing w:before="20" w:after="20" w:line="240" w:lineRule="auto"/>
              <w:rPr>
                <w:rFonts w:eastAsia="Calibri"/>
              </w:rPr>
            </w:pPr>
            <w:r>
              <w:rPr>
                <w:rFonts w:eastAsia="Calibri"/>
              </w:rPr>
              <w:t>G</w:t>
            </w:r>
            <w:r w:rsidR="00F714D4">
              <w:rPr>
                <w:rFonts w:eastAsia="Calibri"/>
              </w:rPr>
              <w:t xml:space="preserve">overnance </w:t>
            </w:r>
            <w:r>
              <w:rPr>
                <w:rFonts w:eastAsia="Calibri"/>
              </w:rPr>
              <w:t xml:space="preserve">and legal </w:t>
            </w:r>
            <w:r w:rsidR="00F714D4">
              <w:rPr>
                <w:rFonts w:eastAsia="Calibri"/>
              </w:rPr>
              <w:t xml:space="preserve">professionals </w:t>
            </w:r>
            <w:r>
              <w:rPr>
                <w:rFonts w:eastAsia="Calibri"/>
              </w:rPr>
              <w:t>(including within Energy</w:t>
            </w:r>
            <w:r w:rsidR="00155719">
              <w:rPr>
                <w:rFonts w:eastAsia="Calibri"/>
              </w:rPr>
              <w:t>Co</w:t>
            </w:r>
            <w:r>
              <w:rPr>
                <w:rFonts w:eastAsia="Calibri"/>
              </w:rPr>
              <w:t xml:space="preserve">, from </w:t>
            </w:r>
            <w:r w:rsidR="00F714D4">
              <w:rPr>
                <w:rFonts w:eastAsia="Calibri"/>
              </w:rPr>
              <w:t>related department</w:t>
            </w:r>
            <w:r w:rsidR="001F3956">
              <w:rPr>
                <w:rFonts w:eastAsia="Calibri"/>
              </w:rPr>
              <w:t>, service providers and partner entities)</w:t>
            </w:r>
          </w:p>
        </w:tc>
        <w:tc>
          <w:tcPr>
            <w:tcW w:w="7256" w:type="dxa"/>
            <w:tcBorders>
              <w:top w:val="single" w:sz="8" w:space="0" w:color="auto"/>
              <w:bottom w:val="single" w:sz="8" w:space="0" w:color="BCBEC0"/>
            </w:tcBorders>
          </w:tcPr>
          <w:p w14:paraId="32DACE95" w14:textId="2AC15AD4" w:rsidR="001F3956" w:rsidRPr="00155719" w:rsidRDefault="001F3956" w:rsidP="001F3956">
            <w:pPr>
              <w:pStyle w:val="TableText"/>
              <w:numPr>
                <w:ilvl w:val="0"/>
                <w:numId w:val="2"/>
              </w:numPr>
              <w:spacing w:before="20" w:after="20" w:line="240" w:lineRule="auto"/>
              <w:ind w:left="447"/>
              <w:rPr>
                <w:rFonts w:eastAsia="Arial" w:cs="Arial"/>
              </w:rPr>
            </w:pPr>
            <w:r w:rsidRPr="00155719">
              <w:rPr>
                <w:rFonts w:eastAsia="Arial" w:cs="Arial"/>
              </w:rPr>
              <w:t>Consult and collaborate to develop</w:t>
            </w:r>
            <w:r w:rsidR="00155719">
              <w:rPr>
                <w:rFonts w:eastAsia="Arial" w:cs="Arial"/>
              </w:rPr>
              <w:t xml:space="preserve"> and review</w:t>
            </w:r>
            <w:r w:rsidRPr="00155719">
              <w:rPr>
                <w:rFonts w:eastAsia="Arial" w:cs="Arial"/>
              </w:rPr>
              <w:t xml:space="preserve"> governance and compliance frameworks, policies, processes and advice</w:t>
            </w:r>
            <w:r w:rsidR="00155719" w:rsidRPr="00155719">
              <w:rPr>
                <w:rFonts w:eastAsia="Arial" w:cs="Arial"/>
              </w:rPr>
              <w:t xml:space="preserve">. </w:t>
            </w:r>
            <w:r w:rsidRPr="00155719">
              <w:rPr>
                <w:rFonts w:eastAsia="Arial" w:cs="Arial"/>
              </w:rPr>
              <w:t xml:space="preserve"> </w:t>
            </w:r>
          </w:p>
          <w:p w14:paraId="009B936E" w14:textId="5238D4CF" w:rsidR="001F3956" w:rsidRPr="00155719" w:rsidRDefault="001F3956" w:rsidP="00155719">
            <w:pPr>
              <w:pStyle w:val="TableText"/>
              <w:numPr>
                <w:ilvl w:val="0"/>
                <w:numId w:val="2"/>
              </w:numPr>
              <w:spacing w:before="20" w:after="20" w:line="240" w:lineRule="auto"/>
              <w:ind w:left="447"/>
              <w:rPr>
                <w:rFonts w:eastAsia="Arial" w:cs="Arial"/>
              </w:rPr>
            </w:pPr>
            <w:r w:rsidRPr="00155719">
              <w:rPr>
                <w:rFonts w:eastAsia="Arial" w:cs="Arial"/>
              </w:rPr>
              <w:t>Exchange knowledge and information, align approach</w:t>
            </w:r>
            <w:r w:rsidR="00155719" w:rsidRPr="00155719">
              <w:rPr>
                <w:rFonts w:eastAsia="Arial" w:cs="Arial"/>
              </w:rPr>
              <w:t xml:space="preserve"> and </w:t>
            </w:r>
            <w:r w:rsidR="00155719">
              <w:rPr>
                <w:rFonts w:eastAsia="Arial" w:cs="Arial"/>
              </w:rPr>
              <w:t>develop professional learning materials</w:t>
            </w:r>
          </w:p>
          <w:p w14:paraId="3A3295CD" w14:textId="642F66EC" w:rsidR="00F714D4" w:rsidRPr="00155719" w:rsidRDefault="001F3956" w:rsidP="00155719">
            <w:pPr>
              <w:pStyle w:val="ListParagraph"/>
              <w:numPr>
                <w:ilvl w:val="0"/>
                <w:numId w:val="2"/>
              </w:numPr>
              <w:ind w:left="447"/>
              <w:rPr>
                <w:rFonts w:eastAsia="Arial" w:cs="Arial"/>
              </w:rPr>
            </w:pPr>
            <w:r w:rsidRPr="00155719">
              <w:t>Develop and maintain effective relationships and open channels of communication to facilitate outcomes </w:t>
            </w:r>
          </w:p>
        </w:tc>
      </w:tr>
      <w:tr w:rsidR="39739DC6" w14:paraId="20DB8E64" w14:textId="77777777" w:rsidTr="1B510F3E">
        <w:tc>
          <w:tcPr>
            <w:tcW w:w="3601" w:type="dxa"/>
            <w:tcBorders>
              <w:top w:val="single" w:sz="8" w:space="0" w:color="auto"/>
              <w:bottom w:val="single" w:sz="8" w:space="0" w:color="BCBEC0"/>
            </w:tcBorders>
          </w:tcPr>
          <w:p w14:paraId="35B62689" w14:textId="77777777" w:rsidR="00F714D4" w:rsidRDefault="00F714D4" w:rsidP="0005321E">
            <w:pPr>
              <w:pStyle w:val="TableText"/>
              <w:spacing w:before="20" w:after="20" w:line="240" w:lineRule="auto"/>
              <w:rPr>
                <w:rFonts w:eastAsia="Calibri"/>
              </w:rPr>
            </w:pPr>
            <w:r>
              <w:rPr>
                <w:rFonts w:eastAsia="Calibri"/>
              </w:rPr>
              <w:t>EnergyCo business units</w:t>
            </w:r>
          </w:p>
          <w:p w14:paraId="5B24DD9B" w14:textId="0EBDC2E4" w:rsidR="39739DC6" w:rsidRPr="005163E0" w:rsidRDefault="39739DC6" w:rsidP="00F714D4">
            <w:pPr>
              <w:pStyle w:val="TableText"/>
              <w:spacing w:before="20" w:after="20" w:line="240" w:lineRule="auto"/>
              <w:rPr>
                <w:rFonts w:eastAsia="Calibri"/>
              </w:rPr>
            </w:pPr>
          </w:p>
        </w:tc>
        <w:tc>
          <w:tcPr>
            <w:tcW w:w="7256" w:type="dxa"/>
            <w:tcBorders>
              <w:top w:val="single" w:sz="8" w:space="0" w:color="auto"/>
              <w:bottom w:val="single" w:sz="8" w:space="0" w:color="BCBEC0"/>
            </w:tcBorders>
          </w:tcPr>
          <w:p w14:paraId="1387EE6D" w14:textId="56E131DC" w:rsidR="39739DC6" w:rsidRPr="005163E0" w:rsidRDefault="194FE276" w:rsidP="00BE50C9">
            <w:pPr>
              <w:pStyle w:val="TableText"/>
              <w:numPr>
                <w:ilvl w:val="0"/>
                <w:numId w:val="2"/>
              </w:numPr>
              <w:spacing w:before="20" w:after="20" w:line="240" w:lineRule="auto"/>
              <w:ind w:left="447"/>
              <w:rPr>
                <w:rFonts w:eastAsia="Arial" w:cs="Arial"/>
                <w:color w:val="000000" w:themeColor="text1"/>
              </w:rPr>
            </w:pPr>
            <w:r w:rsidRPr="1B510F3E">
              <w:rPr>
                <w:rFonts w:eastAsia="Arial" w:cs="Arial"/>
                <w:color w:val="000000" w:themeColor="text1"/>
              </w:rPr>
              <w:t xml:space="preserve">Respond to requests for assistance and provide expert advice, guidance and support on the probity issues </w:t>
            </w:r>
          </w:p>
          <w:p w14:paraId="12B1B9E7" w14:textId="6C356484" w:rsidR="39739DC6" w:rsidRPr="00155719" w:rsidRDefault="194FE276" w:rsidP="00155719">
            <w:pPr>
              <w:pStyle w:val="TableText"/>
              <w:numPr>
                <w:ilvl w:val="0"/>
                <w:numId w:val="2"/>
              </w:numPr>
              <w:spacing w:before="20" w:after="20" w:line="240" w:lineRule="auto"/>
              <w:ind w:left="447"/>
              <w:rPr>
                <w:rFonts w:eastAsia="Arial" w:cs="Arial"/>
                <w:color w:val="000000" w:themeColor="text1"/>
              </w:rPr>
            </w:pPr>
            <w:r w:rsidRPr="00155719">
              <w:t xml:space="preserve">Manage the flow of information, seek clarification, and provide </w:t>
            </w:r>
            <w:r w:rsidR="00155719" w:rsidRPr="00155719">
              <w:t>regular u</w:t>
            </w:r>
            <w:r w:rsidRPr="00155719">
              <w:t>pdates and information to/from business units  </w:t>
            </w:r>
          </w:p>
          <w:p w14:paraId="1C261F0C" w14:textId="047FF5E3" w:rsidR="00155719" w:rsidRPr="00155719" w:rsidRDefault="00155719" w:rsidP="00155719">
            <w:pPr>
              <w:pStyle w:val="TableText"/>
              <w:numPr>
                <w:ilvl w:val="0"/>
                <w:numId w:val="2"/>
              </w:numPr>
              <w:spacing w:before="20" w:after="20" w:line="240" w:lineRule="auto"/>
              <w:ind w:left="447"/>
              <w:rPr>
                <w:rFonts w:eastAsia="Arial" w:cs="Arial"/>
                <w:color w:val="000000" w:themeColor="text1"/>
              </w:rPr>
            </w:pPr>
            <w:r>
              <w:rPr>
                <w:rFonts w:eastAsia="Arial" w:cs="Arial"/>
                <w:color w:val="000000" w:themeColor="text1"/>
              </w:rPr>
              <w:t>Deliver professional learning programs</w:t>
            </w:r>
          </w:p>
          <w:p w14:paraId="269A1DE3" w14:textId="5B45B463" w:rsidR="39739DC6" w:rsidRPr="005163E0" w:rsidRDefault="194FE276" w:rsidP="00155719">
            <w:pPr>
              <w:pStyle w:val="TableText"/>
              <w:numPr>
                <w:ilvl w:val="0"/>
                <w:numId w:val="2"/>
              </w:numPr>
              <w:spacing w:before="20" w:after="20" w:line="240" w:lineRule="auto"/>
              <w:ind w:left="447"/>
              <w:rPr>
                <w:rFonts w:eastAsia="Arial" w:cs="Arial"/>
                <w:color w:val="000000" w:themeColor="text1"/>
              </w:rPr>
            </w:pPr>
            <w:r w:rsidRPr="00155719">
              <w:t>Develop and maintain effective relationships and open channels of communication to facilitate outcomes </w:t>
            </w:r>
          </w:p>
          <w:p w14:paraId="03A48929" w14:textId="073CBB31" w:rsidR="39739DC6" w:rsidRPr="005163E0" w:rsidRDefault="194FE276" w:rsidP="00155719">
            <w:pPr>
              <w:pStyle w:val="TableText"/>
              <w:numPr>
                <w:ilvl w:val="0"/>
                <w:numId w:val="2"/>
              </w:numPr>
              <w:spacing w:before="20" w:after="20" w:line="240" w:lineRule="auto"/>
              <w:ind w:left="447"/>
              <w:rPr>
                <w:rFonts w:eastAsia="Arial" w:cs="Arial"/>
                <w:color w:val="000000" w:themeColor="text1"/>
              </w:rPr>
            </w:pPr>
            <w:r w:rsidRPr="1B510F3E">
              <w:rPr>
                <w:rFonts w:eastAsia="Arial" w:cs="Arial"/>
                <w:color w:val="000000" w:themeColor="text1"/>
              </w:rPr>
              <w:t>Provide and receive updates and information to/from business units</w:t>
            </w:r>
          </w:p>
        </w:tc>
      </w:tr>
      <w:tr w:rsidR="003927AE" w:rsidRPr="00A8245E" w14:paraId="7D76C1DB" w14:textId="77777777" w:rsidTr="1B510F3E">
        <w:tc>
          <w:tcPr>
            <w:tcW w:w="3601" w:type="dxa"/>
            <w:shd w:val="clear" w:color="auto" w:fill="BCBEC0"/>
          </w:tcPr>
          <w:p w14:paraId="7A465B23" w14:textId="77777777" w:rsidR="003927AE" w:rsidRPr="005163E0" w:rsidRDefault="003927AE" w:rsidP="0005321E">
            <w:pPr>
              <w:pStyle w:val="TableText"/>
              <w:keepNext/>
              <w:spacing w:before="20" w:after="20" w:line="240" w:lineRule="auto"/>
              <w:rPr>
                <w:b/>
              </w:rPr>
            </w:pPr>
            <w:r w:rsidRPr="005163E0">
              <w:rPr>
                <w:b/>
              </w:rPr>
              <w:lastRenderedPageBreak/>
              <w:t>External</w:t>
            </w:r>
          </w:p>
        </w:tc>
        <w:tc>
          <w:tcPr>
            <w:tcW w:w="7256" w:type="dxa"/>
            <w:shd w:val="clear" w:color="auto" w:fill="BCBEC0"/>
          </w:tcPr>
          <w:p w14:paraId="78234E10" w14:textId="77777777" w:rsidR="003927AE" w:rsidRPr="005163E0" w:rsidRDefault="003927AE" w:rsidP="00BE50C9">
            <w:pPr>
              <w:pStyle w:val="TableText"/>
              <w:keepNext/>
              <w:spacing w:before="20" w:after="20" w:line="240" w:lineRule="auto"/>
              <w:ind w:left="447"/>
              <w:rPr>
                <w:b/>
              </w:rPr>
            </w:pPr>
          </w:p>
        </w:tc>
      </w:tr>
      <w:tr w:rsidR="003927AE" w:rsidRPr="00C978B9" w14:paraId="2CFDC2D7" w14:textId="77777777" w:rsidTr="1B510F3E">
        <w:tc>
          <w:tcPr>
            <w:tcW w:w="3601" w:type="dxa"/>
            <w:tcBorders>
              <w:top w:val="single" w:sz="8" w:space="0" w:color="auto"/>
              <w:bottom w:val="single" w:sz="8" w:space="0" w:color="BCBEC0"/>
            </w:tcBorders>
          </w:tcPr>
          <w:p w14:paraId="7C8307DF" w14:textId="77777777" w:rsidR="00155719" w:rsidRDefault="003927AE" w:rsidP="0005321E">
            <w:pPr>
              <w:pStyle w:val="TableText"/>
              <w:spacing w:before="20" w:after="20" w:line="240" w:lineRule="auto"/>
            </w:pPr>
            <w:r w:rsidRPr="005163E0">
              <w:t xml:space="preserve">Stakeholders </w:t>
            </w:r>
          </w:p>
          <w:p w14:paraId="4FF7ED1D" w14:textId="178EC5C4" w:rsidR="003927AE" w:rsidRPr="005163E0" w:rsidRDefault="00155719" w:rsidP="0005321E">
            <w:pPr>
              <w:pStyle w:val="TableText"/>
              <w:spacing w:before="20" w:after="20" w:line="240" w:lineRule="auto"/>
              <w:rPr>
                <w:rFonts w:eastAsia="Calibri"/>
                <w:lang w:val="en-US"/>
              </w:rPr>
            </w:pPr>
            <w:r>
              <w:t>(</w:t>
            </w:r>
            <w:r w:rsidR="003927AE" w:rsidRPr="005163E0">
              <w:t xml:space="preserve">including </w:t>
            </w:r>
            <w:r w:rsidR="5A2131B6" w:rsidRPr="005163E0">
              <w:rPr>
                <w:rFonts w:eastAsia="Arial" w:cs="Arial"/>
                <w:lang w:val="en-US"/>
              </w:rPr>
              <w:t>ICAC, the Ombudsman</w:t>
            </w:r>
            <w:r w:rsidR="00F714D4">
              <w:rPr>
                <w:rFonts w:eastAsia="Arial" w:cs="Arial"/>
                <w:lang w:val="en-US"/>
              </w:rPr>
              <w:t>, Energy and Water Ombudsman NSW</w:t>
            </w:r>
            <w:r w:rsidR="5A2131B6" w:rsidRPr="005163E0">
              <w:rPr>
                <w:rFonts w:eastAsia="Arial" w:cs="Arial"/>
                <w:lang w:val="en-US"/>
              </w:rPr>
              <w:t xml:space="preserve"> and NSW Audit Office</w:t>
            </w:r>
            <w:r>
              <w:rPr>
                <w:rFonts w:eastAsia="Arial" w:cs="Arial"/>
                <w:lang w:val="en-US"/>
              </w:rPr>
              <w:t>)</w:t>
            </w:r>
          </w:p>
        </w:tc>
        <w:tc>
          <w:tcPr>
            <w:tcW w:w="7256" w:type="dxa"/>
            <w:tcBorders>
              <w:top w:val="single" w:sz="8" w:space="0" w:color="auto"/>
              <w:bottom w:val="single" w:sz="8" w:space="0" w:color="BCBEC0"/>
            </w:tcBorders>
          </w:tcPr>
          <w:p w14:paraId="35511B8C" w14:textId="77777777" w:rsidR="005163E0" w:rsidRPr="005163E0" w:rsidRDefault="5A2131B6" w:rsidP="00BE50C9">
            <w:pPr>
              <w:pStyle w:val="TableText"/>
              <w:numPr>
                <w:ilvl w:val="0"/>
                <w:numId w:val="2"/>
              </w:numPr>
              <w:spacing w:before="20" w:after="20" w:line="240" w:lineRule="auto"/>
              <w:ind w:left="447"/>
              <w:rPr>
                <w:rFonts w:eastAsia="Arial" w:cs="Arial"/>
              </w:rPr>
            </w:pPr>
            <w:r w:rsidRPr="005163E0">
              <w:rPr>
                <w:rFonts w:eastAsia="Arial" w:cs="Arial"/>
                <w:lang w:val="en-US"/>
              </w:rPr>
              <w:t xml:space="preserve">Establish and maintain strong relationships </w:t>
            </w:r>
          </w:p>
          <w:p w14:paraId="01A3EF12" w14:textId="77777777" w:rsidR="003927AE" w:rsidRPr="005163E0" w:rsidRDefault="39339AE8" w:rsidP="00BE50C9">
            <w:pPr>
              <w:pStyle w:val="TableText"/>
              <w:numPr>
                <w:ilvl w:val="0"/>
                <w:numId w:val="2"/>
              </w:numPr>
              <w:spacing w:before="20" w:after="20" w:line="240" w:lineRule="auto"/>
              <w:ind w:left="447"/>
              <w:rPr>
                <w:rFonts w:eastAsia="Arial" w:cs="Arial"/>
              </w:rPr>
            </w:pPr>
            <w:r w:rsidRPr="005163E0">
              <w:t>Respond to requests for information in timely and accurate manner</w:t>
            </w:r>
          </w:p>
          <w:p w14:paraId="2337C142" w14:textId="4995ACCF" w:rsidR="005163E0" w:rsidRPr="005163E0" w:rsidRDefault="005163E0" w:rsidP="00BE50C9">
            <w:pPr>
              <w:pStyle w:val="TableText"/>
              <w:numPr>
                <w:ilvl w:val="0"/>
                <w:numId w:val="2"/>
              </w:numPr>
              <w:spacing w:before="20" w:after="20" w:line="240" w:lineRule="auto"/>
              <w:ind w:left="447"/>
              <w:rPr>
                <w:rFonts w:eastAsia="Arial" w:cs="Arial"/>
              </w:rPr>
            </w:pPr>
            <w:r w:rsidRPr="005163E0">
              <w:rPr>
                <w:rFonts w:eastAsia="Arial" w:cs="Arial"/>
              </w:rPr>
              <w:t>Participate in forums and share information</w:t>
            </w:r>
          </w:p>
        </w:tc>
      </w:tr>
    </w:tbl>
    <w:p w14:paraId="129C4AF6" w14:textId="5420D6E5" w:rsidR="003927AE" w:rsidRDefault="39339AE8" w:rsidP="005163E0">
      <w:pPr>
        <w:pStyle w:val="Heading1"/>
        <w:spacing w:before="200"/>
        <w:rPr>
          <w:sz w:val="28"/>
          <w:szCs w:val="28"/>
        </w:rPr>
      </w:pPr>
      <w:r w:rsidRPr="09DB0221">
        <w:t>Role dimensions</w:t>
      </w:r>
    </w:p>
    <w:p w14:paraId="10F488CD" w14:textId="77777777" w:rsidR="003927AE" w:rsidRPr="00614552" w:rsidRDefault="39339AE8" w:rsidP="09DB0221">
      <w:pPr>
        <w:pStyle w:val="Heading2"/>
        <w:rPr>
          <w:color w:val="auto"/>
        </w:rPr>
      </w:pPr>
      <w:r w:rsidRPr="09DB0221">
        <w:rPr>
          <w:color w:val="auto"/>
        </w:rPr>
        <w:t>Decision making</w:t>
      </w:r>
    </w:p>
    <w:p w14:paraId="1030D440" w14:textId="7467B7E1" w:rsidR="00A6539E" w:rsidRPr="006A17AD" w:rsidRDefault="39339AE8" w:rsidP="09DB0221">
      <w:r w:rsidRPr="46BD55F6">
        <w:t>The role</w:t>
      </w:r>
      <w:r w:rsidR="33D00B85" w:rsidRPr="46BD55F6">
        <w:t>:</w:t>
      </w:r>
    </w:p>
    <w:p w14:paraId="10517460" w14:textId="69AC6701" w:rsidR="09DB0221" w:rsidRDefault="09DB0221" w:rsidP="00BF452D">
      <w:pPr>
        <w:pStyle w:val="ListParagraph"/>
        <w:numPr>
          <w:ilvl w:val="0"/>
          <w:numId w:val="4"/>
        </w:numPr>
        <w:rPr>
          <w:rFonts w:eastAsia="Arial" w:cs="Arial"/>
          <w:color w:val="000000" w:themeColor="text1"/>
        </w:rPr>
      </w:pPr>
      <w:r w:rsidRPr="46BD55F6">
        <w:t>operates with some level of autonomy in the context of the agreed work plan and determines day to day work priorities including manages multiple tasks and demands including matters with critical turnaround times</w:t>
      </w:r>
    </w:p>
    <w:p w14:paraId="0A5C7DCD" w14:textId="09B57D16" w:rsidR="09DB0221" w:rsidRDefault="005163E0" w:rsidP="00BF452D">
      <w:pPr>
        <w:pStyle w:val="ListParagraph"/>
        <w:numPr>
          <w:ilvl w:val="0"/>
          <w:numId w:val="4"/>
        </w:numPr>
        <w:rPr>
          <w:rFonts w:eastAsia="Arial" w:cs="Arial"/>
          <w:color w:val="000000" w:themeColor="text1"/>
        </w:rPr>
      </w:pPr>
      <w:r>
        <w:t>i</w:t>
      </w:r>
      <w:r w:rsidR="09DB0221" w:rsidRPr="46BD55F6">
        <w:t>s accountable for the high quality, integrity and accuracy of content of advice provided.</w:t>
      </w:r>
    </w:p>
    <w:p w14:paraId="0782680D" w14:textId="128C624A" w:rsidR="09DB0221" w:rsidRDefault="09DB0221" w:rsidP="00BF452D">
      <w:pPr>
        <w:pStyle w:val="ListParagraph"/>
        <w:numPr>
          <w:ilvl w:val="0"/>
          <w:numId w:val="4"/>
        </w:numPr>
        <w:rPr>
          <w:rFonts w:eastAsia="Arial" w:cs="Arial"/>
          <w:color w:val="000000" w:themeColor="text1"/>
        </w:rPr>
      </w:pPr>
      <w:r w:rsidRPr="46BD55F6">
        <w:rPr>
          <w:rFonts w:eastAsia="Arial" w:cs="Arial"/>
        </w:rPr>
        <w:t>is responsible for identifying best practice standards to improve transparent ethical decisions and enhance existing corruption prevention measures</w:t>
      </w:r>
      <w:r w:rsidR="005163E0">
        <w:rPr>
          <w:rFonts w:eastAsia="Arial" w:cs="Arial"/>
        </w:rPr>
        <w:t>.</w:t>
      </w:r>
    </w:p>
    <w:p w14:paraId="3E5EAAEC" w14:textId="77777777" w:rsidR="003927AE" w:rsidRPr="00614552" w:rsidRDefault="003927AE" w:rsidP="0005321E">
      <w:pPr>
        <w:pStyle w:val="Heading2"/>
        <w:spacing w:before="200" w:line="276" w:lineRule="auto"/>
      </w:pPr>
      <w:r w:rsidRPr="00614552">
        <w:t>Reporting line</w:t>
      </w:r>
    </w:p>
    <w:p w14:paraId="428B8A30" w14:textId="77777777" w:rsidR="00155719" w:rsidRDefault="00155719" w:rsidP="0005321E">
      <w:pPr>
        <w:spacing w:before="200" w:after="120"/>
      </w:pPr>
      <w:r>
        <w:t xml:space="preserve">Senior Manager, Governance and Compliance </w:t>
      </w:r>
    </w:p>
    <w:p w14:paraId="50CFFFA4" w14:textId="74B8685F" w:rsidR="003927AE" w:rsidRPr="00603D53" w:rsidRDefault="00155719" w:rsidP="0005321E">
      <w:pPr>
        <w:spacing w:before="200" w:after="120"/>
        <w:rPr>
          <w:rFonts w:cs="Arial"/>
        </w:rPr>
      </w:pPr>
      <w:r>
        <w:t>(The role may report to another manager nominated by the Director Governance, Risk and Compliance.)</w:t>
      </w:r>
    </w:p>
    <w:p w14:paraId="568F2399" w14:textId="77777777" w:rsidR="003927AE" w:rsidRPr="00614552" w:rsidRDefault="003927AE" w:rsidP="0005321E">
      <w:pPr>
        <w:pStyle w:val="Heading2"/>
        <w:spacing w:before="200" w:line="276" w:lineRule="auto"/>
      </w:pPr>
      <w:r w:rsidRPr="00614552">
        <w:t>Direct reports</w:t>
      </w:r>
    </w:p>
    <w:p w14:paraId="28884A70" w14:textId="4540B37F" w:rsidR="003A21A9" w:rsidRPr="00603D53" w:rsidRDefault="00A738F0" w:rsidP="0005321E">
      <w:pPr>
        <w:spacing w:before="200" w:after="120"/>
        <w:rPr>
          <w:rFonts w:cs="Arial"/>
          <w:szCs w:val="26"/>
        </w:rPr>
      </w:pPr>
      <w:r>
        <w:t>Nil</w:t>
      </w:r>
    </w:p>
    <w:p w14:paraId="088653E6" w14:textId="77777777" w:rsidR="003927AE" w:rsidRPr="00614552" w:rsidRDefault="003927AE" w:rsidP="0005321E">
      <w:pPr>
        <w:pStyle w:val="Heading2"/>
        <w:spacing w:before="200" w:line="276" w:lineRule="auto"/>
      </w:pPr>
      <w:r w:rsidRPr="00614552">
        <w:t>Budget/Expenditure</w:t>
      </w:r>
    </w:p>
    <w:p w14:paraId="244D599A" w14:textId="28982138" w:rsidR="003927AE" w:rsidRDefault="39339AE8" w:rsidP="0005321E">
      <w:pPr>
        <w:spacing w:before="200" w:after="120"/>
        <w:rPr>
          <w:rFonts w:cs="Arial"/>
        </w:rPr>
      </w:pPr>
      <w:r>
        <w:t xml:space="preserve">Nil </w:t>
      </w:r>
    </w:p>
    <w:p w14:paraId="46732184" w14:textId="1A6E5B49" w:rsidR="003927AE" w:rsidRDefault="39339AE8" w:rsidP="09DB0221">
      <w:pPr>
        <w:tabs>
          <w:tab w:val="left" w:pos="2925"/>
        </w:tabs>
        <w:rPr>
          <w:rStyle w:val="Heading1Char"/>
        </w:rPr>
      </w:pPr>
      <w:r w:rsidRPr="46BD55F6">
        <w:rPr>
          <w:rStyle w:val="Heading1Char"/>
        </w:rPr>
        <w:t>Essential Criteria</w:t>
      </w:r>
    </w:p>
    <w:p w14:paraId="6CD42EA2" w14:textId="3CA04F61" w:rsidR="09DB0221" w:rsidRDefault="28BE6789" w:rsidP="00BF452D">
      <w:pPr>
        <w:pStyle w:val="ListParagraph"/>
        <w:numPr>
          <w:ilvl w:val="0"/>
          <w:numId w:val="4"/>
        </w:numPr>
        <w:rPr>
          <w:rFonts w:eastAsia="Arial" w:cs="Arial"/>
          <w:color w:val="000000" w:themeColor="text1"/>
        </w:rPr>
      </w:pPr>
      <w:r w:rsidRPr="28BE6789">
        <w:rPr>
          <w:color w:val="000000" w:themeColor="text1"/>
        </w:rPr>
        <w:t>Relevant tertiary qualifications</w:t>
      </w:r>
      <w:r w:rsidRPr="28BE6789">
        <w:rPr>
          <w:rFonts w:eastAsia="Arial" w:cs="Arial"/>
        </w:rPr>
        <w:t xml:space="preserve"> and/or d</w:t>
      </w:r>
      <w:r w:rsidR="09DB0221" w:rsidRPr="28BE6789">
        <w:rPr>
          <w:rFonts w:eastAsia="Arial" w:cs="Arial"/>
        </w:rPr>
        <w:t xml:space="preserve">emonstrated </w:t>
      </w:r>
      <w:r w:rsidR="00155719">
        <w:rPr>
          <w:rFonts w:eastAsia="Arial" w:cs="Arial"/>
        </w:rPr>
        <w:t xml:space="preserve">professional </w:t>
      </w:r>
      <w:r w:rsidR="09DB0221" w:rsidRPr="28BE6789">
        <w:rPr>
          <w:rFonts w:eastAsia="Arial" w:cs="Arial"/>
        </w:rPr>
        <w:t>experience in</w:t>
      </w:r>
      <w:r w:rsidR="00155719">
        <w:rPr>
          <w:rFonts w:eastAsia="Arial" w:cs="Arial"/>
        </w:rPr>
        <w:t xml:space="preserve"> corporate governance, compliance, audit, </w:t>
      </w:r>
      <w:r w:rsidR="09DB0221" w:rsidRPr="28BE6789">
        <w:rPr>
          <w:rFonts w:eastAsia="Arial" w:cs="Arial"/>
        </w:rPr>
        <w:t>risk management or another field relevant to the role.</w:t>
      </w:r>
    </w:p>
    <w:p w14:paraId="2C836492" w14:textId="4A240D12" w:rsidR="005163E0" w:rsidRPr="009B4ECB" w:rsidRDefault="005163E0" w:rsidP="005163E0">
      <w:pPr>
        <w:tabs>
          <w:tab w:val="left" w:pos="2925"/>
        </w:tabs>
        <w:spacing w:before="200" w:after="120"/>
        <w:rPr>
          <w:rStyle w:val="Heading1Char"/>
        </w:rPr>
      </w:pPr>
      <w:bookmarkStart w:id="0" w:name="_Hlk36203683"/>
      <w:bookmarkStart w:id="1" w:name="_Hlk36565316"/>
      <w:bookmarkStart w:id="2" w:name="_Hlk36209343"/>
      <w:bookmarkStart w:id="3" w:name="_Hlk36710441"/>
      <w:r w:rsidRPr="009B4ECB">
        <w:rPr>
          <w:rStyle w:val="Heading1Char"/>
        </w:rPr>
        <w:t>Capabilities for the role</w:t>
      </w:r>
    </w:p>
    <w:p w14:paraId="47B60A9B" w14:textId="77777777" w:rsidR="005163E0" w:rsidRPr="00123E52" w:rsidRDefault="005163E0" w:rsidP="005163E0">
      <w:pPr>
        <w:spacing w:before="120"/>
      </w:pPr>
      <w:r w:rsidRPr="00123E52">
        <w:t xml:space="preserve">The </w:t>
      </w:r>
      <w:hyperlink r:id="rId11" w:history="1">
        <w:r w:rsidRPr="00123E52">
          <w:rPr>
            <w:rStyle w:val="Hyperlink"/>
            <w:sz w:val="22"/>
          </w:rPr>
          <w:t>NSW public sector capability framework</w:t>
        </w:r>
      </w:hyperlink>
      <w:r w:rsidRPr="00123E52">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DC1C6C8" w14:textId="77777777" w:rsidR="005163E0" w:rsidRPr="00123E52" w:rsidRDefault="005163E0" w:rsidP="005163E0">
      <w:pPr>
        <w:spacing w:before="120"/>
      </w:pPr>
      <w:r w:rsidRPr="00123E52">
        <w:t>The capabilities are separated into focus capabilities and complementary capabilities</w:t>
      </w:r>
    </w:p>
    <w:p w14:paraId="7DF3C4C3" w14:textId="77777777" w:rsidR="005163E0" w:rsidRPr="009B4ECB" w:rsidRDefault="005163E0" w:rsidP="005163E0">
      <w:pPr>
        <w:tabs>
          <w:tab w:val="left" w:pos="2925"/>
        </w:tabs>
        <w:spacing w:before="200" w:after="120"/>
        <w:rPr>
          <w:rStyle w:val="Heading1Char"/>
        </w:rPr>
      </w:pPr>
      <w:r w:rsidRPr="009B4ECB">
        <w:rPr>
          <w:rStyle w:val="Heading1Char"/>
        </w:rPr>
        <w:t>Focus capabilities</w:t>
      </w:r>
      <w:r w:rsidRPr="009B4ECB">
        <w:rPr>
          <w:rStyle w:val="Heading1Char"/>
        </w:rPr>
        <w:tab/>
      </w:r>
    </w:p>
    <w:p w14:paraId="0BD07271" w14:textId="77777777" w:rsidR="005163E0" w:rsidRPr="00123E52" w:rsidRDefault="005163E0" w:rsidP="005163E0">
      <w:pPr>
        <w:pStyle w:val="PlainText"/>
        <w:spacing w:before="120" w:after="200" w:line="276" w:lineRule="auto"/>
        <w:rPr>
          <w:rFonts w:ascii="Arial" w:eastAsiaTheme="minorEastAsia" w:hAnsi="Arial" w:cs="Arial"/>
          <w:szCs w:val="22"/>
          <w:lang w:val="en-US"/>
        </w:rPr>
      </w:pPr>
      <w:r w:rsidRPr="00123E52">
        <w:rPr>
          <w:rFonts w:ascii="Arial" w:eastAsiaTheme="minorEastAsia" w:hAnsi="Arial" w:cs="Arial"/>
          <w:i/>
          <w:szCs w:val="22"/>
          <w:lang w:val="en-US"/>
        </w:rPr>
        <w:t>Focus capabilities</w:t>
      </w:r>
      <w:r w:rsidRPr="00123E52">
        <w:rPr>
          <w:rFonts w:ascii="Arial" w:eastAsiaTheme="minorEastAsia" w:hAnsi="Arial" w:cs="Arial"/>
          <w:szCs w:val="22"/>
          <w:lang w:val="en-US"/>
        </w:rPr>
        <w:t xml:space="preserve"> are the capabilities considered the most important for effective performance of the role. These capabilities will be assessed at recruitment. </w:t>
      </w:r>
    </w:p>
    <w:p w14:paraId="7CE27710" w14:textId="42F5CF20" w:rsidR="0074615B" w:rsidRDefault="005163E0" w:rsidP="005163E0">
      <w:pPr>
        <w:pStyle w:val="PlainText"/>
        <w:spacing w:before="120" w:after="200" w:line="276" w:lineRule="auto"/>
        <w:rPr>
          <w:rFonts w:eastAsiaTheme="minorEastAsia"/>
          <w:szCs w:val="22"/>
          <w:lang w:val="en-US"/>
        </w:rPr>
      </w:pPr>
      <w:r w:rsidRPr="00123E52">
        <w:rPr>
          <w:rFonts w:ascii="Arial" w:eastAsiaTheme="minorEastAsia" w:hAnsi="Arial" w:cs="Arial"/>
          <w:szCs w:val="22"/>
          <w:lang w:val="en-US"/>
        </w:rPr>
        <w:lastRenderedPageBreak/>
        <w:t>The focus capabilities for this role are shown below with a brief explanation of what each capability covers and the indicators describing the types of behaviours expected at each level</w:t>
      </w:r>
      <w:r w:rsidRPr="004D15E4">
        <w:rPr>
          <w:rFonts w:eastAsiaTheme="minorEastAsia"/>
          <w:szCs w:val="22"/>
          <w:lang w:val="en-US"/>
        </w:rPr>
        <w:t>.</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74615B" w:rsidRPr="003C7A36" w14:paraId="2DCDE634" w14:textId="77777777" w:rsidTr="00BE50C9">
        <w:trPr>
          <w:cantSplit/>
          <w:tblHeader/>
        </w:trPr>
        <w:tc>
          <w:tcPr>
            <w:tcW w:w="1385" w:type="dxa"/>
            <w:shd w:val="clear" w:color="auto" w:fill="BFBFBF" w:themeFill="background1" w:themeFillShade="BF"/>
            <w:vAlign w:val="center"/>
          </w:tcPr>
          <w:p w14:paraId="16FE91F5" w14:textId="77777777" w:rsidR="0074615B" w:rsidRPr="003C7A36" w:rsidRDefault="0074615B" w:rsidP="00CE58FA">
            <w:pPr>
              <w:rPr>
                <w:sz w:val="20"/>
              </w:rPr>
            </w:pPr>
            <w:r w:rsidRPr="003C7A36">
              <w:rPr>
                <w:b/>
                <w:sz w:val="20"/>
              </w:rPr>
              <w:t>Capability group/sets</w:t>
            </w:r>
          </w:p>
        </w:tc>
        <w:tc>
          <w:tcPr>
            <w:tcW w:w="2726" w:type="dxa"/>
            <w:shd w:val="clear" w:color="auto" w:fill="BFBFBF" w:themeFill="background1" w:themeFillShade="BF"/>
          </w:tcPr>
          <w:p w14:paraId="3F322245" w14:textId="77777777" w:rsidR="0074615B" w:rsidRPr="003C7A36" w:rsidRDefault="0074615B" w:rsidP="00CE58FA">
            <w:pPr>
              <w:rPr>
                <w:sz w:val="20"/>
              </w:rPr>
            </w:pPr>
            <w:r w:rsidRPr="003C7A36">
              <w:rPr>
                <w:b/>
                <w:sz w:val="20"/>
              </w:rPr>
              <w:t>Capability name</w:t>
            </w:r>
          </w:p>
        </w:tc>
        <w:tc>
          <w:tcPr>
            <w:tcW w:w="4709" w:type="dxa"/>
            <w:shd w:val="clear" w:color="auto" w:fill="BFBFBF" w:themeFill="background1" w:themeFillShade="BF"/>
          </w:tcPr>
          <w:p w14:paraId="015988BD" w14:textId="77777777" w:rsidR="0074615B" w:rsidRPr="003C7A36" w:rsidRDefault="0074615B" w:rsidP="00CE58FA">
            <w:pPr>
              <w:rPr>
                <w:sz w:val="20"/>
              </w:rPr>
            </w:pPr>
            <w:r w:rsidRPr="003C7A36">
              <w:rPr>
                <w:b/>
                <w:sz w:val="20"/>
              </w:rPr>
              <w:t>Behavioural indicators</w:t>
            </w:r>
          </w:p>
        </w:tc>
        <w:tc>
          <w:tcPr>
            <w:tcW w:w="1668" w:type="dxa"/>
            <w:shd w:val="clear" w:color="auto" w:fill="BFBFBF" w:themeFill="background1" w:themeFillShade="BF"/>
          </w:tcPr>
          <w:p w14:paraId="62DF5BB4" w14:textId="0AD87BC4" w:rsidR="0074615B" w:rsidRPr="00372FE9" w:rsidRDefault="52896E56" w:rsidP="1B510F3E">
            <w:pPr>
              <w:rPr>
                <w:b/>
                <w:bCs/>
                <w:sz w:val="20"/>
                <w:szCs w:val="20"/>
              </w:rPr>
            </w:pPr>
            <w:r w:rsidRPr="1B510F3E">
              <w:rPr>
                <w:b/>
                <w:bCs/>
                <w:sz w:val="20"/>
                <w:szCs w:val="20"/>
              </w:rPr>
              <w:t>Level</w:t>
            </w:r>
          </w:p>
        </w:tc>
      </w:tr>
      <w:tr w:rsidR="0074615B" w:rsidRPr="003C7A36" w14:paraId="1FD9B81A" w14:textId="77777777" w:rsidTr="1B510F3E">
        <w:trPr>
          <w:cantSplit/>
        </w:trPr>
        <w:tc>
          <w:tcPr>
            <w:tcW w:w="1385" w:type="dxa"/>
          </w:tcPr>
          <w:p w14:paraId="4F0527B7" w14:textId="77777777" w:rsidR="0074615B" w:rsidRPr="003C7A36" w:rsidRDefault="0074615B" w:rsidP="00CE58FA">
            <w:pPr>
              <w:jc w:val="center"/>
              <w:rPr>
                <w:noProof/>
                <w:sz w:val="20"/>
                <w:lang w:eastAsia="en-AU"/>
              </w:rPr>
            </w:pPr>
            <w:r w:rsidRPr="00372FE9">
              <w:rPr>
                <w:noProof/>
                <w:sz w:val="20"/>
                <w:lang w:val="en-AU" w:eastAsia="en-AU"/>
              </w:rPr>
              <w:drawing>
                <wp:inline distT="0" distB="0" distL="0" distR="0" wp14:anchorId="30CE5CFA" wp14:editId="77D1A2A8">
                  <wp:extent cx="749300" cy="749300"/>
                  <wp:effectExtent l="0" t="0" r="0" b="0"/>
                  <wp:docPr id="8946"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3D1749F" w14:textId="77777777" w:rsidR="0074615B" w:rsidRDefault="0074615B" w:rsidP="0005321E">
            <w:pPr>
              <w:spacing w:before="40" w:after="40"/>
              <w:rPr>
                <w:rFonts w:cs="Arial"/>
                <w:color w:val="000000"/>
                <w:sz w:val="20"/>
              </w:rPr>
            </w:pPr>
            <w:r w:rsidRPr="003C7A36">
              <w:rPr>
                <w:rFonts w:cs="Arial"/>
                <w:b/>
                <w:bCs/>
                <w:color w:val="000000"/>
                <w:sz w:val="20"/>
              </w:rPr>
              <w:t>Act with Integrity</w:t>
            </w:r>
          </w:p>
          <w:p w14:paraId="6573A2C5" w14:textId="77777777" w:rsidR="0074615B" w:rsidRPr="00667FCB" w:rsidRDefault="0074615B" w:rsidP="0005321E">
            <w:pPr>
              <w:spacing w:before="40" w:after="40"/>
              <w:rPr>
                <w:rFonts w:cs="Arial"/>
                <w:color w:val="000000"/>
                <w:sz w:val="20"/>
              </w:rPr>
            </w:pPr>
            <w:r w:rsidRPr="003C7A36">
              <w:rPr>
                <w:rFonts w:cs="Arial"/>
                <w:color w:val="000000"/>
                <w:sz w:val="20"/>
              </w:rPr>
              <w:t>Be ethical and professional, and uphold and promote the public sector values</w:t>
            </w:r>
          </w:p>
        </w:tc>
        <w:tc>
          <w:tcPr>
            <w:tcW w:w="4709" w:type="dxa"/>
          </w:tcPr>
          <w:p w14:paraId="20384373" w14:textId="77777777" w:rsidR="0074615B" w:rsidRPr="003C7A36" w:rsidRDefault="72AF79B4" w:rsidP="0005321E">
            <w:pPr>
              <w:pStyle w:val="TableBullet"/>
              <w:spacing w:before="40" w:after="40" w:line="240" w:lineRule="auto"/>
            </w:pPr>
            <w:r>
              <w:t>Model the highest standards of ethical and professional behaviour and reinforce their use</w:t>
            </w:r>
          </w:p>
          <w:p w14:paraId="29804B20" w14:textId="77777777" w:rsidR="0074615B" w:rsidRPr="003C7A36" w:rsidRDefault="72AF79B4" w:rsidP="0005321E">
            <w:pPr>
              <w:pStyle w:val="TableBullet"/>
              <w:spacing w:before="40" w:after="40" w:line="240" w:lineRule="auto"/>
            </w:pPr>
            <w:r>
              <w:t>Represent the organisation in an honest, ethical and professional way and set an example for others to follow</w:t>
            </w:r>
          </w:p>
          <w:p w14:paraId="39CED4E1" w14:textId="77777777" w:rsidR="0074615B" w:rsidRPr="003C7A36" w:rsidRDefault="72AF79B4" w:rsidP="0005321E">
            <w:pPr>
              <w:pStyle w:val="TableBullet"/>
              <w:spacing w:before="40" w:after="40" w:line="240" w:lineRule="auto"/>
            </w:pPr>
            <w:r>
              <w:t>Promote a culture of integrity and professionalism within the organisation and in dealings external to government</w:t>
            </w:r>
          </w:p>
          <w:p w14:paraId="4EC995CD" w14:textId="77777777" w:rsidR="0074615B" w:rsidRPr="003C7A36" w:rsidRDefault="72AF79B4" w:rsidP="0005321E">
            <w:pPr>
              <w:pStyle w:val="TableBullet"/>
              <w:spacing w:before="40" w:after="40" w:line="240" w:lineRule="auto"/>
            </w:pPr>
            <w:r>
              <w:t>Monitor ethical practices, standards and systems and reinforce their use</w:t>
            </w:r>
          </w:p>
          <w:p w14:paraId="2684C00D" w14:textId="77777777" w:rsidR="0074615B" w:rsidRPr="003C7A36" w:rsidRDefault="72AF79B4" w:rsidP="0005321E">
            <w:pPr>
              <w:pStyle w:val="TableBullet"/>
              <w:spacing w:before="40" w:after="40" w:line="240" w:lineRule="auto"/>
            </w:pPr>
            <w:r>
              <w:t>Act promptly on reported breaches of legislation, policies and guidelines</w:t>
            </w:r>
          </w:p>
        </w:tc>
        <w:tc>
          <w:tcPr>
            <w:tcW w:w="1668" w:type="dxa"/>
          </w:tcPr>
          <w:p w14:paraId="4DC87FC0" w14:textId="77777777" w:rsidR="0074615B" w:rsidRPr="006F0836" w:rsidRDefault="0074615B" w:rsidP="0005321E">
            <w:pPr>
              <w:pStyle w:val="TableText"/>
              <w:spacing w:line="240" w:lineRule="auto"/>
            </w:pPr>
            <w:r w:rsidRPr="004C659E">
              <w:t>Advanced</w:t>
            </w:r>
          </w:p>
        </w:tc>
      </w:tr>
      <w:tr w:rsidR="0074615B" w:rsidRPr="003C7A36" w14:paraId="4A6B1599" w14:textId="77777777" w:rsidTr="1B510F3E">
        <w:trPr>
          <w:cantSplit/>
        </w:trPr>
        <w:tc>
          <w:tcPr>
            <w:tcW w:w="1385" w:type="dxa"/>
          </w:tcPr>
          <w:p w14:paraId="7E787EA1" w14:textId="77777777" w:rsidR="0074615B" w:rsidRPr="003C7A36" w:rsidRDefault="0074615B" w:rsidP="00CE58FA">
            <w:pPr>
              <w:jc w:val="center"/>
              <w:rPr>
                <w:noProof/>
                <w:sz w:val="20"/>
                <w:lang w:eastAsia="en-AU"/>
              </w:rPr>
            </w:pPr>
            <w:r w:rsidRPr="00372FE9">
              <w:rPr>
                <w:noProof/>
                <w:sz w:val="20"/>
                <w:lang w:val="en-AU" w:eastAsia="en-AU"/>
              </w:rPr>
              <w:drawing>
                <wp:inline distT="0" distB="0" distL="0" distR="0" wp14:anchorId="4059FDF1" wp14:editId="576FEA94">
                  <wp:extent cx="749300" cy="749300"/>
                  <wp:effectExtent l="0" t="0" r="0" b="0"/>
                  <wp:docPr id="7311"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F9EE7BD" w14:textId="77777777" w:rsidR="0074615B" w:rsidRDefault="0074615B" w:rsidP="0005321E">
            <w:pPr>
              <w:spacing w:before="40" w:after="40"/>
              <w:rPr>
                <w:rFonts w:cs="Arial"/>
                <w:color w:val="000000"/>
                <w:sz w:val="20"/>
              </w:rPr>
            </w:pPr>
            <w:r w:rsidRPr="003C7A36">
              <w:rPr>
                <w:rFonts w:cs="Arial"/>
                <w:b/>
                <w:bCs/>
                <w:color w:val="000000"/>
                <w:sz w:val="20"/>
              </w:rPr>
              <w:t>Communicate Effectively</w:t>
            </w:r>
          </w:p>
          <w:p w14:paraId="3E2D243D" w14:textId="77777777" w:rsidR="0074615B" w:rsidRPr="00667FCB" w:rsidRDefault="0074615B" w:rsidP="0005321E">
            <w:pPr>
              <w:spacing w:before="40" w:after="40"/>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57A23261" w14:textId="77777777" w:rsidR="00905A9B" w:rsidRPr="00905A9B" w:rsidRDefault="00BE50C9" w:rsidP="005F0BB2">
            <w:pPr>
              <w:pStyle w:val="TableBullet"/>
              <w:spacing w:before="40" w:after="40" w:line="240" w:lineRule="auto"/>
              <w:rPr>
                <w:rFonts w:eastAsia="Calibri"/>
              </w:rPr>
            </w:pPr>
            <w:r w:rsidRPr="00BE50C9">
              <w:rPr>
                <w:rFonts w:eastAsia="Calibri"/>
                <w:lang w:val="en-US"/>
              </w:rPr>
              <w:t xml:space="preserve">Tailor communication to diverse audiences </w:t>
            </w:r>
          </w:p>
          <w:p w14:paraId="7AA38465" w14:textId="4E6D7159" w:rsidR="00BE50C9" w:rsidRPr="00BE50C9" w:rsidRDefault="00BE50C9" w:rsidP="005F0BB2">
            <w:pPr>
              <w:pStyle w:val="TableBullet"/>
              <w:spacing w:before="40" w:after="40" w:line="240" w:lineRule="auto"/>
              <w:rPr>
                <w:rFonts w:eastAsia="Calibri"/>
              </w:rPr>
            </w:pPr>
            <w:r w:rsidRPr="00BE50C9">
              <w:rPr>
                <w:rFonts w:eastAsia="Calibri"/>
                <w:lang w:val="en-US"/>
              </w:rPr>
              <w:t xml:space="preserve">Clearly explain complex concepts and arguments to individuals and groups </w:t>
            </w:r>
          </w:p>
          <w:p w14:paraId="1E86D552" w14:textId="77777777" w:rsidR="00BE50C9" w:rsidRPr="00BE50C9" w:rsidRDefault="00BE50C9" w:rsidP="005F0BB2">
            <w:pPr>
              <w:pStyle w:val="TableBullet"/>
              <w:spacing w:before="40" w:after="40" w:line="240" w:lineRule="auto"/>
              <w:rPr>
                <w:rFonts w:eastAsia="Calibri"/>
              </w:rPr>
            </w:pPr>
            <w:r w:rsidRPr="00BE50C9">
              <w:rPr>
                <w:rFonts w:eastAsia="Calibri"/>
                <w:lang w:val="en-US"/>
              </w:rPr>
              <w:t xml:space="preserve">Create opportunities for others to be heard, listen attentively and encourage them to express their views </w:t>
            </w:r>
          </w:p>
          <w:p w14:paraId="181919E5" w14:textId="77777777" w:rsidR="00BE50C9" w:rsidRPr="00BE50C9" w:rsidRDefault="00BE50C9" w:rsidP="005F0BB2">
            <w:pPr>
              <w:pStyle w:val="TableBullet"/>
              <w:spacing w:before="40" w:after="40" w:line="240" w:lineRule="auto"/>
              <w:rPr>
                <w:rFonts w:eastAsia="Calibri"/>
              </w:rPr>
            </w:pPr>
            <w:r w:rsidRPr="00BE50C9">
              <w:rPr>
                <w:rFonts w:eastAsia="Calibri"/>
                <w:lang w:val="en-US"/>
              </w:rPr>
              <w:t xml:space="preserve">Share information across teams and units to enable informed decision making </w:t>
            </w:r>
          </w:p>
          <w:p w14:paraId="0FBD49A4" w14:textId="77777777" w:rsidR="00BE50C9" w:rsidRPr="00BE50C9" w:rsidRDefault="00BE50C9" w:rsidP="005F0BB2">
            <w:pPr>
              <w:pStyle w:val="TableBullet"/>
              <w:spacing w:before="40" w:after="40" w:line="240" w:lineRule="auto"/>
              <w:rPr>
                <w:rFonts w:eastAsia="Calibri"/>
              </w:rPr>
            </w:pPr>
            <w:r w:rsidRPr="00BE50C9">
              <w:rPr>
                <w:rFonts w:eastAsia="Calibri"/>
                <w:lang w:val="en-US"/>
              </w:rPr>
              <w:t xml:space="preserve">Write fluently in plain English and in a range of styles and formats </w:t>
            </w:r>
          </w:p>
          <w:p w14:paraId="387AD27B" w14:textId="16031806" w:rsidR="0074615B" w:rsidRPr="003C7A36" w:rsidRDefault="00BE50C9" w:rsidP="005F0BB2">
            <w:pPr>
              <w:pStyle w:val="TableBullet"/>
              <w:spacing w:before="40" w:after="40" w:line="240" w:lineRule="auto"/>
              <w:rPr>
                <w:rFonts w:eastAsia="Calibri"/>
              </w:rPr>
            </w:pPr>
            <w:r w:rsidRPr="00BE50C9">
              <w:rPr>
                <w:rFonts w:eastAsia="Calibri"/>
                <w:lang w:val="en-US"/>
              </w:rPr>
              <w:t>Use contemporary communication channels to share information, engage and interact with diverse audiences</w:t>
            </w:r>
          </w:p>
        </w:tc>
        <w:tc>
          <w:tcPr>
            <w:tcW w:w="1668" w:type="dxa"/>
          </w:tcPr>
          <w:p w14:paraId="5AE97CF1" w14:textId="0D2A2F7C" w:rsidR="0074615B" w:rsidRPr="006F0836" w:rsidRDefault="00BE50C9" w:rsidP="1B510F3E">
            <w:pPr>
              <w:pStyle w:val="TableText"/>
              <w:spacing w:line="240" w:lineRule="auto"/>
            </w:pPr>
            <w:r>
              <w:t>Adept</w:t>
            </w:r>
          </w:p>
        </w:tc>
      </w:tr>
      <w:tr w:rsidR="0074615B" w:rsidRPr="003C7A36" w14:paraId="19D9DD86" w14:textId="77777777" w:rsidTr="1B510F3E">
        <w:trPr>
          <w:cantSplit/>
        </w:trPr>
        <w:tc>
          <w:tcPr>
            <w:tcW w:w="1385" w:type="dxa"/>
          </w:tcPr>
          <w:p w14:paraId="09286594" w14:textId="77777777" w:rsidR="0074615B" w:rsidRPr="003C7A36" w:rsidRDefault="0074615B" w:rsidP="00CE58FA">
            <w:pPr>
              <w:jc w:val="center"/>
              <w:rPr>
                <w:noProof/>
                <w:sz w:val="20"/>
                <w:lang w:eastAsia="en-AU"/>
              </w:rPr>
            </w:pPr>
            <w:r w:rsidRPr="00372FE9">
              <w:rPr>
                <w:noProof/>
                <w:sz w:val="20"/>
                <w:lang w:val="en-AU" w:eastAsia="en-AU"/>
              </w:rPr>
              <w:drawing>
                <wp:inline distT="0" distB="0" distL="0" distR="0" wp14:anchorId="7B871C69" wp14:editId="0959D086">
                  <wp:extent cx="749300" cy="749300"/>
                  <wp:effectExtent l="0" t="0" r="0" b="0"/>
                  <wp:docPr id="906"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DCD8DD1" w14:textId="77777777" w:rsidR="0074615B" w:rsidRDefault="0074615B" w:rsidP="0005321E">
            <w:pPr>
              <w:spacing w:before="40" w:after="40"/>
              <w:rPr>
                <w:rFonts w:cs="Arial"/>
                <w:color w:val="000000"/>
                <w:sz w:val="20"/>
                <w:szCs w:val="20"/>
              </w:rPr>
            </w:pPr>
            <w:r w:rsidRPr="2EE15CC8">
              <w:rPr>
                <w:rFonts w:cs="Arial"/>
                <w:b/>
                <w:bCs/>
                <w:color w:val="000000" w:themeColor="text1"/>
                <w:sz w:val="20"/>
                <w:szCs w:val="20"/>
              </w:rPr>
              <w:t>Work Collaboratively</w:t>
            </w:r>
          </w:p>
          <w:p w14:paraId="01C68DD4" w14:textId="77777777" w:rsidR="0074615B" w:rsidRPr="00667FCB" w:rsidRDefault="0074615B" w:rsidP="0005321E">
            <w:pPr>
              <w:spacing w:before="40" w:after="40"/>
              <w:rPr>
                <w:rFonts w:cs="Arial"/>
                <w:color w:val="000000"/>
                <w:sz w:val="20"/>
                <w:szCs w:val="20"/>
              </w:rPr>
            </w:pPr>
            <w:r w:rsidRPr="2EE15CC8">
              <w:rPr>
                <w:rFonts w:cs="Arial"/>
                <w:color w:val="000000" w:themeColor="text1"/>
                <w:sz w:val="20"/>
                <w:szCs w:val="20"/>
              </w:rPr>
              <w:t>Collaborate with others and value their contribution</w:t>
            </w:r>
          </w:p>
        </w:tc>
        <w:tc>
          <w:tcPr>
            <w:tcW w:w="4709" w:type="dxa"/>
          </w:tcPr>
          <w:p w14:paraId="5BA23F33" w14:textId="6010A8C9" w:rsidR="0074615B" w:rsidRPr="003C7A36" w:rsidRDefault="34FD8F4F" w:rsidP="0005321E">
            <w:pPr>
              <w:pStyle w:val="TableBullet"/>
              <w:spacing w:before="40" w:after="40" w:line="240" w:lineRule="auto"/>
              <w:rPr>
                <w:rFonts w:eastAsia="Arial" w:cs="Arial"/>
              </w:rPr>
            </w:pPr>
            <w:r w:rsidRPr="09DB0221">
              <w:t xml:space="preserve">Encourage a culture that recognises the value of collaboration </w:t>
            </w:r>
          </w:p>
          <w:p w14:paraId="058CC00C" w14:textId="3D412DD4" w:rsidR="0074615B" w:rsidRPr="003C7A36" w:rsidRDefault="34FD8F4F" w:rsidP="0005321E">
            <w:pPr>
              <w:pStyle w:val="TableBullet"/>
              <w:spacing w:before="40" w:after="40" w:line="240" w:lineRule="auto"/>
            </w:pPr>
            <w:r w:rsidRPr="09DB0221">
              <w:t xml:space="preserve">Build cooperation and overcome barriers to information sharing and communication across teams and units </w:t>
            </w:r>
          </w:p>
          <w:p w14:paraId="12F66E26" w14:textId="0780EC8E" w:rsidR="0074615B" w:rsidRPr="003C7A36" w:rsidRDefault="34FD8F4F" w:rsidP="0005321E">
            <w:pPr>
              <w:pStyle w:val="TableBullet"/>
              <w:spacing w:before="40" w:after="40" w:line="240" w:lineRule="auto"/>
            </w:pPr>
            <w:r w:rsidRPr="09DB0221">
              <w:t xml:space="preserve">Share lessons learned across teams and units </w:t>
            </w:r>
          </w:p>
          <w:p w14:paraId="3B985D3D" w14:textId="124FA1ED" w:rsidR="0074615B" w:rsidRPr="003C7A36" w:rsidRDefault="34FD8F4F" w:rsidP="0005321E">
            <w:pPr>
              <w:pStyle w:val="TableBullet"/>
              <w:spacing w:before="40" w:after="40" w:line="240" w:lineRule="auto"/>
            </w:pPr>
            <w:r w:rsidRPr="09DB0221">
              <w:t xml:space="preserve">Identify opportunities to leverage the strengths of others to solve issues and develop better processes and approaches to work </w:t>
            </w:r>
          </w:p>
          <w:p w14:paraId="35383AFE" w14:textId="58C1183F" w:rsidR="0074615B" w:rsidRPr="003C7A36" w:rsidRDefault="34FD8F4F" w:rsidP="0005321E">
            <w:pPr>
              <w:pStyle w:val="TableBullet"/>
              <w:spacing w:before="40" w:after="40" w:line="240" w:lineRule="auto"/>
            </w:pPr>
            <w:r w:rsidRPr="09DB0221">
              <w:t>Actively use collaboration tools, including digital technologies, to engage diverse audiences in solving problems and improving services</w:t>
            </w:r>
          </w:p>
        </w:tc>
        <w:tc>
          <w:tcPr>
            <w:tcW w:w="1668" w:type="dxa"/>
          </w:tcPr>
          <w:p w14:paraId="493BE556" w14:textId="63765A27" w:rsidR="0074615B" w:rsidRPr="006F0836" w:rsidRDefault="00905A9B" w:rsidP="1B510F3E">
            <w:pPr>
              <w:pStyle w:val="TableText"/>
              <w:spacing w:line="240" w:lineRule="auto"/>
            </w:pPr>
            <w:r>
              <w:t>Adept</w:t>
            </w:r>
          </w:p>
        </w:tc>
      </w:tr>
      <w:tr w:rsidR="0074615B" w:rsidRPr="003C7A36" w14:paraId="203D4D1C" w14:textId="77777777" w:rsidTr="1B510F3E">
        <w:trPr>
          <w:cantSplit/>
        </w:trPr>
        <w:tc>
          <w:tcPr>
            <w:tcW w:w="1385" w:type="dxa"/>
          </w:tcPr>
          <w:p w14:paraId="561429E1" w14:textId="77777777" w:rsidR="0074615B" w:rsidRPr="003C7A36" w:rsidRDefault="0074615B" w:rsidP="00CE58FA">
            <w:pPr>
              <w:jc w:val="center"/>
              <w:rPr>
                <w:noProof/>
                <w:sz w:val="20"/>
                <w:lang w:eastAsia="en-AU"/>
              </w:rPr>
            </w:pPr>
            <w:r w:rsidRPr="00372FE9">
              <w:rPr>
                <w:noProof/>
                <w:sz w:val="20"/>
                <w:lang w:val="en-AU" w:eastAsia="en-AU"/>
              </w:rPr>
              <w:lastRenderedPageBreak/>
              <w:drawing>
                <wp:inline distT="0" distB="0" distL="0" distR="0" wp14:anchorId="55A15934" wp14:editId="29E80665">
                  <wp:extent cx="749300" cy="749300"/>
                  <wp:effectExtent l="0" t="0" r="0" b="0"/>
                  <wp:docPr id="4490"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E979286" w14:textId="77777777" w:rsidR="0074615B" w:rsidRDefault="0074615B" w:rsidP="0005321E">
            <w:pPr>
              <w:spacing w:before="40" w:after="40"/>
              <w:rPr>
                <w:rFonts w:cs="Arial"/>
                <w:color w:val="000000"/>
                <w:sz w:val="20"/>
              </w:rPr>
            </w:pPr>
            <w:r w:rsidRPr="003C7A36">
              <w:rPr>
                <w:rFonts w:cs="Arial"/>
                <w:b/>
                <w:bCs/>
                <w:color w:val="000000"/>
                <w:sz w:val="20"/>
              </w:rPr>
              <w:t>Influence and Negotiate</w:t>
            </w:r>
          </w:p>
          <w:p w14:paraId="77DD0D32" w14:textId="77777777" w:rsidR="0074615B" w:rsidRPr="00667FCB" w:rsidRDefault="0074615B" w:rsidP="0005321E">
            <w:pPr>
              <w:spacing w:before="40" w:after="40"/>
              <w:rPr>
                <w:rFonts w:cs="Arial"/>
                <w:color w:val="000000"/>
                <w:sz w:val="20"/>
              </w:rPr>
            </w:pPr>
            <w:r w:rsidRPr="003C7A36">
              <w:rPr>
                <w:rFonts w:cs="Arial"/>
                <w:color w:val="000000"/>
                <w:sz w:val="20"/>
              </w:rPr>
              <w:t>Gain consensus and commitment from others, and resolve issues and conflicts</w:t>
            </w:r>
          </w:p>
        </w:tc>
        <w:tc>
          <w:tcPr>
            <w:tcW w:w="4709" w:type="dxa"/>
          </w:tcPr>
          <w:p w14:paraId="47090E16" w14:textId="778FC557" w:rsidR="0074615B" w:rsidRPr="003C7A36" w:rsidRDefault="34FD8F4F" w:rsidP="0005321E">
            <w:pPr>
              <w:pStyle w:val="TableBullet"/>
              <w:spacing w:before="40" w:after="40" w:line="240" w:lineRule="auto"/>
              <w:rPr>
                <w:rFonts w:eastAsia="Arial" w:cs="Arial"/>
              </w:rPr>
            </w:pPr>
            <w:r w:rsidRPr="09DB0221">
              <w:t>Negotiate from an informed and credible position</w:t>
            </w:r>
          </w:p>
          <w:p w14:paraId="466F1E73" w14:textId="43786428" w:rsidR="34FD8F4F" w:rsidRDefault="34FD8F4F" w:rsidP="0005321E">
            <w:pPr>
              <w:pStyle w:val="TableBullet"/>
              <w:spacing w:before="40" w:after="40" w:line="240" w:lineRule="auto"/>
            </w:pPr>
            <w:r w:rsidRPr="09DB0221">
              <w:t>Lead and facilitate productive discussions with staff and stakeholders</w:t>
            </w:r>
          </w:p>
          <w:p w14:paraId="72C78736" w14:textId="6A97B1B5" w:rsidR="34FD8F4F" w:rsidRDefault="34FD8F4F" w:rsidP="0005321E">
            <w:pPr>
              <w:pStyle w:val="TableBullet"/>
              <w:spacing w:before="40" w:after="40" w:line="240" w:lineRule="auto"/>
            </w:pPr>
            <w:r w:rsidRPr="09DB0221">
              <w:t>Encourage others to talk, share and debate ideas to achieve a consensus</w:t>
            </w:r>
          </w:p>
          <w:p w14:paraId="3C20BDBB" w14:textId="2002834A" w:rsidR="34FD8F4F" w:rsidRDefault="34FD8F4F" w:rsidP="0005321E">
            <w:pPr>
              <w:pStyle w:val="TableBullet"/>
              <w:spacing w:before="40" w:after="40" w:line="240" w:lineRule="auto"/>
            </w:pPr>
            <w:r w:rsidRPr="09DB0221">
              <w:t>Recognise diverse perspectives and the need for compromise in negotiating mutually agreed outcomes</w:t>
            </w:r>
          </w:p>
          <w:p w14:paraId="7ABD7CA2" w14:textId="062BA5A3" w:rsidR="34FD8F4F" w:rsidRDefault="34FD8F4F" w:rsidP="0005321E">
            <w:pPr>
              <w:pStyle w:val="TableBullet"/>
              <w:spacing w:before="40" w:after="40" w:line="240" w:lineRule="auto"/>
            </w:pPr>
            <w:r w:rsidRPr="09DB0221">
              <w:t>Influence others with a fair and considered approach and sound arguments</w:t>
            </w:r>
          </w:p>
          <w:p w14:paraId="02713F13" w14:textId="576F37F2" w:rsidR="34FD8F4F" w:rsidRDefault="34FD8F4F" w:rsidP="0005321E">
            <w:pPr>
              <w:pStyle w:val="TableBullet"/>
              <w:spacing w:before="40" w:after="40" w:line="240" w:lineRule="auto"/>
              <w:rPr>
                <w:rFonts w:eastAsia="Arial" w:cs="Arial"/>
              </w:rPr>
            </w:pPr>
            <w:r w:rsidRPr="09DB0221">
              <w:t>Show sensitivity and understanding in resolving conflicts and differences</w:t>
            </w:r>
          </w:p>
          <w:p w14:paraId="0A7513DC" w14:textId="383FD770" w:rsidR="34FD8F4F" w:rsidRDefault="34FD8F4F" w:rsidP="0005321E">
            <w:pPr>
              <w:pStyle w:val="TableBullet"/>
              <w:spacing w:before="40" w:after="40" w:line="240" w:lineRule="auto"/>
            </w:pPr>
            <w:r w:rsidRPr="09DB0221">
              <w:t>Manage challenging relationships with internal and external stakeholders</w:t>
            </w:r>
          </w:p>
          <w:p w14:paraId="0FEA688F" w14:textId="23006431" w:rsidR="34FD8F4F" w:rsidRDefault="34FD8F4F" w:rsidP="0005321E">
            <w:pPr>
              <w:pStyle w:val="TableBullet"/>
              <w:spacing w:before="40" w:after="40" w:line="240" w:lineRule="auto"/>
              <w:rPr>
                <w:lang w:val="en-US"/>
              </w:rPr>
            </w:pPr>
            <w:r w:rsidRPr="09DB0221">
              <w:rPr>
                <w:rFonts w:eastAsia="Arial" w:cs="Arial"/>
                <w:lang w:val="en-US"/>
              </w:rPr>
              <w:t>Anticipate and minimise conflic</w:t>
            </w:r>
            <w:r w:rsidRPr="09DB0221">
              <w:rPr>
                <w:rFonts w:eastAsia="Arial" w:cs="Arial"/>
                <w:sz w:val="22"/>
                <w:szCs w:val="22"/>
                <w:lang w:val="en-US"/>
              </w:rPr>
              <w:t>t</w:t>
            </w:r>
          </w:p>
          <w:p w14:paraId="6528215E" w14:textId="30356D63" w:rsidR="0074615B" w:rsidRPr="003C7A36" w:rsidRDefault="0074615B" w:rsidP="0005321E">
            <w:pPr>
              <w:pStyle w:val="ListParagraph"/>
              <w:spacing w:before="40" w:after="40"/>
              <w:rPr>
                <w:sz w:val="20"/>
                <w:szCs w:val="20"/>
                <w:lang w:val="en-AU"/>
              </w:rPr>
            </w:pPr>
          </w:p>
        </w:tc>
        <w:tc>
          <w:tcPr>
            <w:tcW w:w="1668" w:type="dxa"/>
          </w:tcPr>
          <w:p w14:paraId="4F94F30E" w14:textId="71DCF2FA" w:rsidR="0074615B" w:rsidRPr="006F0836" w:rsidRDefault="00155719" w:rsidP="1B510F3E">
            <w:pPr>
              <w:pStyle w:val="TableText"/>
              <w:spacing w:line="240" w:lineRule="auto"/>
            </w:pPr>
            <w:r>
              <w:t>Adept</w:t>
            </w:r>
          </w:p>
        </w:tc>
      </w:tr>
      <w:tr w:rsidR="0074615B" w:rsidRPr="003C7A36" w14:paraId="4B1C11FB" w14:textId="77777777" w:rsidTr="1B510F3E">
        <w:trPr>
          <w:cantSplit/>
        </w:trPr>
        <w:tc>
          <w:tcPr>
            <w:tcW w:w="1385" w:type="dxa"/>
          </w:tcPr>
          <w:p w14:paraId="6AC3E9A9" w14:textId="77777777" w:rsidR="0074615B" w:rsidRPr="003C7A36" w:rsidRDefault="0074615B" w:rsidP="00CE58FA">
            <w:pPr>
              <w:jc w:val="center"/>
              <w:rPr>
                <w:noProof/>
                <w:sz w:val="20"/>
                <w:lang w:eastAsia="en-AU"/>
              </w:rPr>
            </w:pPr>
            <w:r w:rsidRPr="00372FE9">
              <w:rPr>
                <w:noProof/>
                <w:sz w:val="20"/>
                <w:lang w:val="en-AU" w:eastAsia="en-AU"/>
              </w:rPr>
              <w:drawing>
                <wp:inline distT="0" distB="0" distL="0" distR="0" wp14:anchorId="454A16C0" wp14:editId="46579738">
                  <wp:extent cx="749300" cy="749300"/>
                  <wp:effectExtent l="0" t="0" r="0" b="0"/>
                  <wp:docPr id="2855"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8E7E4F6" w14:textId="77777777" w:rsidR="0074615B" w:rsidRDefault="0074615B" w:rsidP="0005321E">
            <w:pPr>
              <w:spacing w:before="40" w:after="40"/>
              <w:rPr>
                <w:rFonts w:cs="Arial"/>
                <w:color w:val="000000"/>
                <w:sz w:val="20"/>
              </w:rPr>
            </w:pPr>
            <w:r w:rsidRPr="003C7A36">
              <w:rPr>
                <w:rFonts w:cs="Arial"/>
                <w:b/>
                <w:bCs/>
                <w:color w:val="000000"/>
                <w:sz w:val="20"/>
              </w:rPr>
              <w:t>Think and Solve Problems</w:t>
            </w:r>
          </w:p>
          <w:p w14:paraId="7347B922" w14:textId="77777777" w:rsidR="0074615B" w:rsidRPr="00667FCB" w:rsidRDefault="0074615B" w:rsidP="0005321E">
            <w:pPr>
              <w:spacing w:before="40" w:after="40"/>
              <w:rPr>
                <w:rFonts w:cs="Arial"/>
                <w:color w:val="000000"/>
                <w:sz w:val="20"/>
              </w:rPr>
            </w:pPr>
            <w:r w:rsidRPr="003C7A36">
              <w:rPr>
                <w:rFonts w:cs="Arial"/>
                <w:color w:val="000000"/>
                <w:sz w:val="20"/>
              </w:rPr>
              <w:t>Think, analyse and consider the broader context to develop practical solutions</w:t>
            </w:r>
          </w:p>
        </w:tc>
        <w:tc>
          <w:tcPr>
            <w:tcW w:w="4709" w:type="dxa"/>
          </w:tcPr>
          <w:p w14:paraId="4B0CC769" w14:textId="27D8F766" w:rsidR="00BE50C9" w:rsidRPr="00BE50C9" w:rsidRDefault="00BE50C9" w:rsidP="00BE50C9">
            <w:pPr>
              <w:pStyle w:val="TableBullet"/>
              <w:spacing w:before="40" w:after="40" w:line="240" w:lineRule="auto"/>
            </w:pPr>
            <w:r w:rsidRPr="00BE50C9">
              <w:rPr>
                <w:lang w:val="en-US"/>
              </w:rPr>
              <w:t>Research and apply critical</w:t>
            </w:r>
            <w:r w:rsidR="00775A88">
              <w:rPr>
                <w:lang w:val="en-US"/>
              </w:rPr>
              <w:t xml:space="preserve"> </w:t>
            </w:r>
            <w:r w:rsidRPr="00BE50C9">
              <w:rPr>
                <w:lang w:val="en-US"/>
              </w:rPr>
              <w:t xml:space="preserve">thinking techniques in analysing information, identify interrelationships and make recommendations based on relevant evidence </w:t>
            </w:r>
          </w:p>
          <w:p w14:paraId="3B4BDACD" w14:textId="739C3792" w:rsidR="00BE50C9" w:rsidRPr="00BE50C9" w:rsidRDefault="00BE50C9" w:rsidP="00BE50C9">
            <w:pPr>
              <w:pStyle w:val="TableBullet"/>
              <w:spacing w:before="40" w:after="40" w:line="240" w:lineRule="auto"/>
            </w:pPr>
            <w:r w:rsidRPr="00BE50C9">
              <w:rPr>
                <w:lang w:val="en-US"/>
              </w:rPr>
              <w:t xml:space="preserve">Anticipate, identify and address issues and potential problems that may have an impact on organisational objectives and the user experience </w:t>
            </w:r>
          </w:p>
          <w:p w14:paraId="24ABF329" w14:textId="77777777" w:rsidR="00BE50C9" w:rsidRPr="00BE50C9" w:rsidRDefault="00BE50C9" w:rsidP="00BE50C9">
            <w:pPr>
              <w:pStyle w:val="TableBullet"/>
              <w:spacing w:before="40" w:after="40" w:line="240" w:lineRule="auto"/>
            </w:pPr>
            <w:r w:rsidRPr="00BE50C9">
              <w:rPr>
                <w:lang w:val="en-US"/>
              </w:rPr>
              <w:t xml:space="preserve">Apply creative-thinking techniques to generate new ideas and options to address issues and improve the user experience </w:t>
            </w:r>
          </w:p>
          <w:p w14:paraId="095521D3" w14:textId="77777777" w:rsidR="00BE50C9" w:rsidRPr="00BE50C9" w:rsidRDefault="00BE50C9" w:rsidP="00BE50C9">
            <w:pPr>
              <w:pStyle w:val="TableBullet"/>
              <w:spacing w:before="40" w:after="40" w:line="240" w:lineRule="auto"/>
            </w:pPr>
            <w:r w:rsidRPr="00BE50C9">
              <w:rPr>
                <w:lang w:val="en-US"/>
              </w:rPr>
              <w:t xml:space="preserve">Seek contributions and ideas from people with diverse backgrounds and experience </w:t>
            </w:r>
          </w:p>
          <w:p w14:paraId="59D37EF0" w14:textId="77777777" w:rsidR="00BE50C9" w:rsidRPr="00BE50C9" w:rsidRDefault="00BE50C9" w:rsidP="00BE50C9">
            <w:pPr>
              <w:pStyle w:val="TableBullet"/>
              <w:spacing w:before="40" w:after="40" w:line="240" w:lineRule="auto"/>
            </w:pPr>
            <w:r w:rsidRPr="00BE50C9">
              <w:rPr>
                <w:lang w:val="en-US"/>
              </w:rPr>
              <w:t xml:space="preserve">Participate in and contribute to team or unit initiatives to resolve common issues or barriers to effectiveness </w:t>
            </w:r>
          </w:p>
          <w:p w14:paraId="7F334885" w14:textId="21FF4A56" w:rsidR="0074615B" w:rsidRPr="003C7A36" w:rsidRDefault="00BE50C9" w:rsidP="00BE50C9">
            <w:pPr>
              <w:pStyle w:val="TableBullet"/>
              <w:spacing w:before="40" w:after="40" w:line="240" w:lineRule="auto"/>
            </w:pPr>
            <w:r w:rsidRPr="00BE50C9">
              <w:rPr>
                <w:lang w:val="en-US"/>
              </w:rPr>
              <w:t>Identify and share business process improvements to enhance effectiveness</w:t>
            </w:r>
          </w:p>
        </w:tc>
        <w:tc>
          <w:tcPr>
            <w:tcW w:w="1668" w:type="dxa"/>
          </w:tcPr>
          <w:p w14:paraId="6D720AFA" w14:textId="6C697708" w:rsidR="0074615B" w:rsidRPr="006F0836" w:rsidRDefault="00BE50C9" w:rsidP="1B510F3E">
            <w:pPr>
              <w:pStyle w:val="TableText"/>
              <w:spacing w:line="240" w:lineRule="auto"/>
            </w:pPr>
            <w:r>
              <w:t>Adept</w:t>
            </w:r>
          </w:p>
        </w:tc>
      </w:tr>
      <w:tr w:rsidR="0074615B" w:rsidRPr="003C7A36" w14:paraId="6BD37140" w14:textId="77777777" w:rsidTr="1B510F3E">
        <w:trPr>
          <w:cantSplit/>
        </w:trPr>
        <w:tc>
          <w:tcPr>
            <w:tcW w:w="1385" w:type="dxa"/>
          </w:tcPr>
          <w:p w14:paraId="0EEA9916" w14:textId="77777777" w:rsidR="0074615B" w:rsidRPr="003C7A36" w:rsidRDefault="0074615B" w:rsidP="00CE58FA">
            <w:pPr>
              <w:jc w:val="center"/>
              <w:rPr>
                <w:noProof/>
                <w:sz w:val="20"/>
                <w:lang w:eastAsia="en-AU"/>
              </w:rPr>
            </w:pPr>
            <w:r w:rsidRPr="00372FE9">
              <w:rPr>
                <w:noProof/>
                <w:sz w:val="20"/>
                <w:lang w:val="en-AU" w:eastAsia="en-AU"/>
              </w:rPr>
              <w:lastRenderedPageBreak/>
              <w:drawing>
                <wp:inline distT="0" distB="0" distL="0" distR="0" wp14:anchorId="29512686" wp14:editId="293F9ABA">
                  <wp:extent cx="749300" cy="749300"/>
                  <wp:effectExtent l="0" t="0" r="0" b="0"/>
                  <wp:docPr id="6440"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8FF9EBB" w14:textId="77777777" w:rsidR="0074615B" w:rsidRDefault="0074615B" w:rsidP="0005321E">
            <w:pPr>
              <w:spacing w:before="40" w:after="40"/>
              <w:rPr>
                <w:rFonts w:cs="Arial"/>
                <w:color w:val="000000"/>
                <w:sz w:val="20"/>
              </w:rPr>
            </w:pPr>
            <w:r w:rsidRPr="003C7A36">
              <w:rPr>
                <w:rFonts w:cs="Arial"/>
                <w:b/>
                <w:bCs/>
                <w:color w:val="000000"/>
                <w:sz w:val="20"/>
              </w:rPr>
              <w:t>Project Management</w:t>
            </w:r>
          </w:p>
          <w:p w14:paraId="61795F8C" w14:textId="77777777" w:rsidR="0074615B" w:rsidRPr="00667FCB" w:rsidRDefault="0074615B" w:rsidP="0005321E">
            <w:pPr>
              <w:spacing w:before="40" w:after="40"/>
              <w:rPr>
                <w:rFonts w:cs="Arial"/>
                <w:color w:val="000000"/>
                <w:sz w:val="20"/>
              </w:rPr>
            </w:pPr>
            <w:r w:rsidRPr="003C7A36">
              <w:rPr>
                <w:rFonts w:cs="Arial"/>
                <w:color w:val="000000"/>
                <w:sz w:val="20"/>
              </w:rPr>
              <w:t>Understand and apply effective planning, coordination and control methods</w:t>
            </w:r>
          </w:p>
        </w:tc>
        <w:tc>
          <w:tcPr>
            <w:tcW w:w="4709" w:type="dxa"/>
          </w:tcPr>
          <w:p w14:paraId="0853621E" w14:textId="77777777" w:rsidR="0074615B" w:rsidRPr="003C7A36" w:rsidRDefault="72AF79B4" w:rsidP="0005321E">
            <w:pPr>
              <w:pStyle w:val="TableBullet"/>
              <w:spacing w:before="40" w:after="40" w:line="240" w:lineRule="auto"/>
            </w:pPr>
            <w:r>
              <w:t>Understand all components of the project management process, including the need to consider change management to realise business benefits</w:t>
            </w:r>
          </w:p>
          <w:p w14:paraId="01E7CDBA" w14:textId="77777777" w:rsidR="0074615B" w:rsidRPr="003C7A36" w:rsidRDefault="72AF79B4" w:rsidP="0005321E">
            <w:pPr>
              <w:pStyle w:val="TableBullet"/>
              <w:spacing w:before="40" w:after="40" w:line="240" w:lineRule="auto"/>
            </w:pPr>
            <w:r>
              <w:t>Prepare clear project proposals and accurate estimates of required costs and resources</w:t>
            </w:r>
          </w:p>
          <w:p w14:paraId="34CC0E38" w14:textId="77777777" w:rsidR="0074615B" w:rsidRPr="003C7A36" w:rsidRDefault="72AF79B4" w:rsidP="0005321E">
            <w:pPr>
              <w:pStyle w:val="TableBullet"/>
              <w:spacing w:before="40" w:after="40" w:line="240" w:lineRule="auto"/>
            </w:pPr>
            <w:r>
              <w:t>Establish performance outcomes and measures for key project goals, and define monitoring, reporting and communication requirements</w:t>
            </w:r>
          </w:p>
          <w:p w14:paraId="134A5649" w14:textId="77777777" w:rsidR="0074615B" w:rsidRPr="003C7A36" w:rsidRDefault="72AF79B4" w:rsidP="0005321E">
            <w:pPr>
              <w:pStyle w:val="TableBullet"/>
              <w:spacing w:before="40" w:after="40" w:line="240" w:lineRule="auto"/>
            </w:pPr>
            <w:r>
              <w:t>Identify and evaluate risks associated with the project and develop mitigation strategies</w:t>
            </w:r>
          </w:p>
          <w:p w14:paraId="25DCF421" w14:textId="77777777" w:rsidR="0074615B" w:rsidRPr="003C7A36" w:rsidRDefault="72AF79B4" w:rsidP="0005321E">
            <w:pPr>
              <w:pStyle w:val="TableBullet"/>
              <w:spacing w:before="40" w:after="40" w:line="240" w:lineRule="auto"/>
            </w:pPr>
            <w:r>
              <w:t>Identify and consult stakeholders to inform the project strategy</w:t>
            </w:r>
          </w:p>
          <w:p w14:paraId="288E6603" w14:textId="77777777" w:rsidR="0074615B" w:rsidRPr="003C7A36" w:rsidRDefault="72AF79B4" w:rsidP="0005321E">
            <w:pPr>
              <w:pStyle w:val="TableBullet"/>
              <w:spacing w:before="40" w:after="40" w:line="240" w:lineRule="auto"/>
            </w:pPr>
            <w:r>
              <w:t>Communicate the project’s objectives and its expected benefits</w:t>
            </w:r>
          </w:p>
          <w:p w14:paraId="79EC5AA0" w14:textId="77777777" w:rsidR="0074615B" w:rsidRPr="003C7A36" w:rsidRDefault="72AF79B4" w:rsidP="0005321E">
            <w:pPr>
              <w:pStyle w:val="TableBullet"/>
              <w:spacing w:before="40" w:after="40" w:line="240" w:lineRule="auto"/>
            </w:pPr>
            <w:r>
              <w:t>Monitor the completion of project milestones against goals and take necessary action</w:t>
            </w:r>
          </w:p>
          <w:p w14:paraId="7B5DAEA6" w14:textId="77777777" w:rsidR="0074615B" w:rsidRPr="003C7A36" w:rsidRDefault="72AF79B4" w:rsidP="0005321E">
            <w:pPr>
              <w:pStyle w:val="TableBullet"/>
              <w:spacing w:before="40" w:after="40" w:line="240" w:lineRule="auto"/>
            </w:pPr>
            <w:r>
              <w:t>Evaluate progress and identify improvements to inform future projects</w:t>
            </w:r>
          </w:p>
        </w:tc>
        <w:tc>
          <w:tcPr>
            <w:tcW w:w="1668" w:type="dxa"/>
          </w:tcPr>
          <w:p w14:paraId="54020054" w14:textId="2A53D6DC" w:rsidR="0074615B" w:rsidRPr="006F0836" w:rsidRDefault="00905A9B" w:rsidP="1B510F3E">
            <w:pPr>
              <w:pStyle w:val="TableText"/>
              <w:spacing w:line="240" w:lineRule="auto"/>
            </w:pPr>
            <w:r>
              <w:t>Adept</w:t>
            </w:r>
          </w:p>
        </w:tc>
      </w:tr>
    </w:tbl>
    <w:p w14:paraId="2C1812E1" w14:textId="77777777" w:rsidR="005F0BB2" w:rsidRDefault="005F0BB2" w:rsidP="0005321E">
      <w:pPr>
        <w:tabs>
          <w:tab w:val="left" w:pos="2925"/>
        </w:tabs>
        <w:spacing w:before="200" w:after="120"/>
        <w:rPr>
          <w:rFonts w:eastAsiaTheme="minorHAnsi" w:cs="Arial"/>
          <w:b/>
          <w:bCs/>
          <w:kern w:val="32"/>
          <w:sz w:val="26"/>
          <w:szCs w:val="32"/>
          <w:lang w:val="en-AU"/>
        </w:rPr>
      </w:pPr>
    </w:p>
    <w:p w14:paraId="789D27B0" w14:textId="424D573A" w:rsidR="0005321E" w:rsidRPr="0005321E" w:rsidRDefault="0005321E" w:rsidP="0005321E">
      <w:pPr>
        <w:tabs>
          <w:tab w:val="left" w:pos="2925"/>
        </w:tabs>
        <w:spacing w:before="200" w:after="120"/>
        <w:rPr>
          <w:rFonts w:eastAsiaTheme="minorHAnsi" w:cs="Arial"/>
          <w:b/>
          <w:bCs/>
          <w:kern w:val="32"/>
          <w:sz w:val="26"/>
          <w:szCs w:val="32"/>
          <w:lang w:val="en-AU"/>
        </w:rPr>
      </w:pPr>
      <w:r w:rsidRPr="0005321E">
        <w:rPr>
          <w:rFonts w:eastAsiaTheme="minorHAnsi" w:cs="Arial"/>
          <w:b/>
          <w:bCs/>
          <w:kern w:val="32"/>
          <w:sz w:val="26"/>
          <w:szCs w:val="32"/>
          <w:lang w:val="en-AU"/>
        </w:rPr>
        <w:t>Complementary capabilities</w:t>
      </w:r>
    </w:p>
    <w:p w14:paraId="400877BC" w14:textId="77777777" w:rsidR="0005321E" w:rsidRPr="0005321E" w:rsidRDefault="0005321E" w:rsidP="0005321E">
      <w:pPr>
        <w:spacing w:before="120"/>
        <w:rPr>
          <w:rFonts w:eastAsia="Times New Roman" w:cs="Times New Roman"/>
          <w:sz w:val="21"/>
        </w:rPr>
      </w:pPr>
      <w:r w:rsidRPr="0005321E">
        <w:rPr>
          <w:rFonts w:eastAsia="Times New Roman" w:cs="Times New Roman"/>
          <w:i/>
          <w:sz w:val="21"/>
        </w:rPr>
        <w:t>Complementary capabilities</w:t>
      </w:r>
      <w:r w:rsidRPr="0005321E">
        <w:rPr>
          <w:rFonts w:eastAsia="Times New Roman" w:cs="Times New Roman"/>
          <w:sz w:val="21"/>
        </w:rPr>
        <w:t xml:space="preserve"> are also identified from the Capability Framework and relevant occupation-specific capability sets. They are important to identifying performance required for the role and development opportunities. </w:t>
      </w:r>
    </w:p>
    <w:p w14:paraId="611A8CAC" w14:textId="6C9E9251" w:rsidR="0074615B" w:rsidRPr="0005321E" w:rsidRDefault="0005321E" w:rsidP="0005321E">
      <w:pPr>
        <w:spacing w:before="120"/>
        <w:rPr>
          <w:rFonts w:eastAsia="Times New Roman" w:cs="Times New Roman"/>
          <w:sz w:val="21"/>
        </w:rPr>
      </w:pPr>
      <w:r w:rsidRPr="0005321E">
        <w:rPr>
          <w:rFonts w:eastAsia="Times New Roman" w:cs="Times New Roman"/>
          <w:sz w:val="21"/>
        </w:rPr>
        <w:t>Note: capabilities listed as ‘not essential’ for this role are not relevant for recruitment purposes however may be relevant for future career development.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74615B" w:rsidRPr="00372FE9" w14:paraId="2ACF8885" w14:textId="77777777" w:rsidTr="00BE50C9">
        <w:trPr>
          <w:cantSplit/>
          <w:tblHeader/>
        </w:trPr>
        <w:tc>
          <w:tcPr>
            <w:tcW w:w="1276" w:type="dxa"/>
            <w:shd w:val="clear" w:color="auto" w:fill="BFBFBF" w:themeFill="background1" w:themeFillShade="BF"/>
            <w:vAlign w:val="center"/>
          </w:tcPr>
          <w:p w14:paraId="52939174" w14:textId="77777777" w:rsidR="0074615B" w:rsidRPr="00372FE9" w:rsidRDefault="0074615B" w:rsidP="0005321E">
            <w:pPr>
              <w:spacing w:before="40" w:after="40"/>
              <w:rPr>
                <w:sz w:val="20"/>
              </w:rPr>
            </w:pPr>
            <w:r w:rsidRPr="00372FE9">
              <w:rPr>
                <w:b/>
                <w:sz w:val="20"/>
              </w:rPr>
              <w:t>Capability group/sets</w:t>
            </w:r>
          </w:p>
        </w:tc>
        <w:tc>
          <w:tcPr>
            <w:tcW w:w="2693" w:type="dxa"/>
            <w:shd w:val="clear" w:color="auto" w:fill="BFBFBF" w:themeFill="background1" w:themeFillShade="BF"/>
          </w:tcPr>
          <w:p w14:paraId="023FE95C" w14:textId="77777777" w:rsidR="0074615B" w:rsidRPr="00372FE9" w:rsidRDefault="0074615B" w:rsidP="0005321E">
            <w:pPr>
              <w:spacing w:before="40" w:after="40"/>
              <w:rPr>
                <w:sz w:val="20"/>
              </w:rPr>
            </w:pPr>
            <w:r w:rsidRPr="00372FE9">
              <w:rPr>
                <w:b/>
                <w:sz w:val="20"/>
              </w:rPr>
              <w:t>Capability name</w:t>
            </w:r>
          </w:p>
        </w:tc>
        <w:tc>
          <w:tcPr>
            <w:tcW w:w="4851" w:type="dxa"/>
            <w:shd w:val="clear" w:color="auto" w:fill="BFBFBF" w:themeFill="background1" w:themeFillShade="BF"/>
          </w:tcPr>
          <w:p w14:paraId="68E81635" w14:textId="77777777" w:rsidR="0074615B" w:rsidRPr="00372FE9" w:rsidRDefault="0074615B" w:rsidP="0005321E">
            <w:pPr>
              <w:spacing w:before="40" w:after="40"/>
              <w:rPr>
                <w:sz w:val="20"/>
              </w:rPr>
            </w:pPr>
            <w:r w:rsidRPr="00372FE9">
              <w:rPr>
                <w:b/>
                <w:sz w:val="20"/>
              </w:rPr>
              <w:t>Description</w:t>
            </w:r>
          </w:p>
        </w:tc>
        <w:tc>
          <w:tcPr>
            <w:tcW w:w="1668" w:type="dxa"/>
            <w:shd w:val="clear" w:color="auto" w:fill="BFBFBF" w:themeFill="background1" w:themeFillShade="BF"/>
          </w:tcPr>
          <w:p w14:paraId="2AA8DA68" w14:textId="77777777" w:rsidR="0074615B" w:rsidRPr="00372FE9" w:rsidRDefault="0074615B" w:rsidP="0005321E">
            <w:pPr>
              <w:spacing w:before="40" w:after="40"/>
              <w:rPr>
                <w:b/>
                <w:bCs/>
                <w:sz w:val="20"/>
              </w:rPr>
            </w:pPr>
            <w:r w:rsidRPr="00372FE9">
              <w:rPr>
                <w:b/>
                <w:bCs/>
                <w:sz w:val="20"/>
              </w:rPr>
              <w:t>Level</w:t>
            </w:r>
          </w:p>
        </w:tc>
      </w:tr>
      <w:tr w:rsidR="0074615B" w:rsidRPr="00372FE9" w14:paraId="52129F54" w14:textId="77777777" w:rsidTr="1B510F3E">
        <w:trPr>
          <w:cantSplit/>
        </w:trPr>
        <w:tc>
          <w:tcPr>
            <w:tcW w:w="1276" w:type="dxa"/>
          </w:tcPr>
          <w:p w14:paraId="76B52DC1" w14:textId="77777777" w:rsidR="0074615B" w:rsidRPr="00372FE9" w:rsidRDefault="0074615B" w:rsidP="0005321E">
            <w:pPr>
              <w:spacing w:before="40" w:after="40"/>
              <w:rPr>
                <w:sz w:val="20"/>
              </w:rPr>
            </w:pPr>
            <w:r w:rsidRPr="00372FE9">
              <w:rPr>
                <w:noProof/>
                <w:sz w:val="20"/>
                <w:lang w:val="en-AU" w:eastAsia="en-AU"/>
              </w:rPr>
              <w:drawing>
                <wp:inline distT="0" distB="0" distL="0" distR="0" wp14:anchorId="370D4954" wp14:editId="13C2FB94">
                  <wp:extent cx="416966" cy="416966"/>
                  <wp:effectExtent l="0" t="0" r="2540" b="2540"/>
                  <wp:docPr id="1984"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FA94458" w14:textId="77777777" w:rsidR="0074615B" w:rsidRPr="00372FE9" w:rsidRDefault="0074615B" w:rsidP="0005321E">
            <w:pPr>
              <w:pStyle w:val="TableText"/>
              <w:spacing w:before="20" w:after="20" w:line="240" w:lineRule="auto"/>
            </w:pPr>
            <w:r w:rsidRPr="00372FE9">
              <w:t>Display Resilience and Courage</w:t>
            </w:r>
          </w:p>
        </w:tc>
        <w:tc>
          <w:tcPr>
            <w:tcW w:w="4851" w:type="dxa"/>
          </w:tcPr>
          <w:p w14:paraId="3BAFA7EE" w14:textId="77777777" w:rsidR="0074615B" w:rsidRPr="00372FE9" w:rsidRDefault="0074615B" w:rsidP="0005321E">
            <w:pPr>
              <w:pStyle w:val="TableText"/>
              <w:spacing w:before="20" w:after="20" w:line="240" w:lineRule="auto"/>
            </w:pPr>
            <w:r w:rsidRPr="00372FE9">
              <w:t>Be open and honest, prepared to express your views, and willing to accept and commit to change</w:t>
            </w:r>
          </w:p>
        </w:tc>
        <w:tc>
          <w:tcPr>
            <w:tcW w:w="1668" w:type="dxa"/>
          </w:tcPr>
          <w:p w14:paraId="5CCA25A2" w14:textId="3A0DC341" w:rsidR="0074615B" w:rsidRPr="00372FE9" w:rsidRDefault="00905A9B" w:rsidP="0005321E">
            <w:pPr>
              <w:pStyle w:val="TableText"/>
              <w:spacing w:before="20" w:after="20" w:line="240" w:lineRule="auto"/>
            </w:pPr>
            <w:r>
              <w:t>Adept</w:t>
            </w:r>
            <w:r w:rsidR="0074615B">
              <w:t xml:space="preserve"> </w:t>
            </w:r>
          </w:p>
        </w:tc>
      </w:tr>
      <w:tr w:rsidR="0074615B" w:rsidRPr="00372FE9" w14:paraId="6B8C62D6" w14:textId="77777777" w:rsidTr="1B510F3E">
        <w:trPr>
          <w:cantSplit/>
        </w:trPr>
        <w:tc>
          <w:tcPr>
            <w:tcW w:w="1276" w:type="dxa"/>
          </w:tcPr>
          <w:p w14:paraId="2F772D70" w14:textId="77777777" w:rsidR="0074615B" w:rsidRPr="00372FE9" w:rsidRDefault="0074615B" w:rsidP="0005321E">
            <w:pPr>
              <w:spacing w:before="40" w:after="40"/>
              <w:rPr>
                <w:sz w:val="20"/>
              </w:rPr>
            </w:pPr>
            <w:r w:rsidRPr="00372FE9">
              <w:rPr>
                <w:noProof/>
                <w:sz w:val="20"/>
                <w:lang w:val="en-AU" w:eastAsia="en-AU"/>
              </w:rPr>
              <w:drawing>
                <wp:inline distT="0" distB="0" distL="0" distR="0" wp14:anchorId="3A3A0AFF" wp14:editId="5FC4B53F">
                  <wp:extent cx="416966" cy="416966"/>
                  <wp:effectExtent l="0" t="0" r="2540" b="2540"/>
                  <wp:docPr id="350"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A16E5F3" w14:textId="77777777" w:rsidR="0074615B" w:rsidRPr="00372FE9" w:rsidRDefault="0074615B" w:rsidP="0005321E">
            <w:pPr>
              <w:pStyle w:val="TableText"/>
              <w:spacing w:before="20" w:after="20" w:line="240" w:lineRule="auto"/>
            </w:pPr>
            <w:r w:rsidRPr="00372FE9">
              <w:t>Manage Self</w:t>
            </w:r>
          </w:p>
        </w:tc>
        <w:tc>
          <w:tcPr>
            <w:tcW w:w="4851" w:type="dxa"/>
          </w:tcPr>
          <w:p w14:paraId="2B8060F6" w14:textId="77777777" w:rsidR="0074615B" w:rsidRPr="00372FE9" w:rsidRDefault="0074615B" w:rsidP="0005321E">
            <w:pPr>
              <w:pStyle w:val="TableText"/>
              <w:spacing w:before="20" w:after="20" w:line="240" w:lineRule="auto"/>
            </w:pPr>
            <w:r w:rsidRPr="00372FE9">
              <w:t>Show drive and motivation, an ability to self-reflect and a commitment to learning</w:t>
            </w:r>
          </w:p>
        </w:tc>
        <w:tc>
          <w:tcPr>
            <w:tcW w:w="1668" w:type="dxa"/>
          </w:tcPr>
          <w:p w14:paraId="7714945B" w14:textId="6485E45F" w:rsidR="0074615B" w:rsidRPr="00372FE9" w:rsidRDefault="2EE15CC8" w:rsidP="0005321E">
            <w:pPr>
              <w:pStyle w:val="TableText"/>
              <w:spacing w:before="20" w:after="20" w:line="240" w:lineRule="auto"/>
              <w:rPr>
                <w:rFonts w:eastAsia="Calibri"/>
              </w:rPr>
            </w:pPr>
            <w:r>
              <w:t xml:space="preserve">Intermediate </w:t>
            </w:r>
          </w:p>
        </w:tc>
      </w:tr>
      <w:tr w:rsidR="0074615B" w:rsidRPr="00372FE9" w14:paraId="1071A6C2" w14:textId="77777777" w:rsidTr="1B510F3E">
        <w:trPr>
          <w:cantSplit/>
        </w:trPr>
        <w:tc>
          <w:tcPr>
            <w:tcW w:w="1276" w:type="dxa"/>
          </w:tcPr>
          <w:p w14:paraId="03B8AEA5" w14:textId="77777777" w:rsidR="0074615B" w:rsidRPr="00372FE9" w:rsidRDefault="0074615B" w:rsidP="0005321E">
            <w:pPr>
              <w:spacing w:before="40" w:after="40"/>
              <w:rPr>
                <w:sz w:val="20"/>
              </w:rPr>
            </w:pPr>
            <w:r w:rsidRPr="00372FE9">
              <w:rPr>
                <w:noProof/>
                <w:sz w:val="20"/>
                <w:lang w:val="en-AU" w:eastAsia="en-AU"/>
              </w:rPr>
              <w:drawing>
                <wp:inline distT="0" distB="0" distL="0" distR="0" wp14:anchorId="186A1F36" wp14:editId="3A3C0E9E">
                  <wp:extent cx="416966" cy="416966"/>
                  <wp:effectExtent l="0" t="0" r="2540" b="2540"/>
                  <wp:docPr id="3934"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F10B001" w14:textId="77777777" w:rsidR="0074615B" w:rsidRPr="00372FE9" w:rsidRDefault="0074615B" w:rsidP="0005321E">
            <w:pPr>
              <w:pStyle w:val="TableText"/>
              <w:spacing w:before="20" w:after="20" w:line="240" w:lineRule="auto"/>
            </w:pPr>
            <w:r w:rsidRPr="00372FE9">
              <w:t>Value Diversity and Inclusion</w:t>
            </w:r>
          </w:p>
        </w:tc>
        <w:tc>
          <w:tcPr>
            <w:tcW w:w="4851" w:type="dxa"/>
          </w:tcPr>
          <w:p w14:paraId="1E3CFBD2" w14:textId="77777777" w:rsidR="0074615B" w:rsidRPr="00372FE9" w:rsidRDefault="0074615B" w:rsidP="0005321E">
            <w:pPr>
              <w:pStyle w:val="TableText"/>
              <w:spacing w:before="20" w:after="20" w:line="240" w:lineRule="auto"/>
            </w:pPr>
            <w:r w:rsidRPr="00372FE9">
              <w:t>Demonstrate inclusive behaviour and show respect for diverse backgrounds, experiences and perspectives</w:t>
            </w:r>
          </w:p>
        </w:tc>
        <w:tc>
          <w:tcPr>
            <w:tcW w:w="1668" w:type="dxa"/>
          </w:tcPr>
          <w:p w14:paraId="24955885" w14:textId="323BC44E" w:rsidR="0074615B" w:rsidRPr="00372FE9" w:rsidRDefault="0074615B" w:rsidP="0005321E">
            <w:pPr>
              <w:pStyle w:val="TableText"/>
              <w:spacing w:before="20" w:after="20" w:line="240" w:lineRule="auto"/>
            </w:pPr>
            <w:r>
              <w:t xml:space="preserve">Intermediate </w:t>
            </w:r>
          </w:p>
        </w:tc>
      </w:tr>
      <w:tr w:rsidR="0074615B" w:rsidRPr="00372FE9" w14:paraId="601A7488" w14:textId="77777777" w:rsidTr="1B510F3E">
        <w:trPr>
          <w:cantSplit/>
        </w:trPr>
        <w:tc>
          <w:tcPr>
            <w:tcW w:w="1276" w:type="dxa"/>
          </w:tcPr>
          <w:p w14:paraId="73171C0B" w14:textId="77777777" w:rsidR="0074615B" w:rsidRPr="00372FE9" w:rsidRDefault="0074615B" w:rsidP="0005321E">
            <w:pPr>
              <w:spacing w:before="40" w:after="40"/>
              <w:rPr>
                <w:sz w:val="20"/>
              </w:rPr>
            </w:pPr>
            <w:r w:rsidRPr="00372FE9">
              <w:rPr>
                <w:noProof/>
                <w:sz w:val="20"/>
                <w:lang w:val="en-AU" w:eastAsia="en-AU"/>
              </w:rPr>
              <w:drawing>
                <wp:inline distT="0" distB="0" distL="0" distR="0" wp14:anchorId="2D099F7D" wp14:editId="65383AF3">
                  <wp:extent cx="416966" cy="416966"/>
                  <wp:effectExtent l="0" t="0" r="2540" b="2540"/>
                  <wp:docPr id="7519"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89BBB58" w14:textId="77777777" w:rsidR="0074615B" w:rsidRPr="00372FE9" w:rsidRDefault="0074615B" w:rsidP="0005321E">
            <w:pPr>
              <w:pStyle w:val="TableText"/>
              <w:spacing w:before="20" w:after="20" w:line="240" w:lineRule="auto"/>
            </w:pPr>
            <w:r w:rsidRPr="00372FE9">
              <w:t>Commit to Customer Service</w:t>
            </w:r>
          </w:p>
        </w:tc>
        <w:tc>
          <w:tcPr>
            <w:tcW w:w="4851" w:type="dxa"/>
          </w:tcPr>
          <w:p w14:paraId="696F07CB" w14:textId="77777777" w:rsidR="0074615B" w:rsidRPr="00372FE9" w:rsidRDefault="0074615B" w:rsidP="0005321E">
            <w:pPr>
              <w:pStyle w:val="TableText"/>
              <w:spacing w:before="20" w:after="20" w:line="240" w:lineRule="auto"/>
            </w:pPr>
            <w:r w:rsidRPr="00372FE9">
              <w:t>Provide customer-focused services in line with public sector and organisational objectives</w:t>
            </w:r>
          </w:p>
        </w:tc>
        <w:tc>
          <w:tcPr>
            <w:tcW w:w="1668" w:type="dxa"/>
          </w:tcPr>
          <w:p w14:paraId="638AD501" w14:textId="0B0F43CD" w:rsidR="0074615B" w:rsidRPr="00372FE9" w:rsidRDefault="2EE15CC8" w:rsidP="0005321E">
            <w:pPr>
              <w:pStyle w:val="TableText"/>
              <w:spacing w:before="20" w:after="20" w:line="240" w:lineRule="auto"/>
              <w:rPr>
                <w:rFonts w:eastAsia="Calibri"/>
              </w:rPr>
            </w:pPr>
            <w:r>
              <w:t xml:space="preserve">Intermediate </w:t>
            </w:r>
          </w:p>
        </w:tc>
      </w:tr>
      <w:tr w:rsidR="0074615B" w:rsidRPr="00372FE9" w14:paraId="5FDAD9C4" w14:textId="77777777" w:rsidTr="1B510F3E">
        <w:trPr>
          <w:cantSplit/>
        </w:trPr>
        <w:tc>
          <w:tcPr>
            <w:tcW w:w="1276" w:type="dxa"/>
          </w:tcPr>
          <w:p w14:paraId="71F57832" w14:textId="77777777" w:rsidR="0074615B" w:rsidRPr="00372FE9" w:rsidRDefault="0074615B" w:rsidP="0005321E">
            <w:pPr>
              <w:spacing w:before="40" w:after="40"/>
              <w:rPr>
                <w:sz w:val="20"/>
              </w:rPr>
            </w:pPr>
            <w:r w:rsidRPr="00372FE9">
              <w:rPr>
                <w:noProof/>
                <w:sz w:val="20"/>
                <w:lang w:val="en-AU" w:eastAsia="en-AU"/>
              </w:rPr>
              <w:drawing>
                <wp:inline distT="0" distB="0" distL="0" distR="0" wp14:anchorId="393A737D" wp14:editId="126D5BE1">
                  <wp:extent cx="416966" cy="416966"/>
                  <wp:effectExtent l="0" t="0" r="2540" b="2540"/>
                  <wp:docPr id="5884"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110FA7E" w14:textId="77777777" w:rsidR="0074615B" w:rsidRPr="00372FE9" w:rsidRDefault="0074615B" w:rsidP="0005321E">
            <w:pPr>
              <w:pStyle w:val="TableText"/>
              <w:spacing w:before="20" w:after="20" w:line="240" w:lineRule="auto"/>
            </w:pPr>
            <w:r w:rsidRPr="00372FE9">
              <w:t>Deliver Results</w:t>
            </w:r>
          </w:p>
        </w:tc>
        <w:tc>
          <w:tcPr>
            <w:tcW w:w="4851" w:type="dxa"/>
          </w:tcPr>
          <w:p w14:paraId="33669601" w14:textId="77777777" w:rsidR="0074615B" w:rsidRPr="00372FE9" w:rsidRDefault="0074615B" w:rsidP="0005321E">
            <w:pPr>
              <w:pStyle w:val="TableText"/>
              <w:spacing w:before="20" w:after="20" w:line="240" w:lineRule="auto"/>
            </w:pPr>
            <w:r w:rsidRPr="00372FE9">
              <w:t>Achieve results through the efficient use of resources and a commitment to quality outcomes</w:t>
            </w:r>
          </w:p>
        </w:tc>
        <w:tc>
          <w:tcPr>
            <w:tcW w:w="1668" w:type="dxa"/>
          </w:tcPr>
          <w:p w14:paraId="0195834D" w14:textId="387D5557" w:rsidR="0074615B" w:rsidRPr="00372FE9" w:rsidRDefault="00BE50C9" w:rsidP="1B510F3E">
            <w:pPr>
              <w:pStyle w:val="TableText"/>
              <w:spacing w:before="20" w:after="20" w:line="240" w:lineRule="auto"/>
            </w:pPr>
            <w:r>
              <w:t>Adept</w:t>
            </w:r>
          </w:p>
        </w:tc>
      </w:tr>
      <w:tr w:rsidR="0074615B" w:rsidRPr="00372FE9" w14:paraId="751994D9" w14:textId="77777777" w:rsidTr="1B510F3E">
        <w:trPr>
          <w:cantSplit/>
        </w:trPr>
        <w:tc>
          <w:tcPr>
            <w:tcW w:w="1276" w:type="dxa"/>
          </w:tcPr>
          <w:p w14:paraId="69E12844" w14:textId="77777777" w:rsidR="0074615B" w:rsidRPr="00372FE9" w:rsidRDefault="0074615B" w:rsidP="0005321E">
            <w:pPr>
              <w:spacing w:before="40" w:after="40"/>
              <w:rPr>
                <w:sz w:val="20"/>
              </w:rPr>
            </w:pPr>
            <w:r w:rsidRPr="00372FE9">
              <w:rPr>
                <w:noProof/>
                <w:sz w:val="20"/>
                <w:lang w:val="en-AU" w:eastAsia="en-AU"/>
              </w:rPr>
              <w:drawing>
                <wp:inline distT="0" distB="0" distL="0" distR="0" wp14:anchorId="086A7592" wp14:editId="772D29AB">
                  <wp:extent cx="416966" cy="416966"/>
                  <wp:effectExtent l="0" t="0" r="2540" b="2540"/>
                  <wp:docPr id="9468"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DD2ABDD" w14:textId="77777777" w:rsidR="0074615B" w:rsidRPr="00372FE9" w:rsidRDefault="0074615B" w:rsidP="0005321E">
            <w:pPr>
              <w:pStyle w:val="TableText"/>
              <w:spacing w:before="20" w:after="20" w:line="240" w:lineRule="auto"/>
            </w:pPr>
            <w:r w:rsidRPr="00372FE9">
              <w:t>Plan and Prioritise</w:t>
            </w:r>
          </w:p>
        </w:tc>
        <w:tc>
          <w:tcPr>
            <w:tcW w:w="4851" w:type="dxa"/>
          </w:tcPr>
          <w:p w14:paraId="16184475" w14:textId="77777777" w:rsidR="0074615B" w:rsidRPr="00372FE9" w:rsidRDefault="0074615B" w:rsidP="0005321E">
            <w:pPr>
              <w:pStyle w:val="TableText"/>
              <w:spacing w:before="20" w:after="20" w:line="240" w:lineRule="auto"/>
            </w:pPr>
            <w:r w:rsidRPr="00372FE9">
              <w:t>Plan to achieve priority outcomes and respond flexibly to changing circumstances</w:t>
            </w:r>
          </w:p>
        </w:tc>
        <w:tc>
          <w:tcPr>
            <w:tcW w:w="1668" w:type="dxa"/>
          </w:tcPr>
          <w:p w14:paraId="3C070A0E" w14:textId="77777777" w:rsidR="0074615B" w:rsidRPr="00372FE9" w:rsidRDefault="0074615B" w:rsidP="0005321E">
            <w:pPr>
              <w:pStyle w:val="TableText"/>
              <w:spacing w:before="20" w:after="20" w:line="240" w:lineRule="auto"/>
            </w:pPr>
            <w:r w:rsidRPr="004C659E">
              <w:t>Adept</w:t>
            </w:r>
          </w:p>
        </w:tc>
      </w:tr>
      <w:tr w:rsidR="0074615B" w:rsidRPr="00372FE9" w14:paraId="1EAE378D" w14:textId="77777777" w:rsidTr="1B510F3E">
        <w:trPr>
          <w:cantSplit/>
        </w:trPr>
        <w:tc>
          <w:tcPr>
            <w:tcW w:w="1276" w:type="dxa"/>
          </w:tcPr>
          <w:p w14:paraId="717039E5" w14:textId="77777777" w:rsidR="0074615B" w:rsidRPr="00372FE9" w:rsidRDefault="0074615B" w:rsidP="0005321E">
            <w:pPr>
              <w:spacing w:before="40" w:after="40"/>
              <w:rPr>
                <w:sz w:val="20"/>
              </w:rPr>
            </w:pPr>
            <w:r w:rsidRPr="00372FE9">
              <w:rPr>
                <w:noProof/>
                <w:sz w:val="20"/>
                <w:lang w:val="en-AU" w:eastAsia="en-AU"/>
              </w:rPr>
              <w:drawing>
                <wp:inline distT="0" distB="0" distL="0" distR="0" wp14:anchorId="1AA477D7" wp14:editId="32962A2E">
                  <wp:extent cx="416966" cy="416966"/>
                  <wp:effectExtent l="0" t="0" r="2540" b="2540"/>
                  <wp:docPr id="7834"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96A0A23" w14:textId="77777777" w:rsidR="0074615B" w:rsidRPr="00372FE9" w:rsidRDefault="0074615B" w:rsidP="0005321E">
            <w:pPr>
              <w:pStyle w:val="TableText"/>
              <w:spacing w:before="20" w:after="20" w:line="240" w:lineRule="auto"/>
            </w:pPr>
            <w:r w:rsidRPr="00372FE9">
              <w:t>Demonstrate Accountability</w:t>
            </w:r>
          </w:p>
        </w:tc>
        <w:tc>
          <w:tcPr>
            <w:tcW w:w="4851" w:type="dxa"/>
          </w:tcPr>
          <w:p w14:paraId="7413DBF8" w14:textId="77777777" w:rsidR="0074615B" w:rsidRPr="00372FE9" w:rsidRDefault="0074615B" w:rsidP="0005321E">
            <w:pPr>
              <w:pStyle w:val="TableText"/>
              <w:spacing w:before="20" w:after="20" w:line="240" w:lineRule="auto"/>
            </w:pPr>
            <w:r w:rsidRPr="00372FE9">
              <w:t>Be proactive and responsible for own actions, and adhere to legislation, policy and guidelines</w:t>
            </w:r>
          </w:p>
        </w:tc>
        <w:tc>
          <w:tcPr>
            <w:tcW w:w="1668" w:type="dxa"/>
          </w:tcPr>
          <w:p w14:paraId="38EAB1A7" w14:textId="2E224892" w:rsidR="0074615B" w:rsidRPr="00372FE9" w:rsidRDefault="00BE50C9" w:rsidP="0005321E">
            <w:pPr>
              <w:pStyle w:val="TableText"/>
              <w:spacing w:before="20" w:after="20" w:line="240" w:lineRule="auto"/>
            </w:pPr>
            <w:r>
              <w:t>Adept</w:t>
            </w:r>
            <w:r w:rsidR="2EE15CC8">
              <w:t xml:space="preserve"> </w:t>
            </w:r>
          </w:p>
        </w:tc>
      </w:tr>
      <w:tr w:rsidR="0074615B" w:rsidRPr="00372FE9" w14:paraId="03EA93D3" w14:textId="77777777" w:rsidTr="1B510F3E">
        <w:trPr>
          <w:cantSplit/>
        </w:trPr>
        <w:tc>
          <w:tcPr>
            <w:tcW w:w="1276" w:type="dxa"/>
          </w:tcPr>
          <w:p w14:paraId="1C95D492" w14:textId="77777777" w:rsidR="0074615B" w:rsidRPr="00372FE9" w:rsidRDefault="0074615B" w:rsidP="0005321E">
            <w:pPr>
              <w:spacing w:before="40" w:after="40"/>
              <w:rPr>
                <w:sz w:val="20"/>
              </w:rPr>
            </w:pPr>
            <w:r w:rsidRPr="00372FE9">
              <w:rPr>
                <w:noProof/>
                <w:sz w:val="20"/>
                <w:lang w:val="en-AU" w:eastAsia="en-AU"/>
              </w:rPr>
              <w:lastRenderedPageBreak/>
              <w:drawing>
                <wp:inline distT="0" distB="0" distL="0" distR="0" wp14:anchorId="45DCED98" wp14:editId="4793B39D">
                  <wp:extent cx="416966" cy="416966"/>
                  <wp:effectExtent l="0" t="0" r="2540" b="2540"/>
                  <wp:docPr id="1428"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B08AF4B" w14:textId="77777777" w:rsidR="0074615B" w:rsidRPr="00372FE9" w:rsidRDefault="0074615B" w:rsidP="0005321E">
            <w:pPr>
              <w:pStyle w:val="TableText"/>
              <w:spacing w:before="20" w:after="20" w:line="240" w:lineRule="auto"/>
            </w:pPr>
            <w:r w:rsidRPr="00372FE9">
              <w:t>Finance</w:t>
            </w:r>
          </w:p>
        </w:tc>
        <w:tc>
          <w:tcPr>
            <w:tcW w:w="4851" w:type="dxa"/>
          </w:tcPr>
          <w:p w14:paraId="5739AA4F" w14:textId="77777777" w:rsidR="0074615B" w:rsidRPr="00372FE9" w:rsidRDefault="0074615B" w:rsidP="0005321E">
            <w:pPr>
              <w:pStyle w:val="TableText"/>
              <w:spacing w:before="20" w:after="20" w:line="240" w:lineRule="auto"/>
            </w:pPr>
            <w:r w:rsidRPr="00372FE9">
              <w:t>Understand and apply financial processes to achieve value for money and minimise financial risk</w:t>
            </w:r>
          </w:p>
        </w:tc>
        <w:tc>
          <w:tcPr>
            <w:tcW w:w="1668" w:type="dxa"/>
          </w:tcPr>
          <w:p w14:paraId="5A477F46" w14:textId="212FB5C8" w:rsidR="0074615B" w:rsidRPr="00372FE9" w:rsidRDefault="00905A9B" w:rsidP="1B510F3E">
            <w:pPr>
              <w:pStyle w:val="TableText"/>
              <w:spacing w:before="20" w:after="20" w:line="240" w:lineRule="auto"/>
            </w:pPr>
            <w:r>
              <w:t>Intermediate</w:t>
            </w:r>
          </w:p>
        </w:tc>
      </w:tr>
      <w:tr w:rsidR="0074615B" w:rsidRPr="00372FE9" w14:paraId="3F59D1DA" w14:textId="77777777" w:rsidTr="1B510F3E">
        <w:trPr>
          <w:cantSplit/>
        </w:trPr>
        <w:tc>
          <w:tcPr>
            <w:tcW w:w="1276" w:type="dxa"/>
          </w:tcPr>
          <w:p w14:paraId="5935AEA3" w14:textId="77777777" w:rsidR="0074615B" w:rsidRPr="00372FE9" w:rsidRDefault="0074615B" w:rsidP="0005321E">
            <w:pPr>
              <w:spacing w:before="40" w:after="40"/>
              <w:rPr>
                <w:sz w:val="20"/>
              </w:rPr>
            </w:pPr>
            <w:r w:rsidRPr="00372FE9">
              <w:rPr>
                <w:noProof/>
                <w:sz w:val="20"/>
                <w:lang w:val="en-AU" w:eastAsia="en-AU"/>
              </w:rPr>
              <w:drawing>
                <wp:inline distT="0" distB="0" distL="0" distR="0" wp14:anchorId="085E6E3F" wp14:editId="29B8230E">
                  <wp:extent cx="416966" cy="416966"/>
                  <wp:effectExtent l="0" t="0" r="2540" b="2540"/>
                  <wp:docPr id="5013"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B798AC3" w14:textId="77777777" w:rsidR="0074615B" w:rsidRPr="00372FE9" w:rsidRDefault="0074615B" w:rsidP="0005321E">
            <w:pPr>
              <w:pStyle w:val="TableText"/>
              <w:spacing w:before="20" w:after="20" w:line="240" w:lineRule="auto"/>
            </w:pPr>
            <w:r w:rsidRPr="00372FE9">
              <w:t>Technology</w:t>
            </w:r>
          </w:p>
        </w:tc>
        <w:tc>
          <w:tcPr>
            <w:tcW w:w="4851" w:type="dxa"/>
          </w:tcPr>
          <w:p w14:paraId="00CD5C18" w14:textId="77777777" w:rsidR="0074615B" w:rsidRPr="00372FE9" w:rsidRDefault="0074615B" w:rsidP="0005321E">
            <w:pPr>
              <w:pStyle w:val="TableText"/>
              <w:spacing w:before="20" w:after="20" w:line="240" w:lineRule="auto"/>
            </w:pPr>
            <w:r w:rsidRPr="00372FE9">
              <w:t>Understand and use available technologies to maximise efficiencies and effectiveness</w:t>
            </w:r>
          </w:p>
        </w:tc>
        <w:tc>
          <w:tcPr>
            <w:tcW w:w="1668" w:type="dxa"/>
          </w:tcPr>
          <w:p w14:paraId="6152C4EE" w14:textId="4DF8DF87" w:rsidR="0074615B" w:rsidRPr="00372FE9" w:rsidRDefault="00BE50C9" w:rsidP="0005321E">
            <w:pPr>
              <w:pStyle w:val="TableText"/>
              <w:spacing w:before="20" w:after="20" w:line="240" w:lineRule="auto"/>
            </w:pPr>
            <w:r>
              <w:t>Adept</w:t>
            </w:r>
            <w:r w:rsidR="0074615B">
              <w:t xml:space="preserve"> </w:t>
            </w:r>
          </w:p>
        </w:tc>
      </w:tr>
      <w:tr w:rsidR="00BE50C9" w:rsidRPr="00372FE9" w14:paraId="00638B7C" w14:textId="77777777" w:rsidTr="1B510F3E">
        <w:trPr>
          <w:cantSplit/>
        </w:trPr>
        <w:tc>
          <w:tcPr>
            <w:tcW w:w="1276" w:type="dxa"/>
          </w:tcPr>
          <w:p w14:paraId="5C6832AC" w14:textId="1225CD4F" w:rsidR="00BE50C9" w:rsidRPr="00372FE9" w:rsidRDefault="00BE50C9" w:rsidP="0005321E">
            <w:pPr>
              <w:spacing w:before="40" w:after="40"/>
              <w:rPr>
                <w:noProof/>
                <w:sz w:val="20"/>
                <w:lang w:val="en-AU" w:eastAsia="en-AU"/>
              </w:rPr>
            </w:pPr>
            <w:r w:rsidRPr="00372FE9">
              <w:rPr>
                <w:noProof/>
                <w:sz w:val="20"/>
                <w:lang w:val="en-AU" w:eastAsia="en-AU"/>
              </w:rPr>
              <w:drawing>
                <wp:inline distT="0" distB="0" distL="0" distR="0" wp14:anchorId="4F420B57" wp14:editId="33B9F8ED">
                  <wp:extent cx="416966" cy="416966"/>
                  <wp:effectExtent l="0" t="0" r="2540" b="2540"/>
                  <wp:docPr id="2" name="Picture 2"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46CDD95" w14:textId="17DC09D2" w:rsidR="00BE50C9" w:rsidRPr="00372FE9" w:rsidRDefault="00BE50C9" w:rsidP="0005321E">
            <w:pPr>
              <w:pStyle w:val="TableText"/>
              <w:spacing w:before="20" w:after="20" w:line="240" w:lineRule="auto"/>
            </w:pPr>
            <w:r>
              <w:t>Procurement and Contract Management</w:t>
            </w:r>
          </w:p>
        </w:tc>
        <w:tc>
          <w:tcPr>
            <w:tcW w:w="4851" w:type="dxa"/>
          </w:tcPr>
          <w:p w14:paraId="7F7D6295" w14:textId="14F3CBEE" w:rsidR="00BE50C9" w:rsidRPr="00372FE9" w:rsidRDefault="00BE50C9" w:rsidP="0005321E">
            <w:pPr>
              <w:pStyle w:val="TableText"/>
              <w:spacing w:before="20" w:after="20" w:line="240" w:lineRule="auto"/>
            </w:pPr>
            <w:r>
              <w:t>Understand and apply procurement processes to ensure effective purchasing and contract performance</w:t>
            </w:r>
          </w:p>
        </w:tc>
        <w:tc>
          <w:tcPr>
            <w:tcW w:w="1668" w:type="dxa"/>
          </w:tcPr>
          <w:p w14:paraId="083BFCF2" w14:textId="5C137FB3" w:rsidR="00BE50C9" w:rsidRDefault="00BE50C9" w:rsidP="0005321E">
            <w:pPr>
              <w:pStyle w:val="TableText"/>
              <w:spacing w:before="20" w:after="20" w:line="240" w:lineRule="auto"/>
            </w:pPr>
            <w:r>
              <w:t>Intermediate</w:t>
            </w:r>
          </w:p>
        </w:tc>
      </w:tr>
      <w:bookmarkEnd w:id="0"/>
      <w:bookmarkEnd w:id="1"/>
      <w:bookmarkEnd w:id="2"/>
      <w:bookmarkEnd w:id="3"/>
    </w:tbl>
    <w:p w14:paraId="6C94E328" w14:textId="1BB339C0" w:rsidR="006A17AD" w:rsidRPr="006A17AD" w:rsidRDefault="006A17AD" w:rsidP="00BE50C9">
      <w:pPr>
        <w:rPr>
          <w:rFonts w:cs="Arial"/>
          <w:szCs w:val="26"/>
        </w:rPr>
      </w:pPr>
    </w:p>
    <w:sectPr w:rsidR="006A17AD" w:rsidRPr="006A17AD" w:rsidSect="009D747B">
      <w:footerReference w:type="default" r:id="rId16"/>
      <w:headerReference w:type="first" r:id="rId17"/>
      <w:footerReference w:type="first" r:id="rId18"/>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2BC1B" w14:textId="77777777" w:rsidR="00A30A11" w:rsidRDefault="00A30A11" w:rsidP="00BB532F">
      <w:pPr>
        <w:spacing w:after="0" w:line="240" w:lineRule="auto"/>
      </w:pPr>
      <w:r>
        <w:separator/>
      </w:r>
    </w:p>
  </w:endnote>
  <w:endnote w:type="continuationSeparator" w:id="0">
    <w:p w14:paraId="0EED5684" w14:textId="77777777" w:rsidR="00A30A11" w:rsidRDefault="00A30A11" w:rsidP="00BB532F">
      <w:pPr>
        <w:spacing w:after="0" w:line="240" w:lineRule="auto"/>
      </w:pPr>
      <w:r>
        <w:continuationSeparator/>
      </w:r>
    </w:p>
  </w:endnote>
  <w:endnote w:type="continuationNotice" w:id="1">
    <w:p w14:paraId="661BDEF0" w14:textId="77777777" w:rsidR="00A30A11" w:rsidRDefault="00A30A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00AFF48C" w14:textId="77777777" w:rsidTr="00C03AFD">
      <w:tc>
        <w:tcPr>
          <w:tcW w:w="2250" w:type="pct"/>
          <w:vAlign w:val="center"/>
        </w:tcPr>
        <w:p w14:paraId="082BD6C8" w14:textId="3F6E7A74" w:rsidR="00C03AFD" w:rsidRDefault="00C03AFD" w:rsidP="00C03AFD">
          <w:pPr>
            <w:pStyle w:val="Footer"/>
          </w:pPr>
          <w:r w:rsidRPr="00C03AFD">
            <w:rPr>
              <w:color w:val="928B81"/>
              <w:sz w:val="18"/>
            </w:rPr>
            <w:t>Role Description</w:t>
          </w:r>
          <w:r w:rsidR="00443BCB">
            <w:rPr>
              <w:color w:val="928B81"/>
              <w:sz w:val="18"/>
            </w:rPr>
            <w:t xml:space="preserve"> </w:t>
          </w:r>
          <w:r w:rsidR="006A17AD" w:rsidRPr="006A17AD">
            <w:rPr>
              <w:b/>
              <w:color w:val="928B81"/>
              <w:sz w:val="18"/>
            </w:rPr>
            <w:t xml:space="preserve">Senior </w:t>
          </w:r>
          <w:r w:rsidR="008D7673">
            <w:rPr>
              <w:b/>
              <w:color w:val="928B81"/>
              <w:sz w:val="18"/>
            </w:rPr>
            <w:t>Governance &amp; Compliance Officer</w:t>
          </w:r>
        </w:p>
      </w:tc>
      <w:tc>
        <w:tcPr>
          <w:tcW w:w="250" w:type="pct"/>
          <w:vAlign w:val="center"/>
        </w:tcPr>
        <w:p w14:paraId="14DB772C" w14:textId="13F84388"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1074C9">
            <w:rPr>
              <w:noProof/>
              <w:color w:val="928B81"/>
              <w:sz w:val="18"/>
              <w:lang w:eastAsia="en-AU"/>
            </w:rPr>
            <w:t>3</w:t>
          </w:r>
          <w:r w:rsidRPr="00C03AFD">
            <w:rPr>
              <w:noProof/>
              <w:color w:val="928B81"/>
              <w:sz w:val="18"/>
              <w:lang w:eastAsia="en-AU"/>
            </w:rPr>
            <w:fldChar w:fldCharType="end"/>
          </w:r>
        </w:p>
      </w:tc>
      <w:tc>
        <w:tcPr>
          <w:tcW w:w="2350" w:type="pct"/>
        </w:tcPr>
        <w:p w14:paraId="42779585" w14:textId="77777777" w:rsidR="00C03AFD" w:rsidRDefault="00C03AFD" w:rsidP="00C03AFD">
          <w:pPr>
            <w:pStyle w:val="Footer"/>
            <w:jc w:val="right"/>
          </w:pPr>
          <w:r>
            <w:rPr>
              <w:noProof/>
              <w:lang w:val="en-AU" w:eastAsia="en-AU"/>
            </w:rPr>
            <w:drawing>
              <wp:inline distT="0" distB="0" distL="0" distR="0" wp14:anchorId="6702EC76" wp14:editId="76366872">
                <wp:extent cx="432000" cy="452144"/>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7945618B"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655015F1" w14:textId="77777777" w:rsidTr="0047547E">
      <w:trPr>
        <w:trHeight w:val="811"/>
      </w:trPr>
      <w:tc>
        <w:tcPr>
          <w:tcW w:w="10005" w:type="dxa"/>
          <w:vAlign w:val="bottom"/>
        </w:tcPr>
        <w:p w14:paraId="59A2F051" w14:textId="2DD819BF" w:rsidR="00BB532F" w:rsidRPr="00051237" w:rsidRDefault="00BB532F" w:rsidP="00CE58FA">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1074C9">
            <w:rPr>
              <w:noProof/>
              <w:lang w:eastAsia="en-AU"/>
            </w:rPr>
            <w:t>1</w:t>
          </w:r>
          <w:r>
            <w:rPr>
              <w:noProof/>
              <w:lang w:eastAsia="en-AU"/>
            </w:rPr>
            <w:fldChar w:fldCharType="end"/>
          </w:r>
        </w:p>
      </w:tc>
      <w:tc>
        <w:tcPr>
          <w:tcW w:w="875" w:type="dxa"/>
        </w:tcPr>
        <w:p w14:paraId="5AEA3069" w14:textId="7CCD6532" w:rsidR="00BB532F" w:rsidRDefault="00BB532F" w:rsidP="00CE58FA">
          <w:pPr>
            <w:pStyle w:val="Footer"/>
            <w:jc w:val="right"/>
          </w:pPr>
        </w:p>
      </w:tc>
    </w:tr>
  </w:tbl>
  <w:p w14:paraId="4C66AAAC"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45373" w14:textId="77777777" w:rsidR="00A30A11" w:rsidRDefault="00A30A11" w:rsidP="00BB532F">
      <w:pPr>
        <w:spacing w:after="0" w:line="240" w:lineRule="auto"/>
      </w:pPr>
      <w:r>
        <w:separator/>
      </w:r>
    </w:p>
  </w:footnote>
  <w:footnote w:type="continuationSeparator" w:id="0">
    <w:p w14:paraId="607A5DE1" w14:textId="77777777" w:rsidR="00A30A11" w:rsidRDefault="00A30A11" w:rsidP="00BB532F">
      <w:pPr>
        <w:spacing w:after="0" w:line="240" w:lineRule="auto"/>
      </w:pPr>
      <w:r>
        <w:continuationSeparator/>
      </w:r>
    </w:p>
  </w:footnote>
  <w:footnote w:type="continuationNotice" w:id="1">
    <w:p w14:paraId="619CCB6A" w14:textId="77777777" w:rsidR="00A30A11" w:rsidRDefault="00A30A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2E065DF3" w14:textId="77777777" w:rsidTr="1B510F3E">
      <w:trPr>
        <w:trHeight w:val="813"/>
      </w:trPr>
      <w:tc>
        <w:tcPr>
          <w:tcW w:w="7082" w:type="dxa"/>
        </w:tcPr>
        <w:p w14:paraId="490BB3D1" w14:textId="78599940" w:rsidR="007E2FB7" w:rsidRDefault="007E2FB7" w:rsidP="001C2248">
          <w:pPr>
            <w:pStyle w:val="TitleSub"/>
            <w:spacing w:after="0"/>
            <w:rPr>
              <w:rFonts w:ascii="Arial" w:hAnsi="Arial" w:cs="Arial"/>
            </w:rPr>
          </w:pPr>
          <w:r w:rsidRPr="001E49B2">
            <w:rPr>
              <w:rFonts w:ascii="Arial" w:hAnsi="Arial" w:cs="Arial"/>
            </w:rPr>
            <w:t>Role Description</w:t>
          </w:r>
        </w:p>
        <w:p w14:paraId="60FE2C78" w14:textId="7B5C8E22" w:rsidR="00935EE2" w:rsidRPr="00935EE2" w:rsidRDefault="1B510F3E" w:rsidP="1B510F3E">
          <w:pPr>
            <w:pStyle w:val="TitleSub"/>
            <w:spacing w:after="0"/>
            <w:rPr>
              <w:rFonts w:ascii="Arial" w:hAnsi="Arial" w:cs="Arial"/>
              <w:b/>
              <w:bCs/>
            </w:rPr>
          </w:pPr>
          <w:r w:rsidRPr="1B510F3E">
            <w:rPr>
              <w:rFonts w:ascii="Arial" w:hAnsi="Arial" w:cs="Arial"/>
              <w:b/>
              <w:bCs/>
            </w:rPr>
            <w:t xml:space="preserve">Senior </w:t>
          </w:r>
          <w:r w:rsidR="0004134A">
            <w:rPr>
              <w:rFonts w:ascii="Arial" w:hAnsi="Arial" w:cs="Arial"/>
              <w:b/>
              <w:bCs/>
            </w:rPr>
            <w:t>Governance &amp; Compliance</w:t>
          </w:r>
          <w:r w:rsidRPr="1B510F3E">
            <w:rPr>
              <w:rFonts w:ascii="Arial" w:hAnsi="Arial" w:cs="Arial"/>
              <w:b/>
              <w:bCs/>
            </w:rPr>
            <w:t xml:space="preserve"> </w:t>
          </w:r>
          <w:r w:rsidR="0004134A">
            <w:rPr>
              <w:rFonts w:ascii="Arial" w:hAnsi="Arial" w:cs="Arial"/>
              <w:b/>
              <w:bCs/>
            </w:rPr>
            <w:t>Officer</w:t>
          </w:r>
        </w:p>
      </w:tc>
      <w:tc>
        <w:tcPr>
          <w:tcW w:w="3688" w:type="dxa"/>
        </w:tcPr>
        <w:p w14:paraId="11FCE5BE" w14:textId="08B0AC44" w:rsidR="000477E1" w:rsidRPr="000477E1" w:rsidRDefault="00826FB2" w:rsidP="00030565">
          <w:pPr>
            <w:jc w:val="right"/>
          </w:pPr>
          <w:r w:rsidRPr="00FC735A">
            <w:rPr>
              <w:b/>
              <w:bCs/>
              <w:noProof/>
            </w:rPr>
            <w:drawing>
              <wp:anchor distT="0" distB="0" distL="114300" distR="114300" simplePos="0" relativeHeight="251659264" behindDoc="1" locked="0" layoutInCell="1" allowOverlap="1" wp14:anchorId="56BE0A63" wp14:editId="77CE3EDD">
                <wp:simplePos x="0" y="0"/>
                <wp:positionH relativeFrom="margin">
                  <wp:posOffset>367030</wp:posOffset>
                </wp:positionH>
                <wp:positionV relativeFrom="margin">
                  <wp:posOffset>98425</wp:posOffset>
                </wp:positionV>
                <wp:extent cx="1838325" cy="590550"/>
                <wp:effectExtent l="0" t="0" r="9525" b="0"/>
                <wp:wrapTight wrapText="bothSides">
                  <wp:wrapPolygon edited="0">
                    <wp:start x="1567" y="0"/>
                    <wp:lineTo x="0" y="2090"/>
                    <wp:lineTo x="0" y="20903"/>
                    <wp:lineTo x="6491" y="20903"/>
                    <wp:lineTo x="21488" y="13935"/>
                    <wp:lineTo x="21488" y="6271"/>
                    <wp:lineTo x="4701" y="0"/>
                    <wp:lineTo x="1567" y="0"/>
                  </wp:wrapPolygon>
                </wp:wrapTight>
                <wp:docPr id="1206139413" name="Picture 1206139413"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139413" name="Picture 1206139413" descr="A blue and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90550"/>
                        </a:xfrm>
                        <a:prstGeom prst="rect">
                          <a:avLst/>
                        </a:prstGeom>
                        <a:noFill/>
                        <a:ln>
                          <a:noFill/>
                        </a:ln>
                      </pic:spPr>
                    </pic:pic>
                  </a:graphicData>
                </a:graphic>
              </wp:anchor>
            </w:drawing>
          </w:r>
        </w:p>
      </w:tc>
    </w:tr>
  </w:tbl>
  <w:p w14:paraId="454F0865" w14:textId="254F4E29"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8461F0"/>
    <w:multiLevelType w:val="hybridMultilevel"/>
    <w:tmpl w:val="95542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F26367"/>
    <w:multiLevelType w:val="hybridMultilevel"/>
    <w:tmpl w:val="6E40235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985970"/>
    <w:multiLevelType w:val="hybridMultilevel"/>
    <w:tmpl w:val="A4862784"/>
    <w:lvl w:ilvl="0" w:tplc="FFFFFFFF">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91946001">
    <w:abstractNumId w:val="0"/>
  </w:num>
  <w:num w:numId="2" w16cid:durableId="1053506582">
    <w:abstractNumId w:val="3"/>
  </w:num>
  <w:num w:numId="3" w16cid:durableId="809130796">
    <w:abstractNumId w:val="4"/>
  </w:num>
  <w:num w:numId="4" w16cid:durableId="1068918947">
    <w:abstractNumId w:val="1"/>
  </w:num>
  <w:num w:numId="5" w16cid:durableId="192637692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062A1"/>
    <w:rsid w:val="0001016C"/>
    <w:rsid w:val="0001706E"/>
    <w:rsid w:val="00020023"/>
    <w:rsid w:val="00022223"/>
    <w:rsid w:val="00024E73"/>
    <w:rsid w:val="00026543"/>
    <w:rsid w:val="00027E23"/>
    <w:rsid w:val="00030565"/>
    <w:rsid w:val="0003263C"/>
    <w:rsid w:val="00035639"/>
    <w:rsid w:val="0003564E"/>
    <w:rsid w:val="00037FD5"/>
    <w:rsid w:val="000411F6"/>
    <w:rsid w:val="0004134A"/>
    <w:rsid w:val="000477E1"/>
    <w:rsid w:val="0005321E"/>
    <w:rsid w:val="00060B58"/>
    <w:rsid w:val="0006402F"/>
    <w:rsid w:val="000645C8"/>
    <w:rsid w:val="00067161"/>
    <w:rsid w:val="00071332"/>
    <w:rsid w:val="0007419E"/>
    <w:rsid w:val="0008408E"/>
    <w:rsid w:val="000A2621"/>
    <w:rsid w:val="000C00E5"/>
    <w:rsid w:val="000C3CC8"/>
    <w:rsid w:val="000D12B3"/>
    <w:rsid w:val="000D799A"/>
    <w:rsid w:val="000F231F"/>
    <w:rsid w:val="000F5A1B"/>
    <w:rsid w:val="00104EC7"/>
    <w:rsid w:val="001074C9"/>
    <w:rsid w:val="00123E52"/>
    <w:rsid w:val="001336E8"/>
    <w:rsid w:val="0013413E"/>
    <w:rsid w:val="00134F5E"/>
    <w:rsid w:val="00153F10"/>
    <w:rsid w:val="00155719"/>
    <w:rsid w:val="00162560"/>
    <w:rsid w:val="00163F17"/>
    <w:rsid w:val="00165754"/>
    <w:rsid w:val="001671DC"/>
    <w:rsid w:val="00172DFE"/>
    <w:rsid w:val="0017423D"/>
    <w:rsid w:val="0018091E"/>
    <w:rsid w:val="001815E8"/>
    <w:rsid w:val="0018171D"/>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3956"/>
    <w:rsid w:val="001F4B2B"/>
    <w:rsid w:val="00201E8B"/>
    <w:rsid w:val="00205A8A"/>
    <w:rsid w:val="00211F68"/>
    <w:rsid w:val="00230B8E"/>
    <w:rsid w:val="00234800"/>
    <w:rsid w:val="00237421"/>
    <w:rsid w:val="00240948"/>
    <w:rsid w:val="00240A8E"/>
    <w:rsid w:val="00241A31"/>
    <w:rsid w:val="002456A7"/>
    <w:rsid w:val="00263ACB"/>
    <w:rsid w:val="00266912"/>
    <w:rsid w:val="00273DD2"/>
    <w:rsid w:val="002802B4"/>
    <w:rsid w:val="00280887"/>
    <w:rsid w:val="0028178F"/>
    <w:rsid w:val="0028314F"/>
    <w:rsid w:val="00287C54"/>
    <w:rsid w:val="002A648F"/>
    <w:rsid w:val="002B0B83"/>
    <w:rsid w:val="002B1F76"/>
    <w:rsid w:val="002B5704"/>
    <w:rsid w:val="002C2823"/>
    <w:rsid w:val="002C616A"/>
    <w:rsid w:val="002D336D"/>
    <w:rsid w:val="002D36BB"/>
    <w:rsid w:val="00300C40"/>
    <w:rsid w:val="00301747"/>
    <w:rsid w:val="0032275B"/>
    <w:rsid w:val="00325E9D"/>
    <w:rsid w:val="00327F5C"/>
    <w:rsid w:val="00336011"/>
    <w:rsid w:val="003406BB"/>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1A9"/>
    <w:rsid w:val="003A2AFA"/>
    <w:rsid w:val="003A3538"/>
    <w:rsid w:val="003B0F42"/>
    <w:rsid w:val="003B403A"/>
    <w:rsid w:val="003C00FD"/>
    <w:rsid w:val="003C031F"/>
    <w:rsid w:val="003C2846"/>
    <w:rsid w:val="003C5EB3"/>
    <w:rsid w:val="003D2CC3"/>
    <w:rsid w:val="003D5227"/>
    <w:rsid w:val="003E2663"/>
    <w:rsid w:val="00401766"/>
    <w:rsid w:val="00411F3E"/>
    <w:rsid w:val="00413BA4"/>
    <w:rsid w:val="00413DBD"/>
    <w:rsid w:val="0041525E"/>
    <w:rsid w:val="00416D58"/>
    <w:rsid w:val="004203B4"/>
    <w:rsid w:val="00424CB4"/>
    <w:rsid w:val="00436621"/>
    <w:rsid w:val="00442732"/>
    <w:rsid w:val="00443BCB"/>
    <w:rsid w:val="0045299A"/>
    <w:rsid w:val="00466287"/>
    <w:rsid w:val="0047547E"/>
    <w:rsid w:val="00477EB1"/>
    <w:rsid w:val="00492AA6"/>
    <w:rsid w:val="004951A1"/>
    <w:rsid w:val="00497EC1"/>
    <w:rsid w:val="004B4214"/>
    <w:rsid w:val="004B7247"/>
    <w:rsid w:val="004C45E2"/>
    <w:rsid w:val="004D0C22"/>
    <w:rsid w:val="004D15E4"/>
    <w:rsid w:val="004D20F2"/>
    <w:rsid w:val="004D27C8"/>
    <w:rsid w:val="004D68A6"/>
    <w:rsid w:val="004E44A5"/>
    <w:rsid w:val="004E474E"/>
    <w:rsid w:val="004E7F32"/>
    <w:rsid w:val="00502DBF"/>
    <w:rsid w:val="00506B3A"/>
    <w:rsid w:val="005163E0"/>
    <w:rsid w:val="00521D19"/>
    <w:rsid w:val="00523CFF"/>
    <w:rsid w:val="00525B4A"/>
    <w:rsid w:val="00527FCF"/>
    <w:rsid w:val="005307BA"/>
    <w:rsid w:val="00531594"/>
    <w:rsid w:val="00536052"/>
    <w:rsid w:val="00545AC6"/>
    <w:rsid w:val="00551038"/>
    <w:rsid w:val="0055774E"/>
    <w:rsid w:val="00580B7B"/>
    <w:rsid w:val="0059035B"/>
    <w:rsid w:val="005A397B"/>
    <w:rsid w:val="005B10E1"/>
    <w:rsid w:val="005B5053"/>
    <w:rsid w:val="005C2B7C"/>
    <w:rsid w:val="005C7AF5"/>
    <w:rsid w:val="005D4AF1"/>
    <w:rsid w:val="005D71EA"/>
    <w:rsid w:val="005E6C59"/>
    <w:rsid w:val="005E75FC"/>
    <w:rsid w:val="005F0A33"/>
    <w:rsid w:val="005F0BB2"/>
    <w:rsid w:val="005F4B69"/>
    <w:rsid w:val="005F5FD1"/>
    <w:rsid w:val="005F7EE8"/>
    <w:rsid w:val="00600C7E"/>
    <w:rsid w:val="006022B4"/>
    <w:rsid w:val="00603D53"/>
    <w:rsid w:val="00612673"/>
    <w:rsid w:val="00612AFA"/>
    <w:rsid w:val="00614552"/>
    <w:rsid w:val="006202C6"/>
    <w:rsid w:val="00621D45"/>
    <w:rsid w:val="00623950"/>
    <w:rsid w:val="00626492"/>
    <w:rsid w:val="0063544E"/>
    <w:rsid w:val="00640189"/>
    <w:rsid w:val="00643370"/>
    <w:rsid w:val="00647C88"/>
    <w:rsid w:val="006538BF"/>
    <w:rsid w:val="00674D4C"/>
    <w:rsid w:val="00683870"/>
    <w:rsid w:val="006945E9"/>
    <w:rsid w:val="00695EAB"/>
    <w:rsid w:val="006A17AD"/>
    <w:rsid w:val="006A2280"/>
    <w:rsid w:val="006A2A7F"/>
    <w:rsid w:val="006B723B"/>
    <w:rsid w:val="006C0C48"/>
    <w:rsid w:val="006C2473"/>
    <w:rsid w:val="006C4218"/>
    <w:rsid w:val="006C4882"/>
    <w:rsid w:val="006C7A8A"/>
    <w:rsid w:val="006D1FBC"/>
    <w:rsid w:val="006E28E7"/>
    <w:rsid w:val="006F6652"/>
    <w:rsid w:val="006F7124"/>
    <w:rsid w:val="006F7FA4"/>
    <w:rsid w:val="00700844"/>
    <w:rsid w:val="00701F8B"/>
    <w:rsid w:val="007041EA"/>
    <w:rsid w:val="007249EC"/>
    <w:rsid w:val="0073071C"/>
    <w:rsid w:val="00735B28"/>
    <w:rsid w:val="00735E89"/>
    <w:rsid w:val="00742966"/>
    <w:rsid w:val="00743D48"/>
    <w:rsid w:val="00744936"/>
    <w:rsid w:val="0074615B"/>
    <w:rsid w:val="00753EEE"/>
    <w:rsid w:val="00767553"/>
    <w:rsid w:val="00771E0D"/>
    <w:rsid w:val="00772EC9"/>
    <w:rsid w:val="007736B4"/>
    <w:rsid w:val="00773975"/>
    <w:rsid w:val="00775A88"/>
    <w:rsid w:val="00776DCB"/>
    <w:rsid w:val="0077707B"/>
    <w:rsid w:val="00780299"/>
    <w:rsid w:val="007862DE"/>
    <w:rsid w:val="00786A0F"/>
    <w:rsid w:val="0079076A"/>
    <w:rsid w:val="00792A3E"/>
    <w:rsid w:val="00794CC1"/>
    <w:rsid w:val="00794E0E"/>
    <w:rsid w:val="00795244"/>
    <w:rsid w:val="007A7990"/>
    <w:rsid w:val="007B32AB"/>
    <w:rsid w:val="007B7C1F"/>
    <w:rsid w:val="007C0486"/>
    <w:rsid w:val="007C21C8"/>
    <w:rsid w:val="007D0E2E"/>
    <w:rsid w:val="007D4E58"/>
    <w:rsid w:val="007E2FB7"/>
    <w:rsid w:val="007E77DC"/>
    <w:rsid w:val="007F28BF"/>
    <w:rsid w:val="00801E41"/>
    <w:rsid w:val="00802296"/>
    <w:rsid w:val="008044BB"/>
    <w:rsid w:val="00805561"/>
    <w:rsid w:val="00806FE1"/>
    <w:rsid w:val="00807ED1"/>
    <w:rsid w:val="0081544C"/>
    <w:rsid w:val="00817B11"/>
    <w:rsid w:val="008203EE"/>
    <w:rsid w:val="008267A0"/>
    <w:rsid w:val="00826FB2"/>
    <w:rsid w:val="008308A7"/>
    <w:rsid w:val="0083547C"/>
    <w:rsid w:val="00836371"/>
    <w:rsid w:val="00843197"/>
    <w:rsid w:val="008476E6"/>
    <w:rsid w:val="00852B31"/>
    <w:rsid w:val="0085706D"/>
    <w:rsid w:val="00860904"/>
    <w:rsid w:val="00861804"/>
    <w:rsid w:val="00872276"/>
    <w:rsid w:val="008909E7"/>
    <w:rsid w:val="00894A73"/>
    <w:rsid w:val="00895190"/>
    <w:rsid w:val="008A0EBB"/>
    <w:rsid w:val="008A13AC"/>
    <w:rsid w:val="008B2BE2"/>
    <w:rsid w:val="008B74C1"/>
    <w:rsid w:val="008C0B4D"/>
    <w:rsid w:val="008C37C8"/>
    <w:rsid w:val="008D15CB"/>
    <w:rsid w:val="008D7673"/>
    <w:rsid w:val="008D7766"/>
    <w:rsid w:val="008E08E3"/>
    <w:rsid w:val="008F133F"/>
    <w:rsid w:val="008F23E9"/>
    <w:rsid w:val="00902EC0"/>
    <w:rsid w:val="00905A9B"/>
    <w:rsid w:val="009077E2"/>
    <w:rsid w:val="00910F45"/>
    <w:rsid w:val="00911725"/>
    <w:rsid w:val="00917E5E"/>
    <w:rsid w:val="00926AD1"/>
    <w:rsid w:val="0093367B"/>
    <w:rsid w:val="009351E9"/>
    <w:rsid w:val="00935EE2"/>
    <w:rsid w:val="00940C04"/>
    <w:rsid w:val="009478AB"/>
    <w:rsid w:val="009523EC"/>
    <w:rsid w:val="00956E94"/>
    <w:rsid w:val="00957666"/>
    <w:rsid w:val="00963288"/>
    <w:rsid w:val="00964A6C"/>
    <w:rsid w:val="00970179"/>
    <w:rsid w:val="009715D9"/>
    <w:rsid w:val="00977B49"/>
    <w:rsid w:val="00977E40"/>
    <w:rsid w:val="00981D06"/>
    <w:rsid w:val="00982D33"/>
    <w:rsid w:val="00985984"/>
    <w:rsid w:val="009910BC"/>
    <w:rsid w:val="00994DCE"/>
    <w:rsid w:val="0099587E"/>
    <w:rsid w:val="009979FA"/>
    <w:rsid w:val="009B2D8C"/>
    <w:rsid w:val="009B3103"/>
    <w:rsid w:val="009C1003"/>
    <w:rsid w:val="009C12FA"/>
    <w:rsid w:val="009C7F7A"/>
    <w:rsid w:val="009D16D4"/>
    <w:rsid w:val="009D529A"/>
    <w:rsid w:val="009D72FE"/>
    <w:rsid w:val="009D747B"/>
    <w:rsid w:val="009E1AED"/>
    <w:rsid w:val="009F61B1"/>
    <w:rsid w:val="00A0032E"/>
    <w:rsid w:val="00A00C30"/>
    <w:rsid w:val="00A02AEF"/>
    <w:rsid w:val="00A14A03"/>
    <w:rsid w:val="00A17D1B"/>
    <w:rsid w:val="00A2122C"/>
    <w:rsid w:val="00A24264"/>
    <w:rsid w:val="00A30A11"/>
    <w:rsid w:val="00A32CD7"/>
    <w:rsid w:val="00A40DED"/>
    <w:rsid w:val="00A41E4E"/>
    <w:rsid w:val="00A4412E"/>
    <w:rsid w:val="00A47353"/>
    <w:rsid w:val="00A6539E"/>
    <w:rsid w:val="00A6675F"/>
    <w:rsid w:val="00A707E0"/>
    <w:rsid w:val="00A738F0"/>
    <w:rsid w:val="00A73C38"/>
    <w:rsid w:val="00A77B0C"/>
    <w:rsid w:val="00A83932"/>
    <w:rsid w:val="00A844A1"/>
    <w:rsid w:val="00A85305"/>
    <w:rsid w:val="00A8686E"/>
    <w:rsid w:val="00A8732A"/>
    <w:rsid w:val="00A91173"/>
    <w:rsid w:val="00A970A2"/>
    <w:rsid w:val="00AA293C"/>
    <w:rsid w:val="00AA34F3"/>
    <w:rsid w:val="00AB120A"/>
    <w:rsid w:val="00AB2811"/>
    <w:rsid w:val="00AB50E4"/>
    <w:rsid w:val="00AC04D7"/>
    <w:rsid w:val="00AC1AF9"/>
    <w:rsid w:val="00AC742D"/>
    <w:rsid w:val="00AC7DC9"/>
    <w:rsid w:val="00AD12C5"/>
    <w:rsid w:val="00AE14D7"/>
    <w:rsid w:val="00AE1A74"/>
    <w:rsid w:val="00AE75C5"/>
    <w:rsid w:val="00AF01AC"/>
    <w:rsid w:val="00AF3FE7"/>
    <w:rsid w:val="00AF7D0C"/>
    <w:rsid w:val="00B0574B"/>
    <w:rsid w:val="00B1077B"/>
    <w:rsid w:val="00B10AB7"/>
    <w:rsid w:val="00B2037F"/>
    <w:rsid w:val="00B262BC"/>
    <w:rsid w:val="00B32691"/>
    <w:rsid w:val="00B407F6"/>
    <w:rsid w:val="00B635E3"/>
    <w:rsid w:val="00B72B4F"/>
    <w:rsid w:val="00B77D30"/>
    <w:rsid w:val="00B83462"/>
    <w:rsid w:val="00B835C0"/>
    <w:rsid w:val="00B876AF"/>
    <w:rsid w:val="00B9055C"/>
    <w:rsid w:val="00BA4E7D"/>
    <w:rsid w:val="00BA759E"/>
    <w:rsid w:val="00BB12E9"/>
    <w:rsid w:val="00BB532F"/>
    <w:rsid w:val="00BC162D"/>
    <w:rsid w:val="00BC2FE4"/>
    <w:rsid w:val="00BD4DDA"/>
    <w:rsid w:val="00BD537E"/>
    <w:rsid w:val="00BE0442"/>
    <w:rsid w:val="00BE4EAE"/>
    <w:rsid w:val="00BE50C9"/>
    <w:rsid w:val="00BE6E24"/>
    <w:rsid w:val="00BF452D"/>
    <w:rsid w:val="00BF5DDE"/>
    <w:rsid w:val="00C01CED"/>
    <w:rsid w:val="00C03AFD"/>
    <w:rsid w:val="00C20002"/>
    <w:rsid w:val="00C23E79"/>
    <w:rsid w:val="00C271F9"/>
    <w:rsid w:val="00C45039"/>
    <w:rsid w:val="00C470CB"/>
    <w:rsid w:val="00C517B6"/>
    <w:rsid w:val="00C63F0F"/>
    <w:rsid w:val="00C70636"/>
    <w:rsid w:val="00C70842"/>
    <w:rsid w:val="00C740FF"/>
    <w:rsid w:val="00C85683"/>
    <w:rsid w:val="00C8578E"/>
    <w:rsid w:val="00C861F7"/>
    <w:rsid w:val="00CA3DE5"/>
    <w:rsid w:val="00CA76B5"/>
    <w:rsid w:val="00CC76F2"/>
    <w:rsid w:val="00CD323E"/>
    <w:rsid w:val="00CE105E"/>
    <w:rsid w:val="00CE1E5E"/>
    <w:rsid w:val="00CE58FA"/>
    <w:rsid w:val="00CF2A85"/>
    <w:rsid w:val="00D312DA"/>
    <w:rsid w:val="00D340F6"/>
    <w:rsid w:val="00D3489A"/>
    <w:rsid w:val="00D351CC"/>
    <w:rsid w:val="00D400EC"/>
    <w:rsid w:val="00D55E55"/>
    <w:rsid w:val="00D6084A"/>
    <w:rsid w:val="00D64165"/>
    <w:rsid w:val="00D663ED"/>
    <w:rsid w:val="00D66BB4"/>
    <w:rsid w:val="00D67A17"/>
    <w:rsid w:val="00D74882"/>
    <w:rsid w:val="00D759EE"/>
    <w:rsid w:val="00D956AA"/>
    <w:rsid w:val="00DA45C4"/>
    <w:rsid w:val="00DA543F"/>
    <w:rsid w:val="00DA68D9"/>
    <w:rsid w:val="00DB7267"/>
    <w:rsid w:val="00DC0173"/>
    <w:rsid w:val="00DC11EA"/>
    <w:rsid w:val="00DC4056"/>
    <w:rsid w:val="00DC6FA6"/>
    <w:rsid w:val="00DD117C"/>
    <w:rsid w:val="00DE2472"/>
    <w:rsid w:val="00DE498C"/>
    <w:rsid w:val="00DE58C6"/>
    <w:rsid w:val="00DE6C80"/>
    <w:rsid w:val="00DF1540"/>
    <w:rsid w:val="00DF2209"/>
    <w:rsid w:val="00DF5EB4"/>
    <w:rsid w:val="00E13726"/>
    <w:rsid w:val="00E14819"/>
    <w:rsid w:val="00E15625"/>
    <w:rsid w:val="00E15E49"/>
    <w:rsid w:val="00E25470"/>
    <w:rsid w:val="00E25A09"/>
    <w:rsid w:val="00E27471"/>
    <w:rsid w:val="00E310E1"/>
    <w:rsid w:val="00E334EE"/>
    <w:rsid w:val="00E44564"/>
    <w:rsid w:val="00E5246D"/>
    <w:rsid w:val="00E55704"/>
    <w:rsid w:val="00E565B9"/>
    <w:rsid w:val="00E72D70"/>
    <w:rsid w:val="00E747B4"/>
    <w:rsid w:val="00E75265"/>
    <w:rsid w:val="00E80A46"/>
    <w:rsid w:val="00E812B1"/>
    <w:rsid w:val="00E82CF4"/>
    <w:rsid w:val="00E83B02"/>
    <w:rsid w:val="00E85FA0"/>
    <w:rsid w:val="00E87997"/>
    <w:rsid w:val="00E95F38"/>
    <w:rsid w:val="00EA4167"/>
    <w:rsid w:val="00EA7A67"/>
    <w:rsid w:val="00EC0B04"/>
    <w:rsid w:val="00EC4A51"/>
    <w:rsid w:val="00EC5C1D"/>
    <w:rsid w:val="00ED176B"/>
    <w:rsid w:val="00ED5CC6"/>
    <w:rsid w:val="00ED7943"/>
    <w:rsid w:val="00EF02DE"/>
    <w:rsid w:val="00EF159C"/>
    <w:rsid w:val="00EF4FE5"/>
    <w:rsid w:val="00F005A0"/>
    <w:rsid w:val="00F0686E"/>
    <w:rsid w:val="00F07C69"/>
    <w:rsid w:val="00F11B61"/>
    <w:rsid w:val="00F15669"/>
    <w:rsid w:val="00F31B35"/>
    <w:rsid w:val="00F339CD"/>
    <w:rsid w:val="00F33A43"/>
    <w:rsid w:val="00F35241"/>
    <w:rsid w:val="00F41650"/>
    <w:rsid w:val="00F47143"/>
    <w:rsid w:val="00F65672"/>
    <w:rsid w:val="00F714D4"/>
    <w:rsid w:val="00F73706"/>
    <w:rsid w:val="00F83D95"/>
    <w:rsid w:val="00F9569D"/>
    <w:rsid w:val="00F966D6"/>
    <w:rsid w:val="00F97844"/>
    <w:rsid w:val="00FA702A"/>
    <w:rsid w:val="00FB101D"/>
    <w:rsid w:val="00FC306C"/>
    <w:rsid w:val="00FC6457"/>
    <w:rsid w:val="00FC6ECA"/>
    <w:rsid w:val="00FD3076"/>
    <w:rsid w:val="00FD46BA"/>
    <w:rsid w:val="00FE1CBC"/>
    <w:rsid w:val="00FE2281"/>
    <w:rsid w:val="00FE2E58"/>
    <w:rsid w:val="00FE5458"/>
    <w:rsid w:val="00FF02CE"/>
    <w:rsid w:val="00FF35CF"/>
    <w:rsid w:val="00FF467A"/>
    <w:rsid w:val="00FF6513"/>
    <w:rsid w:val="01260B2C"/>
    <w:rsid w:val="012B4EE3"/>
    <w:rsid w:val="017D7AD4"/>
    <w:rsid w:val="01B98DD0"/>
    <w:rsid w:val="0445E8DC"/>
    <w:rsid w:val="04DAD89D"/>
    <w:rsid w:val="064B44DC"/>
    <w:rsid w:val="09DB0221"/>
    <w:rsid w:val="0B8DD3ED"/>
    <w:rsid w:val="0D032E74"/>
    <w:rsid w:val="0D488E27"/>
    <w:rsid w:val="0E5673E8"/>
    <w:rsid w:val="103BCEBF"/>
    <w:rsid w:val="10802EE9"/>
    <w:rsid w:val="1094161C"/>
    <w:rsid w:val="118E14AA"/>
    <w:rsid w:val="13027C6C"/>
    <w:rsid w:val="150F3FE2"/>
    <w:rsid w:val="1514A615"/>
    <w:rsid w:val="16CFD75C"/>
    <w:rsid w:val="176260FD"/>
    <w:rsid w:val="182DB847"/>
    <w:rsid w:val="18FE315E"/>
    <w:rsid w:val="194FE276"/>
    <w:rsid w:val="198D051A"/>
    <w:rsid w:val="1A0DE8D2"/>
    <w:rsid w:val="1AB27F41"/>
    <w:rsid w:val="1ACBC081"/>
    <w:rsid w:val="1B510F3E"/>
    <w:rsid w:val="1C35D220"/>
    <w:rsid w:val="1C72DC84"/>
    <w:rsid w:val="1C7E924D"/>
    <w:rsid w:val="1E950ADC"/>
    <w:rsid w:val="1ECA5DA2"/>
    <w:rsid w:val="1EE3B756"/>
    <w:rsid w:val="24070502"/>
    <w:rsid w:val="243A1F3A"/>
    <w:rsid w:val="24639E1A"/>
    <w:rsid w:val="25399F26"/>
    <w:rsid w:val="25AB5582"/>
    <w:rsid w:val="26C754EF"/>
    <w:rsid w:val="27F41600"/>
    <w:rsid w:val="28BE6789"/>
    <w:rsid w:val="2AD36F65"/>
    <w:rsid w:val="2C0FDD62"/>
    <w:rsid w:val="2C998DC3"/>
    <w:rsid w:val="2CAE5F95"/>
    <w:rsid w:val="2D40BDC5"/>
    <w:rsid w:val="2D6308BC"/>
    <w:rsid w:val="2D6C6787"/>
    <w:rsid w:val="2E222546"/>
    <w:rsid w:val="2EE15CC8"/>
    <w:rsid w:val="3142B0E9"/>
    <w:rsid w:val="325CC9A2"/>
    <w:rsid w:val="32DE814A"/>
    <w:rsid w:val="33D00B85"/>
    <w:rsid w:val="3490B417"/>
    <w:rsid w:val="34F53007"/>
    <w:rsid w:val="34FD8F4F"/>
    <w:rsid w:val="3501C199"/>
    <w:rsid w:val="362756ED"/>
    <w:rsid w:val="362C8478"/>
    <w:rsid w:val="36C4D090"/>
    <w:rsid w:val="37AA0893"/>
    <w:rsid w:val="38333423"/>
    <w:rsid w:val="39339AE8"/>
    <w:rsid w:val="396FB3D4"/>
    <w:rsid w:val="39739DC6"/>
    <w:rsid w:val="3985BF69"/>
    <w:rsid w:val="3C829D9F"/>
    <w:rsid w:val="3CAF03A9"/>
    <w:rsid w:val="3D44D2F3"/>
    <w:rsid w:val="3D4999FE"/>
    <w:rsid w:val="3EA0FF8B"/>
    <w:rsid w:val="3FD13FCC"/>
    <w:rsid w:val="4076E286"/>
    <w:rsid w:val="40B920AD"/>
    <w:rsid w:val="40EA70FD"/>
    <w:rsid w:val="411737C3"/>
    <w:rsid w:val="41383733"/>
    <w:rsid w:val="41E9E4D3"/>
    <w:rsid w:val="43AA067F"/>
    <w:rsid w:val="44C39AC8"/>
    <w:rsid w:val="44DCC325"/>
    <w:rsid w:val="46BD55F6"/>
    <w:rsid w:val="4B46C37F"/>
    <w:rsid w:val="4BA5CCDC"/>
    <w:rsid w:val="4BCF7AF5"/>
    <w:rsid w:val="4C4651B3"/>
    <w:rsid w:val="4D928ED4"/>
    <w:rsid w:val="501A34A2"/>
    <w:rsid w:val="525DCE8D"/>
    <w:rsid w:val="526BE18D"/>
    <w:rsid w:val="52896E56"/>
    <w:rsid w:val="53090276"/>
    <w:rsid w:val="53D69C35"/>
    <w:rsid w:val="53FE03F0"/>
    <w:rsid w:val="561831C2"/>
    <w:rsid w:val="5932FCA3"/>
    <w:rsid w:val="5A2131B6"/>
    <w:rsid w:val="5B13E338"/>
    <w:rsid w:val="5B2E4005"/>
    <w:rsid w:val="5BAA353A"/>
    <w:rsid w:val="5C50AA3C"/>
    <w:rsid w:val="5CAFB399"/>
    <w:rsid w:val="5E66E050"/>
    <w:rsid w:val="5ECD50CE"/>
    <w:rsid w:val="5F3F7810"/>
    <w:rsid w:val="5FDEA08F"/>
    <w:rsid w:val="6305CCC0"/>
    <w:rsid w:val="63D2E4A0"/>
    <w:rsid w:val="647769D0"/>
    <w:rsid w:val="648AE4B2"/>
    <w:rsid w:val="65CA7CF2"/>
    <w:rsid w:val="65DE6425"/>
    <w:rsid w:val="666B1D8D"/>
    <w:rsid w:val="66D76842"/>
    <w:rsid w:val="66DDF259"/>
    <w:rsid w:val="6764B59F"/>
    <w:rsid w:val="68CD31F9"/>
    <w:rsid w:val="6954579E"/>
    <w:rsid w:val="6996554A"/>
    <w:rsid w:val="6A8BF564"/>
    <w:rsid w:val="6B565F22"/>
    <w:rsid w:val="6CACAF06"/>
    <w:rsid w:val="6DB28C17"/>
    <w:rsid w:val="6EBB7FEF"/>
    <w:rsid w:val="6F5A62E5"/>
    <w:rsid w:val="709B6E9F"/>
    <w:rsid w:val="70F63346"/>
    <w:rsid w:val="72AF79B4"/>
    <w:rsid w:val="7414ABAB"/>
    <w:rsid w:val="745CF00E"/>
    <w:rsid w:val="75D933E9"/>
    <w:rsid w:val="764C08B5"/>
    <w:rsid w:val="768DF0DA"/>
    <w:rsid w:val="77C458D4"/>
    <w:rsid w:val="79AE7BEA"/>
    <w:rsid w:val="7DE85485"/>
    <w:rsid w:val="7F126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D0A69E"/>
  <w15:docId w15:val="{867431EA-E051-4F0A-8A36-F5F258AC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character" w:customStyle="1" w:styleId="UnresolvedMention1">
    <w:name w:val="Unresolved Mention1"/>
    <w:basedOn w:val="DefaultParagraphFont"/>
    <w:uiPriority w:val="99"/>
    <w:semiHidden/>
    <w:unhideWhenUsed/>
    <w:rsid w:val="00743D48"/>
    <w:rPr>
      <w:color w:val="808080"/>
      <w:shd w:val="clear" w:color="auto" w:fill="E6E6E6"/>
    </w:rPr>
  </w:style>
  <w:style w:type="character" w:customStyle="1" w:styleId="normaltextrun1">
    <w:name w:val="normaltextrun1"/>
    <w:basedOn w:val="DefaultParagraphFont"/>
    <w:rsid w:val="00424CB4"/>
  </w:style>
  <w:style w:type="character" w:customStyle="1" w:styleId="eop">
    <w:name w:val="eop"/>
    <w:basedOn w:val="DefaultParagraphFont"/>
    <w:rsid w:val="00424CB4"/>
  </w:style>
  <w:style w:type="paragraph" w:styleId="CommentSubject">
    <w:name w:val="annotation subject"/>
    <w:basedOn w:val="CommentText"/>
    <w:next w:val="CommentText"/>
    <w:link w:val="CommentSubjectChar"/>
    <w:uiPriority w:val="99"/>
    <w:semiHidden/>
    <w:unhideWhenUsed/>
    <w:rsid w:val="00E15E49"/>
    <w:rPr>
      <w:b/>
      <w:bCs/>
    </w:rPr>
  </w:style>
  <w:style w:type="character" w:customStyle="1" w:styleId="CommentSubjectChar">
    <w:name w:val="Comment Subject Char"/>
    <w:basedOn w:val="CommentTextChar"/>
    <w:link w:val="CommentSubject"/>
    <w:uiPriority w:val="99"/>
    <w:semiHidden/>
    <w:rsid w:val="00E15E49"/>
    <w:rPr>
      <w:b/>
      <w:bCs/>
      <w:sz w:val="20"/>
      <w:szCs w:val="20"/>
    </w:rPr>
  </w:style>
  <w:style w:type="paragraph" w:styleId="Revision">
    <w:name w:val="Revision"/>
    <w:hidden/>
    <w:uiPriority w:val="99"/>
    <w:semiHidden/>
    <w:rsid w:val="00413BA4"/>
    <w:pPr>
      <w:spacing w:after="0" w:line="240" w:lineRule="auto"/>
    </w:pPr>
  </w:style>
  <w:style w:type="character" w:customStyle="1" w:styleId="normaltextrun">
    <w:name w:val="normaltextrun"/>
    <w:basedOn w:val="DefaultParagraphFont"/>
    <w:rsid w:val="1B510F3E"/>
    <w:rPr>
      <w:rFonts w:ascii="Arial" w:eastAsiaTheme="minorEastAsia" w:hAnsi="Arial" w:cstheme="minorBidi"/>
      <w:sz w:val="22"/>
      <w:szCs w:val="22"/>
    </w:rPr>
  </w:style>
  <w:style w:type="paragraph" w:customStyle="1" w:styleId="paragraph">
    <w:name w:val="paragraph"/>
    <w:basedOn w:val="Normal"/>
    <w:rsid w:val="008D7673"/>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633603345">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b9c8c1-a3f8-48df-abd6-a25523cdf4f2">
      <Terms xmlns="http://schemas.microsoft.com/office/infopath/2007/PartnerControls"/>
    </lcf76f155ced4ddcb4097134ff3c332f>
    <_ip_UnifiedCompliancePolicyUIAction xmlns="http://schemas.microsoft.com/sharepoint/v3" xsi:nil="true"/>
    <_x0031_ xmlns="2cb9c8c1-a3f8-48df-abd6-a25523cdf4f2" xsi:nil="true"/>
    <_ip_UnifiedCompliancePolicyProperties xmlns="http://schemas.microsoft.com/sharepoint/v3" xsi:nil="true"/>
    <_Flow_SignoffStatus xmlns="2cb9c8c1-a3f8-48df-abd6-a25523cdf4f2" xsi:nil="true"/>
    <TaxCatchAll xmlns="558aa24c-d1f1-4f00-9011-17f3627ae0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B762905649934387B61C574319875B" ma:contentTypeVersion="21" ma:contentTypeDescription="Create a new document." ma:contentTypeScope="" ma:versionID="3cdac3ef8708bf434a618f7597883e81">
  <xsd:schema xmlns:xsd="http://www.w3.org/2001/XMLSchema" xmlns:xs="http://www.w3.org/2001/XMLSchema" xmlns:p="http://schemas.microsoft.com/office/2006/metadata/properties" xmlns:ns1="http://schemas.microsoft.com/sharepoint/v3" xmlns:ns2="2cb9c8c1-a3f8-48df-abd6-a25523cdf4f2" xmlns:ns3="558aa24c-d1f1-4f00-9011-17f3627ae038" targetNamespace="http://schemas.microsoft.com/office/2006/metadata/properties" ma:root="true" ma:fieldsID="63b288e062b65cdf71c782e4e21dade3" ns1:_="" ns2:_="" ns3:_="">
    <xsd:import namespace="http://schemas.microsoft.com/sharepoint/v3"/>
    <xsd:import namespace="2cb9c8c1-a3f8-48df-abd6-a25523cdf4f2"/>
    <xsd:import namespace="558aa24c-d1f1-4f00-9011-17f3627ae0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_x0031_" minOccurs="0"/>
                <xsd:element ref="ns2:MediaServiceObjectDetectorVersions" minOccurs="0"/>
                <xsd:element ref="ns1:_ip_UnifiedCompliancePolicyProperties" minOccurs="0"/>
                <xsd:element ref="ns1:_ip_UnifiedCompliancePolicyUIAction"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9c8c1-a3f8-48df-abd6-a25523cdf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x0031_" ma:index="23" nillable="true" ma:displayName="1" ma:format="Dropdown" ma:internalName="_x0031_" ma:percentage="FALSE">
      <xsd:simpleType>
        <xsd:restriction base="dms:Number"/>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aa24c-d1f1-4f00-9011-17f3627ae0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e12abd6-6316-4232-8047-9c9e0d1b53b3}" ma:internalName="TaxCatchAll" ma:showField="CatchAllData" ma:web="558aa24c-d1f1-4f00-9011-17f3627ae0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29554A-544B-48A1-875C-F672272CD5CE}">
  <ds:schemaRefs>
    <ds:schemaRef ds:uri="http://schemas.openxmlformats.org/officeDocument/2006/bibliography"/>
  </ds:schemaRefs>
</ds:datastoreItem>
</file>

<file path=customXml/itemProps2.xml><?xml version="1.0" encoding="utf-8"?>
<ds:datastoreItem xmlns:ds="http://schemas.openxmlformats.org/officeDocument/2006/customXml" ds:itemID="{2173B7BF-0CFC-4328-801D-1CC632A543E5}">
  <ds:schemaRefs>
    <ds:schemaRef ds:uri="http://schemas.microsoft.com/office/2006/metadata/properties"/>
    <ds:schemaRef ds:uri="http://schemas.microsoft.com/office/infopath/2007/PartnerControls"/>
    <ds:schemaRef ds:uri="931bca31-6011-450a-b8d2-d91767a2a3aa"/>
  </ds:schemaRefs>
</ds:datastoreItem>
</file>

<file path=customXml/itemProps3.xml><?xml version="1.0" encoding="utf-8"?>
<ds:datastoreItem xmlns:ds="http://schemas.openxmlformats.org/officeDocument/2006/customXml" ds:itemID="{C16F3ADE-1E6A-4306-B5B6-6C740930FA13}"/>
</file>

<file path=customXml/itemProps4.xml><?xml version="1.0" encoding="utf-8"?>
<ds:datastoreItem xmlns:ds="http://schemas.openxmlformats.org/officeDocument/2006/customXml" ds:itemID="{0D34362D-AFC9-4D37-962F-66CBE5B820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0</TotalTime>
  <Pages>7</Pages>
  <Words>2051</Words>
  <Characters>11695</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Anbarasu Palanisamy</dc:creator>
  <cp:keywords/>
  <cp:lastModifiedBy>Rachel White</cp:lastModifiedBy>
  <cp:revision>2</cp:revision>
  <cp:lastPrinted>2024-05-30T04:59:00Z</cp:lastPrinted>
  <dcterms:created xsi:type="dcterms:W3CDTF">2024-10-22T01:47:00Z</dcterms:created>
  <dcterms:modified xsi:type="dcterms:W3CDTF">2024-10-22T01:47:00Z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0x010100C5B762905649934387B61C574319875B</vt:lpwstr>
  </property>
  <property fmtid="{D5CDD505-2E9C-101B-9397-08002B2CF9AE}" pid="3" name="MediaServiceImageTags">
    <vt:lpwstr/>
  </property>
</Properties>
</file>