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773" w:type="dxa"/>
        <w:tblLook w:val="04A0" w:firstRow="1" w:lastRow="0" w:firstColumn="1" w:lastColumn="0" w:noHBand="0" w:noVBand="1"/>
        <w:tblCaption w:val="PSC_Role_InformationTable"/>
        <w:tblDescription w:val="PSC_Role_InformationTable"/>
      </w:tblPr>
      <w:tblGrid>
        <w:gridCol w:w="4026"/>
        <w:gridCol w:w="6747"/>
      </w:tblGrid>
      <w:tr w:rsidR="009077E2" w:rsidRPr="00DC0173" w14:paraId="1979C11E" w14:textId="77777777" w:rsidTr="252E4CF2">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2499FEAB" w14:textId="21C68DEE" w:rsidR="009077E2" w:rsidRPr="00DC0173" w:rsidRDefault="00E95F38" w:rsidP="00DC0173">
            <w:pPr>
              <w:pStyle w:val="TableTextWhite"/>
              <w:rPr>
                <w:b/>
              </w:rPr>
            </w:pPr>
            <w:r>
              <w:rPr>
                <w:b/>
              </w:rPr>
              <w:t>Cluster</w:t>
            </w:r>
          </w:p>
        </w:tc>
        <w:tc>
          <w:tcPr>
            <w:tcW w:w="6747" w:type="dxa"/>
          </w:tcPr>
          <w:p w14:paraId="42CBA4B0" w14:textId="00D7C2D0" w:rsidR="009077E2" w:rsidRPr="00461537" w:rsidRDefault="00B25232" w:rsidP="00DC0173">
            <w:pPr>
              <w:pStyle w:val="TableTextWhite"/>
              <w:rPr>
                <w:b/>
                <w:bCs/>
              </w:rPr>
            </w:pPr>
            <w:r w:rsidRPr="00726EEB">
              <w:rPr>
                <w:rFonts w:cs="Arial"/>
                <w:b/>
                <w:bCs/>
              </w:rPr>
              <w:t>Planning, Housing and Infrastructure</w:t>
            </w:r>
            <w:r w:rsidRPr="00461537" w:rsidDel="00F774B2">
              <w:rPr>
                <w:b/>
                <w:bCs/>
              </w:rPr>
              <w:t xml:space="preserve"> </w:t>
            </w:r>
          </w:p>
        </w:tc>
      </w:tr>
      <w:tr w:rsidR="009077E2" w:rsidRPr="00DC0173" w14:paraId="3FF5C638" w14:textId="77777777" w:rsidTr="252E4CF2">
        <w:tc>
          <w:tcPr>
            <w:tcW w:w="4026" w:type="dxa"/>
            <w:vAlign w:val="center"/>
          </w:tcPr>
          <w:p w14:paraId="6EF252D1" w14:textId="77777777" w:rsidR="009077E2" w:rsidRPr="00DC0173" w:rsidRDefault="00E95F38" w:rsidP="00DC0173">
            <w:pPr>
              <w:pStyle w:val="TableTextWhite"/>
              <w:rPr>
                <w:b/>
              </w:rPr>
            </w:pPr>
            <w:r>
              <w:rPr>
                <w:b/>
              </w:rPr>
              <w:t>Agency</w:t>
            </w:r>
          </w:p>
        </w:tc>
        <w:tc>
          <w:tcPr>
            <w:tcW w:w="6747" w:type="dxa"/>
          </w:tcPr>
          <w:p w14:paraId="61602199" w14:textId="35DE64AC" w:rsidR="009077E2" w:rsidRPr="00461537" w:rsidRDefault="00E95F38" w:rsidP="00DC0173">
            <w:pPr>
              <w:pStyle w:val="TableTextWhite"/>
              <w:rPr>
                <w:b/>
                <w:bCs/>
              </w:rPr>
            </w:pPr>
            <w:r w:rsidRPr="00461537">
              <w:rPr>
                <w:b/>
                <w:bCs/>
              </w:rPr>
              <w:t>Department of Planning</w:t>
            </w:r>
            <w:r w:rsidR="00544057" w:rsidRPr="00461537">
              <w:rPr>
                <w:b/>
                <w:bCs/>
              </w:rPr>
              <w:t>, Housing, and Infrastructure</w:t>
            </w:r>
          </w:p>
        </w:tc>
      </w:tr>
      <w:tr w:rsidR="009077E2" w:rsidRPr="00DC0173" w14:paraId="5B99F693" w14:textId="77777777" w:rsidTr="252E4CF2">
        <w:tc>
          <w:tcPr>
            <w:tcW w:w="4026" w:type="dxa"/>
            <w:vAlign w:val="center"/>
          </w:tcPr>
          <w:p w14:paraId="52C231CD" w14:textId="77777777" w:rsidR="009077E2" w:rsidRPr="00DC0173" w:rsidRDefault="00E95F38" w:rsidP="00DC0173">
            <w:pPr>
              <w:pStyle w:val="TableTextWhite"/>
              <w:rPr>
                <w:b/>
              </w:rPr>
            </w:pPr>
            <w:r>
              <w:rPr>
                <w:b/>
              </w:rPr>
              <w:t>Division/Branch/Unit</w:t>
            </w:r>
          </w:p>
        </w:tc>
        <w:tc>
          <w:tcPr>
            <w:tcW w:w="6747" w:type="dxa"/>
          </w:tcPr>
          <w:p w14:paraId="7EFD6F0B" w14:textId="4CB77330" w:rsidR="009077E2" w:rsidRPr="00461537" w:rsidRDefault="00F17ED7" w:rsidP="0037374E">
            <w:pPr>
              <w:pStyle w:val="TableTextWhite"/>
              <w:rPr>
                <w:b/>
                <w:bCs/>
              </w:rPr>
            </w:pPr>
            <w:r w:rsidRPr="252E4CF2">
              <w:rPr>
                <w:b/>
                <w:bCs/>
              </w:rPr>
              <w:t>Development Assessment</w:t>
            </w:r>
            <w:r w:rsidR="001049EF" w:rsidRPr="252E4CF2">
              <w:rPr>
                <w:b/>
                <w:bCs/>
              </w:rPr>
              <w:t xml:space="preserve"> &amp; Sustainability</w:t>
            </w:r>
            <w:r w:rsidR="002D35B1" w:rsidRPr="252E4CF2">
              <w:rPr>
                <w:b/>
                <w:bCs/>
              </w:rPr>
              <w:t xml:space="preserve"> / Operations</w:t>
            </w:r>
            <w:r w:rsidR="33440342" w:rsidRPr="252E4CF2">
              <w:rPr>
                <w:b/>
                <w:bCs/>
              </w:rPr>
              <w:t xml:space="preserve"> and Planning Delivery</w:t>
            </w:r>
          </w:p>
        </w:tc>
      </w:tr>
      <w:tr w:rsidR="009077E2" w:rsidRPr="00DC0173" w14:paraId="4078FA80" w14:textId="77777777" w:rsidTr="252E4CF2">
        <w:tc>
          <w:tcPr>
            <w:tcW w:w="4026" w:type="dxa"/>
            <w:vAlign w:val="center"/>
          </w:tcPr>
          <w:p w14:paraId="3C954FBA" w14:textId="2164030C" w:rsidR="009077E2" w:rsidRPr="00DC0173" w:rsidRDefault="00B25232" w:rsidP="00DC0173">
            <w:pPr>
              <w:pStyle w:val="TableTextWhite"/>
              <w:rPr>
                <w:b/>
              </w:rPr>
            </w:pPr>
            <w:r>
              <w:rPr>
                <w:b/>
              </w:rPr>
              <w:t>Role number</w:t>
            </w:r>
          </w:p>
        </w:tc>
        <w:tc>
          <w:tcPr>
            <w:tcW w:w="6747" w:type="dxa"/>
          </w:tcPr>
          <w:p w14:paraId="472062BE" w14:textId="14D5A167" w:rsidR="009077E2" w:rsidRPr="00461537" w:rsidRDefault="00B25232" w:rsidP="00DC0173">
            <w:pPr>
              <w:pStyle w:val="TableTextWhite"/>
              <w:rPr>
                <w:b/>
                <w:bCs/>
              </w:rPr>
            </w:pPr>
            <w:r w:rsidRPr="00461537">
              <w:rPr>
                <w:b/>
                <w:bCs/>
              </w:rPr>
              <w:t>TBA</w:t>
            </w:r>
          </w:p>
        </w:tc>
      </w:tr>
      <w:tr w:rsidR="009077E2" w:rsidRPr="00DC0173" w14:paraId="7FFE88E4" w14:textId="77777777" w:rsidTr="252E4CF2">
        <w:tc>
          <w:tcPr>
            <w:tcW w:w="4026" w:type="dxa"/>
            <w:vAlign w:val="center"/>
          </w:tcPr>
          <w:p w14:paraId="7C2ED46B" w14:textId="77777777" w:rsidR="009077E2" w:rsidRPr="00DC0173" w:rsidRDefault="00E95F38" w:rsidP="00DC0173">
            <w:pPr>
              <w:pStyle w:val="TableTextWhite"/>
              <w:rPr>
                <w:b/>
              </w:rPr>
            </w:pPr>
            <w:r>
              <w:rPr>
                <w:b/>
              </w:rPr>
              <w:t>Classification/Grade/Band</w:t>
            </w:r>
          </w:p>
        </w:tc>
        <w:tc>
          <w:tcPr>
            <w:tcW w:w="6747" w:type="dxa"/>
          </w:tcPr>
          <w:p w14:paraId="2B97F77F" w14:textId="479A8A5F" w:rsidR="009077E2" w:rsidRPr="00461537" w:rsidRDefault="00E95F38" w:rsidP="00DC0173">
            <w:pPr>
              <w:pStyle w:val="TableTextWhite"/>
              <w:rPr>
                <w:b/>
                <w:bCs/>
              </w:rPr>
            </w:pPr>
            <w:r w:rsidRPr="00461537">
              <w:rPr>
                <w:b/>
                <w:bCs/>
              </w:rPr>
              <w:t xml:space="preserve">Senior Executive Band </w:t>
            </w:r>
            <w:r w:rsidR="00544057" w:rsidRPr="00461537">
              <w:rPr>
                <w:b/>
                <w:bCs/>
              </w:rPr>
              <w:t>1</w:t>
            </w:r>
          </w:p>
        </w:tc>
      </w:tr>
      <w:tr w:rsidR="003F1D8A" w:rsidRPr="00DC0173" w14:paraId="66F965E1" w14:textId="77777777" w:rsidTr="252E4CF2">
        <w:tc>
          <w:tcPr>
            <w:tcW w:w="4026" w:type="dxa"/>
            <w:vAlign w:val="center"/>
          </w:tcPr>
          <w:p w14:paraId="62D69726" w14:textId="77777777" w:rsidR="003F1D8A" w:rsidRPr="00DC0173" w:rsidRDefault="003F1D8A" w:rsidP="003F1D8A">
            <w:pPr>
              <w:pStyle w:val="TableTextWhite"/>
              <w:rPr>
                <w:b/>
              </w:rPr>
            </w:pPr>
            <w:r>
              <w:rPr>
                <w:b/>
              </w:rPr>
              <w:t>Senior Executive Work Level Standards</w:t>
            </w:r>
          </w:p>
        </w:tc>
        <w:tc>
          <w:tcPr>
            <w:tcW w:w="6747" w:type="dxa"/>
          </w:tcPr>
          <w:p w14:paraId="5D71849D" w14:textId="77777777" w:rsidR="003F1D8A" w:rsidRPr="00461537" w:rsidRDefault="003F1D8A" w:rsidP="003F1D8A">
            <w:pPr>
              <w:pStyle w:val="TableTextWhite"/>
              <w:rPr>
                <w:b/>
                <w:bCs/>
              </w:rPr>
            </w:pPr>
            <w:r w:rsidRPr="00461537">
              <w:rPr>
                <w:b/>
                <w:bCs/>
              </w:rPr>
              <w:t>Work Contribution Stream: Professional/Technical/Specialist</w:t>
            </w:r>
          </w:p>
        </w:tc>
      </w:tr>
      <w:tr w:rsidR="003F1D8A" w:rsidRPr="00DC0173" w14:paraId="0AE8B543" w14:textId="77777777" w:rsidTr="252E4CF2">
        <w:tc>
          <w:tcPr>
            <w:tcW w:w="4026" w:type="dxa"/>
            <w:vAlign w:val="center"/>
          </w:tcPr>
          <w:p w14:paraId="6FA7B255" w14:textId="77777777" w:rsidR="003F1D8A" w:rsidRPr="00DC0173" w:rsidRDefault="003F1D8A" w:rsidP="003F1D8A">
            <w:pPr>
              <w:pStyle w:val="TableTextWhite"/>
              <w:rPr>
                <w:b/>
              </w:rPr>
            </w:pPr>
            <w:r>
              <w:rPr>
                <w:b/>
              </w:rPr>
              <w:t>ANZSCO Code</w:t>
            </w:r>
          </w:p>
        </w:tc>
        <w:tc>
          <w:tcPr>
            <w:tcW w:w="6747" w:type="dxa"/>
          </w:tcPr>
          <w:p w14:paraId="0F715C25" w14:textId="77777777" w:rsidR="003F1D8A" w:rsidRPr="00461537" w:rsidRDefault="003F1D8A" w:rsidP="003F1D8A">
            <w:pPr>
              <w:pStyle w:val="TableTextWhite"/>
              <w:rPr>
                <w:b/>
                <w:bCs/>
              </w:rPr>
            </w:pPr>
            <w:r w:rsidRPr="00461537">
              <w:rPr>
                <w:b/>
                <w:bCs/>
              </w:rPr>
              <w:t>132411</w:t>
            </w:r>
          </w:p>
        </w:tc>
      </w:tr>
      <w:tr w:rsidR="003F1D8A" w:rsidRPr="00DC0173" w14:paraId="7D14662B" w14:textId="77777777" w:rsidTr="252E4CF2">
        <w:tc>
          <w:tcPr>
            <w:tcW w:w="4026" w:type="dxa"/>
            <w:vAlign w:val="center"/>
          </w:tcPr>
          <w:p w14:paraId="1C7E7933" w14:textId="77777777" w:rsidR="003F1D8A" w:rsidRPr="00DC0173" w:rsidRDefault="003F1D8A" w:rsidP="003F1D8A">
            <w:pPr>
              <w:pStyle w:val="TableTextWhite"/>
              <w:rPr>
                <w:b/>
              </w:rPr>
            </w:pPr>
            <w:r>
              <w:rPr>
                <w:b/>
              </w:rPr>
              <w:t>PCAT Code</w:t>
            </w:r>
          </w:p>
        </w:tc>
        <w:tc>
          <w:tcPr>
            <w:tcW w:w="6747" w:type="dxa"/>
          </w:tcPr>
          <w:p w14:paraId="3AFC534C" w14:textId="77777777" w:rsidR="003F1D8A" w:rsidRPr="00461537" w:rsidRDefault="003F1D8A" w:rsidP="003F1D8A">
            <w:pPr>
              <w:pStyle w:val="TableTextWhite"/>
              <w:rPr>
                <w:b/>
                <w:bCs/>
              </w:rPr>
            </w:pPr>
            <w:r w:rsidRPr="00461537">
              <w:rPr>
                <w:b/>
                <w:bCs/>
              </w:rPr>
              <w:t>3119192</w:t>
            </w:r>
          </w:p>
        </w:tc>
      </w:tr>
      <w:tr w:rsidR="003F1D8A" w:rsidRPr="00DC0173" w14:paraId="30B41E62" w14:textId="77777777" w:rsidTr="252E4CF2">
        <w:tc>
          <w:tcPr>
            <w:tcW w:w="4026" w:type="dxa"/>
            <w:vAlign w:val="center"/>
          </w:tcPr>
          <w:p w14:paraId="12A07E7A" w14:textId="77777777" w:rsidR="003F1D8A" w:rsidRPr="00DC0173" w:rsidRDefault="003F1D8A" w:rsidP="003F1D8A">
            <w:pPr>
              <w:pStyle w:val="TableTextWhite"/>
              <w:rPr>
                <w:b/>
              </w:rPr>
            </w:pPr>
            <w:r>
              <w:rPr>
                <w:b/>
              </w:rPr>
              <w:t>Date of Approval</w:t>
            </w:r>
          </w:p>
        </w:tc>
        <w:tc>
          <w:tcPr>
            <w:tcW w:w="6747" w:type="dxa"/>
          </w:tcPr>
          <w:p w14:paraId="3220D5BA" w14:textId="1BC04F8D" w:rsidR="003F1D8A" w:rsidRPr="00461537" w:rsidRDefault="32D03CAA" w:rsidP="003F1D8A">
            <w:pPr>
              <w:pStyle w:val="TableTextWhite"/>
              <w:rPr>
                <w:b/>
                <w:bCs/>
              </w:rPr>
            </w:pPr>
            <w:r w:rsidRPr="4A3C6C8A">
              <w:rPr>
                <w:b/>
                <w:bCs/>
              </w:rPr>
              <w:t xml:space="preserve">March </w:t>
            </w:r>
            <w:r w:rsidR="00544057" w:rsidRPr="4A3C6C8A">
              <w:rPr>
                <w:b/>
                <w:bCs/>
              </w:rPr>
              <w:t>2024</w:t>
            </w:r>
            <w:r w:rsidR="00000620">
              <w:rPr>
                <w:b/>
                <w:bCs/>
              </w:rPr>
              <w:t xml:space="preserve"> (updated September 2024)</w:t>
            </w:r>
          </w:p>
        </w:tc>
      </w:tr>
      <w:tr w:rsidR="003F1D8A" w:rsidRPr="00DC0173" w14:paraId="5DAB6265" w14:textId="77777777" w:rsidTr="252E4CF2">
        <w:tc>
          <w:tcPr>
            <w:tcW w:w="4026" w:type="dxa"/>
            <w:vAlign w:val="center"/>
          </w:tcPr>
          <w:p w14:paraId="08FE58F7" w14:textId="77777777" w:rsidR="003F1D8A" w:rsidRPr="00DC0173" w:rsidRDefault="003F1D8A" w:rsidP="003F1D8A">
            <w:pPr>
              <w:pStyle w:val="TableTextWhite"/>
              <w:rPr>
                <w:b/>
              </w:rPr>
            </w:pPr>
            <w:r>
              <w:rPr>
                <w:b/>
              </w:rPr>
              <w:t>Agency Website</w:t>
            </w:r>
          </w:p>
        </w:tc>
        <w:tc>
          <w:tcPr>
            <w:tcW w:w="6747" w:type="dxa"/>
          </w:tcPr>
          <w:p w14:paraId="20A7BA86" w14:textId="7223F6B0" w:rsidR="003F1D8A" w:rsidRPr="00461537" w:rsidRDefault="003064C0" w:rsidP="003F1D8A">
            <w:pPr>
              <w:pStyle w:val="TableTextWhite"/>
              <w:rPr>
                <w:b/>
                <w:bCs/>
              </w:rPr>
            </w:pPr>
            <w:r w:rsidRPr="003064C0">
              <w:rPr>
                <w:b/>
                <w:bCs/>
              </w:rPr>
              <w:t>https://www.nsw.gov.au/departments-and-agencies/department-of-planning-housing-and-infrastructure</w:t>
            </w:r>
          </w:p>
        </w:tc>
        <w:bookmarkStart w:id="0" w:name="Cluster"/>
        <w:bookmarkEnd w:id="0"/>
      </w:tr>
    </w:tbl>
    <w:p w14:paraId="12EAB3FB" w14:textId="4384162F" w:rsidR="00F47143" w:rsidRPr="00614552" w:rsidRDefault="00F47143" w:rsidP="00C74FFC">
      <w:pPr>
        <w:tabs>
          <w:tab w:val="left" w:pos="2925"/>
        </w:tabs>
        <w:spacing w:before="240"/>
        <w:rPr>
          <w:rStyle w:val="Heading1Char"/>
        </w:rPr>
      </w:pPr>
      <w:r w:rsidRPr="00614552">
        <w:rPr>
          <w:rStyle w:val="Heading1Char"/>
        </w:rPr>
        <w:t>Agency overview</w:t>
      </w:r>
    </w:p>
    <w:p w14:paraId="3B7FC8B0" w14:textId="0E173D5C" w:rsidR="00DA12E7" w:rsidRPr="00C2432B" w:rsidRDefault="00C2432B" w:rsidP="00C2432B">
      <w:pPr>
        <w:rPr>
          <w:rFonts w:cs="Arial"/>
        </w:rPr>
      </w:pPr>
      <w:r w:rsidRPr="00C2432B">
        <w:rPr>
          <w:rFonts w:cs="Arial"/>
        </w:rPr>
        <w:t xml:space="preserve">The Department of Planning, Housing and Infrastructure (DPHI) improves the </w:t>
      </w:r>
      <w:proofErr w:type="spellStart"/>
      <w:r w:rsidRPr="00C2432B">
        <w:rPr>
          <w:rFonts w:cs="Arial"/>
        </w:rPr>
        <w:t>liveability</w:t>
      </w:r>
      <w:proofErr w:type="spellEnd"/>
      <w:r w:rsidRPr="00C2432B">
        <w:rPr>
          <w:rFonts w:cs="Arial"/>
        </w:rPr>
        <w:t xml:space="preserve"> and prosperity of NSW.  To achieve this, we:</w:t>
      </w:r>
    </w:p>
    <w:p w14:paraId="250C1F5D" w14:textId="5D1BE7C2" w:rsidR="00C2432B" w:rsidRPr="00C2432B" w:rsidRDefault="00C2432B" w:rsidP="00C2432B">
      <w:pPr>
        <w:pStyle w:val="ListBullet"/>
        <w:rPr>
          <w:rFonts w:ascii="Arial" w:hAnsi="Arial" w:cs="Arial"/>
        </w:rPr>
      </w:pPr>
      <w:r w:rsidRPr="00C2432B">
        <w:rPr>
          <w:rFonts w:ascii="Arial" w:hAnsi="Arial" w:cs="Arial"/>
        </w:rPr>
        <w:t xml:space="preserve">create vibrant, productive spaces and </w:t>
      </w:r>
      <w:proofErr w:type="gramStart"/>
      <w:r w:rsidRPr="00C2432B">
        <w:rPr>
          <w:rFonts w:ascii="Arial" w:hAnsi="Arial" w:cs="Arial"/>
        </w:rPr>
        <w:t>precincts;</w:t>
      </w:r>
      <w:proofErr w:type="gramEnd"/>
    </w:p>
    <w:p w14:paraId="4239144B" w14:textId="22CC56F7" w:rsidR="00C2432B" w:rsidRPr="00C2432B" w:rsidRDefault="00C2432B" w:rsidP="00C2432B">
      <w:pPr>
        <w:pStyle w:val="ListBullet"/>
        <w:rPr>
          <w:rFonts w:ascii="Arial" w:hAnsi="Arial" w:cs="Arial"/>
        </w:rPr>
      </w:pPr>
      <w:r w:rsidRPr="00C2432B">
        <w:rPr>
          <w:rFonts w:ascii="Arial" w:hAnsi="Arial" w:cs="Arial"/>
        </w:rPr>
        <w:t>manage lands, assets and property effectively; and</w:t>
      </w:r>
    </w:p>
    <w:p w14:paraId="39D08F29" w14:textId="1110F7E2" w:rsidR="00C2432B" w:rsidRPr="00C2432B" w:rsidRDefault="00C2432B" w:rsidP="00C2432B">
      <w:pPr>
        <w:pStyle w:val="ListBullet"/>
        <w:rPr>
          <w:rFonts w:ascii="Arial" w:hAnsi="Arial" w:cs="Arial"/>
        </w:rPr>
      </w:pPr>
      <w:r w:rsidRPr="00C2432B">
        <w:rPr>
          <w:rFonts w:ascii="Arial" w:hAnsi="Arial" w:cs="Arial"/>
        </w:rPr>
        <w:t>deliver affordable and diverse housing.</w:t>
      </w:r>
    </w:p>
    <w:p w14:paraId="41F3B532" w14:textId="77777777" w:rsidR="00C2432B" w:rsidRDefault="00C2432B" w:rsidP="00C2432B">
      <w:pPr>
        <w:rPr>
          <w:rFonts w:cs="Arial"/>
        </w:rPr>
      </w:pPr>
    </w:p>
    <w:p w14:paraId="35714971" w14:textId="6F91A855" w:rsidR="00C2432B" w:rsidRPr="00C2432B" w:rsidRDefault="00C2432B" w:rsidP="00C2432B">
      <w:pPr>
        <w:rPr>
          <w:rFonts w:cs="Arial"/>
        </w:rPr>
      </w:pPr>
      <w:r w:rsidRPr="00C2432B">
        <w:rPr>
          <w:rFonts w:cs="Arial"/>
        </w:rPr>
        <w:t xml:space="preserve">We strive to be a high performing, world class public service </w:t>
      </w:r>
      <w:proofErr w:type="spellStart"/>
      <w:r w:rsidRPr="00C2432B">
        <w:rPr>
          <w:rFonts w:cs="Arial"/>
        </w:rPr>
        <w:t>organisation</w:t>
      </w:r>
      <w:proofErr w:type="spellEnd"/>
      <w:r w:rsidRPr="00C2432B">
        <w:rPr>
          <w:rFonts w:cs="Arial"/>
        </w:rPr>
        <w:t xml:space="preserve"> that celebrates and reflects the full diversity of the community we serve and builds the cultural capability of our department to improve outcomes with, and for, Aboriginal people, communities and entities.</w:t>
      </w:r>
    </w:p>
    <w:p w14:paraId="18F29B67" w14:textId="34AFCD0A" w:rsidR="00037FD5" w:rsidRPr="00795456" w:rsidRDefault="00037FD5" w:rsidP="00795456">
      <w:pPr>
        <w:rPr>
          <w:rStyle w:val="Heading1Char"/>
          <w:rFonts w:eastAsiaTheme="minorEastAsia"/>
          <w:b w:val="0"/>
          <w:bCs w:val="0"/>
          <w:kern w:val="0"/>
          <w:sz w:val="22"/>
          <w:szCs w:val="22"/>
          <w:lang w:val="en-US"/>
        </w:rPr>
      </w:pPr>
      <w:r w:rsidRPr="00614552">
        <w:rPr>
          <w:rStyle w:val="Heading1Char"/>
        </w:rPr>
        <w:t>Primary purpose of the role</w:t>
      </w:r>
    </w:p>
    <w:p w14:paraId="59B2439C" w14:textId="304E48A5" w:rsidR="003064C0" w:rsidRDefault="00D66B6B" w:rsidP="0095475A">
      <w:r w:rsidRPr="36496209">
        <w:rPr>
          <w:lang w:val="en-AU"/>
        </w:rPr>
        <w:t xml:space="preserve">The Director, </w:t>
      </w:r>
      <w:r w:rsidR="005A4034" w:rsidRPr="36496209">
        <w:rPr>
          <w:lang w:val="en-AU"/>
        </w:rPr>
        <w:t>Planning Portal Interface</w:t>
      </w:r>
      <w:r w:rsidR="00C57AAC" w:rsidRPr="36496209">
        <w:rPr>
          <w:lang w:val="en-AU"/>
        </w:rPr>
        <w:t>,</w:t>
      </w:r>
      <w:r w:rsidRPr="36496209">
        <w:rPr>
          <w:lang w:val="en-AU"/>
        </w:rPr>
        <w:t xml:space="preserve"> </w:t>
      </w:r>
      <w:r w:rsidR="0095475A" w:rsidRPr="36496209">
        <w:rPr>
          <w:lang w:val="en-AU"/>
        </w:rPr>
        <w:t xml:space="preserve">is the </w:t>
      </w:r>
      <w:r w:rsidR="0095475A">
        <w:t xml:space="preserve">Planning Product owner for the NSW Planning Portal </w:t>
      </w:r>
      <w:r w:rsidR="00C46C66">
        <w:t>on behalf of the Planning Group</w:t>
      </w:r>
      <w:r w:rsidR="0095475A">
        <w:t xml:space="preserve">. The role </w:t>
      </w:r>
      <w:r w:rsidR="00457CB2">
        <w:t xml:space="preserve">provides </w:t>
      </w:r>
      <w:r w:rsidR="00A46AF6">
        <w:t xml:space="preserve">strategic </w:t>
      </w:r>
      <w:r w:rsidR="00457CB2">
        <w:t xml:space="preserve">leadership and oversight of the </w:t>
      </w:r>
      <w:r w:rsidR="0095475A">
        <w:t>product roadmap</w:t>
      </w:r>
      <w:r w:rsidR="002A3E8B">
        <w:t xml:space="preserve"> and </w:t>
      </w:r>
      <w:r w:rsidR="00906116">
        <w:t xml:space="preserve">product </w:t>
      </w:r>
      <w:r w:rsidR="002A3E8B">
        <w:t>backlog</w:t>
      </w:r>
      <w:r w:rsidR="0095475A">
        <w:t xml:space="preserve">, </w:t>
      </w:r>
      <w:r w:rsidR="00906116">
        <w:t>working</w:t>
      </w:r>
      <w:r w:rsidR="00B47EA8">
        <w:t xml:space="preserve"> in partnership </w:t>
      </w:r>
      <w:r w:rsidR="00906116">
        <w:t>with</w:t>
      </w:r>
      <w:r w:rsidR="00B47EA8">
        <w:t xml:space="preserve"> cross-functional teams</w:t>
      </w:r>
      <w:r w:rsidR="0095475A">
        <w:t xml:space="preserve">, </w:t>
      </w:r>
      <w:r w:rsidR="002E7F56">
        <w:t xml:space="preserve">and </w:t>
      </w:r>
      <w:r w:rsidR="009A3F2F">
        <w:t xml:space="preserve">implementing </w:t>
      </w:r>
      <w:r w:rsidR="0095475A">
        <w:t xml:space="preserve">change and adoption planning </w:t>
      </w:r>
      <w:r w:rsidR="00D16BA6">
        <w:t xml:space="preserve">to ensure </w:t>
      </w:r>
      <w:r w:rsidR="0095475A">
        <w:t xml:space="preserve">business </w:t>
      </w:r>
      <w:r w:rsidR="00D16BA6">
        <w:t xml:space="preserve">and customer </w:t>
      </w:r>
      <w:r w:rsidR="0095475A">
        <w:t>requirements</w:t>
      </w:r>
      <w:r w:rsidR="007B04AA">
        <w:t xml:space="preserve"> </w:t>
      </w:r>
      <w:r w:rsidR="003116FD">
        <w:t xml:space="preserve">are </w:t>
      </w:r>
      <w:r w:rsidR="00865751">
        <w:t>delivered</w:t>
      </w:r>
      <w:r w:rsidR="0095475A">
        <w:t>.</w:t>
      </w:r>
    </w:p>
    <w:p w14:paraId="1BB14087" w14:textId="03D580EC" w:rsidR="00F774B2" w:rsidRDefault="00FD5F4A" w:rsidP="004E3BD1">
      <w:r>
        <w:t xml:space="preserve">The role will work with the Digital Information Office and Corporate Services to </w:t>
      </w:r>
      <w:r w:rsidR="00C9431B">
        <w:t xml:space="preserve">ensure effective </w:t>
      </w:r>
      <w:r w:rsidRPr="00F774B2">
        <w:rPr>
          <w:lang w:val="en-AU"/>
        </w:rPr>
        <w:t xml:space="preserve">management and support for the </w:t>
      </w:r>
      <w:r>
        <w:rPr>
          <w:lang w:val="en-AU"/>
        </w:rPr>
        <w:t>digitisation</w:t>
      </w:r>
      <w:r w:rsidRPr="00F774B2">
        <w:rPr>
          <w:lang w:val="en-AU"/>
        </w:rPr>
        <w:t xml:space="preserve"> of </w:t>
      </w:r>
      <w:r>
        <w:rPr>
          <w:lang w:val="en-AU"/>
        </w:rPr>
        <w:t xml:space="preserve">planning policy products into the NSW Planning Portal environment.  </w:t>
      </w:r>
    </w:p>
    <w:p w14:paraId="7C522DD9" w14:textId="77777777" w:rsidR="00F339CD" w:rsidRDefault="00F339CD" w:rsidP="00614552">
      <w:pPr>
        <w:pStyle w:val="Heading1"/>
      </w:pPr>
      <w:r w:rsidRPr="00A14A03">
        <w:t>Key accountabilities</w:t>
      </w:r>
    </w:p>
    <w:p w14:paraId="7F2E04EF" w14:textId="7DA6CEDF" w:rsidR="006D6834" w:rsidRDefault="00643BC6" w:rsidP="009A57B2">
      <w:pPr>
        <w:numPr>
          <w:ilvl w:val="0"/>
          <w:numId w:val="16"/>
        </w:numPr>
        <w:spacing w:after="0" w:line="280" w:lineRule="atLeast"/>
        <w:rPr>
          <w:rFonts w:eastAsiaTheme="minorHAnsi" w:cs="Times New Roman"/>
          <w:lang w:val="en-AU"/>
        </w:rPr>
      </w:pPr>
      <w:r>
        <w:rPr>
          <w:rFonts w:eastAsiaTheme="minorHAnsi" w:cs="Times New Roman"/>
          <w:lang w:val="en-AU"/>
        </w:rPr>
        <w:t xml:space="preserve">Working collaboratively, </w:t>
      </w:r>
      <w:r w:rsidR="003B2638">
        <w:rPr>
          <w:rFonts w:eastAsiaTheme="minorHAnsi" w:cs="Times New Roman"/>
          <w:lang w:val="en-AU"/>
        </w:rPr>
        <w:t xml:space="preserve">direct Corporate Services on behalf of the Planning Group </w:t>
      </w:r>
      <w:r w:rsidR="00965AE6">
        <w:rPr>
          <w:rFonts w:eastAsiaTheme="minorHAnsi" w:cs="Times New Roman"/>
          <w:lang w:val="en-AU"/>
        </w:rPr>
        <w:t>to design, d</w:t>
      </w:r>
      <w:r w:rsidR="004E351D">
        <w:rPr>
          <w:rFonts w:eastAsiaTheme="minorHAnsi" w:cs="Times New Roman"/>
          <w:lang w:val="en-AU"/>
        </w:rPr>
        <w:t>evelop</w:t>
      </w:r>
      <w:r w:rsidR="00A56052">
        <w:rPr>
          <w:rFonts w:eastAsiaTheme="minorHAnsi" w:cs="Times New Roman"/>
          <w:lang w:val="en-AU"/>
        </w:rPr>
        <w:t xml:space="preserve"> </w:t>
      </w:r>
      <w:r w:rsidR="004E351D">
        <w:rPr>
          <w:rFonts w:eastAsiaTheme="minorHAnsi" w:cs="Times New Roman"/>
          <w:lang w:val="en-AU"/>
        </w:rPr>
        <w:t>and implement</w:t>
      </w:r>
      <w:r w:rsidR="00280B3F">
        <w:rPr>
          <w:rFonts w:eastAsiaTheme="minorHAnsi" w:cs="Times New Roman"/>
          <w:lang w:val="en-AU"/>
        </w:rPr>
        <w:t xml:space="preserve"> </w:t>
      </w:r>
      <w:r w:rsidR="004C688D">
        <w:rPr>
          <w:rFonts w:eastAsiaTheme="minorHAnsi" w:cs="Times New Roman"/>
          <w:lang w:val="en-AU"/>
        </w:rPr>
        <w:t xml:space="preserve">a digital product roadmap and backlog </w:t>
      </w:r>
      <w:r w:rsidR="00B47FDF">
        <w:rPr>
          <w:rFonts w:eastAsiaTheme="minorHAnsi" w:cs="Times New Roman"/>
          <w:lang w:val="en-AU"/>
        </w:rPr>
        <w:t>for the NSW Planning Portal</w:t>
      </w:r>
      <w:r w:rsidR="007A45CF">
        <w:rPr>
          <w:rFonts w:eastAsiaTheme="minorHAnsi" w:cs="Times New Roman"/>
          <w:lang w:val="en-AU"/>
        </w:rPr>
        <w:t xml:space="preserve">. </w:t>
      </w:r>
    </w:p>
    <w:p w14:paraId="3F3DB8BE" w14:textId="663DA756" w:rsidR="009A57B2" w:rsidRPr="000B16C5" w:rsidRDefault="009A57B2" w:rsidP="009A57B2">
      <w:pPr>
        <w:numPr>
          <w:ilvl w:val="0"/>
          <w:numId w:val="16"/>
        </w:numPr>
        <w:spacing w:after="0" w:line="280" w:lineRule="atLeast"/>
        <w:rPr>
          <w:rFonts w:eastAsiaTheme="minorHAnsi" w:cs="Times New Roman"/>
          <w:lang w:val="en-AU"/>
        </w:rPr>
      </w:pPr>
      <w:r>
        <w:rPr>
          <w:rFonts w:eastAsiaTheme="minorHAnsi" w:cs="Times New Roman"/>
          <w:lang w:val="en-AU"/>
        </w:rPr>
        <w:lastRenderedPageBreak/>
        <w:t>B</w:t>
      </w:r>
      <w:r w:rsidRPr="000B16C5">
        <w:rPr>
          <w:rFonts w:eastAsiaTheme="minorHAnsi" w:cs="Times New Roman"/>
          <w:lang w:val="en-AU"/>
        </w:rPr>
        <w:t xml:space="preserve">uild and maintain knowledge and understanding of the technical aspects and policy settings </w:t>
      </w:r>
      <w:r w:rsidR="0032567C">
        <w:rPr>
          <w:rFonts w:eastAsiaTheme="minorHAnsi" w:cs="Times New Roman"/>
          <w:lang w:val="en-AU"/>
        </w:rPr>
        <w:t>of the NSW Planning Portal and digital services environment.</w:t>
      </w:r>
    </w:p>
    <w:p w14:paraId="3DE52BC3" w14:textId="48FDB58E" w:rsidR="009A57B2" w:rsidRPr="00AB56F6" w:rsidRDefault="009A57B2" w:rsidP="009A57B2">
      <w:pPr>
        <w:numPr>
          <w:ilvl w:val="0"/>
          <w:numId w:val="16"/>
        </w:numPr>
        <w:spacing w:after="0" w:line="280" w:lineRule="atLeast"/>
        <w:rPr>
          <w:rFonts w:eastAsiaTheme="minorHAnsi" w:cs="Times New Roman"/>
          <w:lang w:val="en-AU"/>
        </w:rPr>
      </w:pPr>
      <w:r>
        <w:rPr>
          <w:rFonts w:eastAsiaTheme="minorHAnsi" w:cs="Times New Roman"/>
          <w:lang w:val="en-AU"/>
        </w:rPr>
        <w:t>M</w:t>
      </w:r>
      <w:r w:rsidRPr="00AB56F6">
        <w:rPr>
          <w:rFonts w:eastAsiaTheme="minorHAnsi" w:cs="Times New Roman"/>
          <w:lang w:val="en-AU"/>
        </w:rPr>
        <w:t xml:space="preserve">aintain </w:t>
      </w:r>
      <w:r w:rsidR="00174ED3">
        <w:rPr>
          <w:rFonts w:eastAsiaTheme="minorHAnsi" w:cs="Times New Roman"/>
          <w:lang w:val="en-AU"/>
        </w:rPr>
        <w:t>knowledge and awareness of</w:t>
      </w:r>
      <w:r w:rsidRPr="00AB56F6">
        <w:rPr>
          <w:rFonts w:eastAsiaTheme="minorHAnsi" w:cs="Times New Roman"/>
          <w:lang w:val="en-AU"/>
        </w:rPr>
        <w:t xml:space="preserve"> national and international trends relating to </w:t>
      </w:r>
      <w:r w:rsidR="0032567C">
        <w:rPr>
          <w:rFonts w:eastAsiaTheme="minorHAnsi" w:cs="Times New Roman"/>
          <w:lang w:val="en-AU"/>
        </w:rPr>
        <w:t>digital product</w:t>
      </w:r>
      <w:r w:rsidR="00DC33B9">
        <w:rPr>
          <w:rFonts w:eastAsiaTheme="minorHAnsi" w:cs="Times New Roman"/>
          <w:lang w:val="en-AU"/>
        </w:rPr>
        <w:t xml:space="preserve"> innovation. </w:t>
      </w:r>
    </w:p>
    <w:p w14:paraId="16985416" w14:textId="25371C89" w:rsidR="009A57B2" w:rsidRPr="000B16C5" w:rsidRDefault="00643BC6" w:rsidP="009A57B2">
      <w:pPr>
        <w:numPr>
          <w:ilvl w:val="0"/>
          <w:numId w:val="16"/>
        </w:numPr>
        <w:spacing w:after="0" w:line="280" w:lineRule="atLeast"/>
        <w:rPr>
          <w:rFonts w:eastAsiaTheme="minorHAnsi" w:cs="Times New Roman"/>
          <w:lang w:val="en-AU"/>
        </w:rPr>
      </w:pPr>
      <w:r>
        <w:rPr>
          <w:rFonts w:eastAsiaTheme="minorHAnsi" w:cs="Times New Roman"/>
          <w:lang w:val="en-AU"/>
        </w:rPr>
        <w:t xml:space="preserve">Lead and ensure productive and equitable consultation with </w:t>
      </w:r>
      <w:r w:rsidR="00DC33B9">
        <w:rPr>
          <w:rFonts w:eastAsiaTheme="minorHAnsi" w:cs="Times New Roman"/>
          <w:lang w:val="en-AU"/>
        </w:rPr>
        <w:t>the Pla</w:t>
      </w:r>
      <w:r w:rsidR="003064C0">
        <w:rPr>
          <w:rFonts w:eastAsiaTheme="minorHAnsi" w:cs="Times New Roman"/>
          <w:lang w:val="en-AU"/>
        </w:rPr>
        <w:t>n</w:t>
      </w:r>
      <w:r w:rsidR="00DC33B9">
        <w:rPr>
          <w:rFonts w:eastAsiaTheme="minorHAnsi" w:cs="Times New Roman"/>
          <w:lang w:val="en-AU"/>
        </w:rPr>
        <w:t xml:space="preserve">ning Group </w:t>
      </w:r>
      <w:r w:rsidR="009A57B2" w:rsidRPr="000B16C5">
        <w:rPr>
          <w:rFonts w:eastAsiaTheme="minorHAnsi" w:cs="Times New Roman"/>
          <w:lang w:val="en-AU"/>
        </w:rPr>
        <w:t xml:space="preserve">stakeholders </w:t>
      </w:r>
      <w:r w:rsidR="002C2C39">
        <w:rPr>
          <w:rFonts w:eastAsiaTheme="minorHAnsi" w:cs="Times New Roman"/>
          <w:lang w:val="en-AU"/>
        </w:rPr>
        <w:t xml:space="preserve">and facilitate </w:t>
      </w:r>
      <w:r w:rsidR="003B2638">
        <w:rPr>
          <w:rFonts w:eastAsiaTheme="minorHAnsi" w:cs="Times New Roman"/>
          <w:lang w:val="en-AU"/>
        </w:rPr>
        <w:t xml:space="preserve">productive and equitable </w:t>
      </w:r>
      <w:r w:rsidR="002C2C39">
        <w:rPr>
          <w:rFonts w:eastAsiaTheme="minorHAnsi" w:cs="Times New Roman"/>
          <w:lang w:val="en-AU"/>
        </w:rPr>
        <w:t xml:space="preserve">collaboration </w:t>
      </w:r>
      <w:r w:rsidR="00A86DF8">
        <w:rPr>
          <w:rFonts w:eastAsiaTheme="minorHAnsi" w:cs="Times New Roman"/>
          <w:lang w:val="en-AU"/>
        </w:rPr>
        <w:t>between cross-functional teams</w:t>
      </w:r>
      <w:r w:rsidR="003B2638">
        <w:rPr>
          <w:rFonts w:eastAsiaTheme="minorHAnsi" w:cs="Times New Roman"/>
          <w:lang w:val="en-AU"/>
        </w:rPr>
        <w:t xml:space="preserve"> within DAS and PLUSHI</w:t>
      </w:r>
      <w:r w:rsidR="00E96F6F">
        <w:rPr>
          <w:rFonts w:eastAsiaTheme="minorHAnsi" w:cs="Times New Roman"/>
          <w:lang w:val="en-AU"/>
        </w:rPr>
        <w:t>.</w:t>
      </w:r>
    </w:p>
    <w:p w14:paraId="594AF2ED" w14:textId="79F97748" w:rsidR="00FB1B1A" w:rsidRDefault="00FB1B1A" w:rsidP="0022024A">
      <w:pPr>
        <w:numPr>
          <w:ilvl w:val="0"/>
          <w:numId w:val="16"/>
        </w:numPr>
        <w:spacing w:after="0" w:line="280" w:lineRule="atLeast"/>
        <w:rPr>
          <w:rFonts w:eastAsiaTheme="minorHAnsi" w:cs="Times New Roman"/>
          <w:lang w:val="en-AU"/>
        </w:rPr>
      </w:pPr>
      <w:r w:rsidRPr="00FB1B1A">
        <w:rPr>
          <w:rFonts w:eastAsiaTheme="minorHAnsi" w:cs="Times New Roman"/>
          <w:lang w:val="en-AU"/>
        </w:rPr>
        <w:t xml:space="preserve">Develop and maintain strong external and internal relationships </w:t>
      </w:r>
      <w:r w:rsidR="00155FFA" w:rsidRPr="00FB1B1A">
        <w:rPr>
          <w:rFonts w:eastAsiaTheme="minorHAnsi" w:cs="Times New Roman"/>
          <w:lang w:val="en-AU"/>
        </w:rPr>
        <w:t>with NSW Planning colleagues</w:t>
      </w:r>
      <w:r w:rsidR="00F055DB">
        <w:rPr>
          <w:rFonts w:eastAsiaTheme="minorHAnsi" w:cs="Times New Roman"/>
          <w:lang w:val="en-AU"/>
        </w:rPr>
        <w:t xml:space="preserve">, Corporate </w:t>
      </w:r>
      <w:r w:rsidR="00612A7E">
        <w:rPr>
          <w:rFonts w:eastAsiaTheme="minorHAnsi" w:cs="Times New Roman"/>
          <w:lang w:val="en-AU"/>
        </w:rPr>
        <w:t>Services</w:t>
      </w:r>
      <w:r w:rsidR="00155FFA" w:rsidRPr="00FB1B1A">
        <w:rPr>
          <w:rFonts w:eastAsiaTheme="minorHAnsi" w:cs="Times New Roman"/>
          <w:lang w:val="en-AU"/>
        </w:rPr>
        <w:t xml:space="preserve"> </w:t>
      </w:r>
      <w:r w:rsidR="008B7A9C">
        <w:rPr>
          <w:rFonts w:eastAsiaTheme="minorHAnsi" w:cs="Times New Roman"/>
          <w:lang w:val="en-AU"/>
        </w:rPr>
        <w:t xml:space="preserve">and </w:t>
      </w:r>
      <w:r w:rsidR="008B7A9C" w:rsidRPr="00FB1B1A">
        <w:rPr>
          <w:rFonts w:eastAsiaTheme="minorHAnsi" w:cs="Times New Roman"/>
          <w:lang w:val="en-AU"/>
        </w:rPr>
        <w:t xml:space="preserve">NSW Government </w:t>
      </w:r>
      <w:r w:rsidR="008B7A9C">
        <w:rPr>
          <w:rFonts w:eastAsiaTheme="minorHAnsi" w:cs="Times New Roman"/>
          <w:lang w:val="en-AU"/>
        </w:rPr>
        <w:t>a</w:t>
      </w:r>
      <w:r w:rsidR="008B7A9C" w:rsidRPr="00FB1B1A">
        <w:rPr>
          <w:rFonts w:eastAsiaTheme="minorHAnsi" w:cs="Times New Roman"/>
          <w:lang w:val="en-AU"/>
        </w:rPr>
        <w:t>gencies</w:t>
      </w:r>
      <w:r w:rsidR="008B7A9C">
        <w:rPr>
          <w:rFonts w:eastAsiaTheme="minorHAnsi" w:cs="Times New Roman"/>
          <w:lang w:val="en-AU"/>
        </w:rPr>
        <w:t xml:space="preserve"> </w:t>
      </w:r>
      <w:r w:rsidRPr="00FB1B1A">
        <w:rPr>
          <w:rFonts w:eastAsiaTheme="minorHAnsi" w:cs="Times New Roman"/>
          <w:lang w:val="en-AU"/>
        </w:rPr>
        <w:t xml:space="preserve">to </w:t>
      </w:r>
      <w:r w:rsidR="009A3960">
        <w:rPr>
          <w:rFonts w:eastAsiaTheme="minorHAnsi" w:cs="Times New Roman"/>
          <w:lang w:val="en-AU"/>
        </w:rPr>
        <w:t>ensure</w:t>
      </w:r>
      <w:r w:rsidRPr="00FB1B1A">
        <w:rPr>
          <w:rFonts w:eastAsiaTheme="minorHAnsi" w:cs="Times New Roman"/>
          <w:lang w:val="en-AU"/>
        </w:rPr>
        <w:t xml:space="preserve"> </w:t>
      </w:r>
      <w:r w:rsidR="00550F93">
        <w:rPr>
          <w:rFonts w:eastAsiaTheme="minorHAnsi" w:cs="Times New Roman"/>
          <w:lang w:val="en-AU"/>
        </w:rPr>
        <w:t>effective</w:t>
      </w:r>
      <w:r w:rsidR="00542F7F">
        <w:rPr>
          <w:rFonts w:eastAsiaTheme="minorHAnsi" w:cs="Times New Roman"/>
          <w:lang w:val="en-AU"/>
        </w:rPr>
        <w:t xml:space="preserve"> </w:t>
      </w:r>
      <w:r w:rsidRPr="00FB1B1A">
        <w:rPr>
          <w:rFonts w:eastAsiaTheme="minorHAnsi" w:cs="Times New Roman"/>
          <w:lang w:val="en-AU"/>
        </w:rPr>
        <w:t xml:space="preserve">information flow and </w:t>
      </w:r>
      <w:r w:rsidR="009A3960">
        <w:rPr>
          <w:rFonts w:eastAsiaTheme="minorHAnsi" w:cs="Times New Roman"/>
          <w:lang w:val="en-AU"/>
        </w:rPr>
        <w:t xml:space="preserve">facilitate </w:t>
      </w:r>
      <w:r w:rsidR="00034C3D">
        <w:rPr>
          <w:rFonts w:eastAsiaTheme="minorHAnsi" w:cs="Times New Roman"/>
          <w:lang w:val="en-AU"/>
        </w:rPr>
        <w:t xml:space="preserve">the implementation of </w:t>
      </w:r>
      <w:r w:rsidR="008E56AF">
        <w:rPr>
          <w:rFonts w:eastAsiaTheme="minorHAnsi" w:cs="Times New Roman"/>
          <w:lang w:val="en-AU"/>
        </w:rPr>
        <w:t xml:space="preserve">appropriate </w:t>
      </w:r>
      <w:r w:rsidR="00474BE7">
        <w:rPr>
          <w:rFonts w:eastAsiaTheme="minorHAnsi" w:cs="Times New Roman"/>
          <w:lang w:val="en-AU"/>
        </w:rPr>
        <w:t>governance</w:t>
      </w:r>
      <w:r w:rsidR="00034C3D">
        <w:rPr>
          <w:rFonts w:eastAsiaTheme="minorHAnsi" w:cs="Times New Roman"/>
          <w:lang w:val="en-AU"/>
        </w:rPr>
        <w:t xml:space="preserve"> and reporting frameworks</w:t>
      </w:r>
      <w:r w:rsidRPr="00FB1B1A">
        <w:rPr>
          <w:rFonts w:eastAsiaTheme="minorHAnsi" w:cs="Times New Roman"/>
          <w:lang w:val="en-AU"/>
        </w:rPr>
        <w:t>.</w:t>
      </w:r>
    </w:p>
    <w:p w14:paraId="04AC11C1" w14:textId="0D88916D" w:rsidR="003B2638" w:rsidRPr="00FB1B1A" w:rsidRDefault="003B2638" w:rsidP="0022024A">
      <w:pPr>
        <w:numPr>
          <w:ilvl w:val="0"/>
          <w:numId w:val="16"/>
        </w:numPr>
        <w:spacing w:after="0" w:line="280" w:lineRule="atLeast"/>
        <w:rPr>
          <w:rFonts w:eastAsiaTheme="minorHAnsi" w:cs="Times New Roman"/>
          <w:lang w:val="en-AU"/>
        </w:rPr>
      </w:pPr>
      <w:r>
        <w:rPr>
          <w:rFonts w:eastAsiaTheme="minorHAnsi" w:cs="Times New Roman"/>
          <w:lang w:val="en-AU"/>
        </w:rPr>
        <w:t>Lead and manage the planning groups input into and decision making in relation to digital product design, delivery and ongoing enhancement throughout the digital product lifecycle on the NSW Planning Portal.</w:t>
      </w:r>
    </w:p>
    <w:p w14:paraId="1A00128F" w14:textId="17C24673" w:rsidR="009A57B2" w:rsidRPr="0022024A" w:rsidRDefault="00E96F6F" w:rsidP="0022024A">
      <w:pPr>
        <w:numPr>
          <w:ilvl w:val="0"/>
          <w:numId w:val="16"/>
        </w:numPr>
        <w:spacing w:after="0" w:line="280" w:lineRule="atLeast"/>
        <w:rPr>
          <w:rFonts w:cs="Times New Roman"/>
          <w:b/>
          <w:bCs/>
        </w:rPr>
      </w:pPr>
      <w:r>
        <w:rPr>
          <w:rFonts w:eastAsiaTheme="minorHAnsi" w:cs="Times New Roman"/>
          <w:lang w:val="en-AU"/>
        </w:rPr>
        <w:t>M</w:t>
      </w:r>
      <w:r w:rsidR="009A57B2" w:rsidRPr="00F16ADB">
        <w:rPr>
          <w:rFonts w:eastAsiaTheme="minorHAnsi" w:cs="Times New Roman"/>
          <w:lang w:val="en-AU"/>
        </w:rPr>
        <w:t>anage the allocation of financial, physical and human resources to maximise results, and comply with allocated budget</w:t>
      </w:r>
      <w:r>
        <w:rPr>
          <w:rFonts w:eastAsiaTheme="minorHAnsi" w:cs="Times New Roman"/>
          <w:lang w:val="en-AU"/>
        </w:rPr>
        <w:t>.</w:t>
      </w:r>
    </w:p>
    <w:p w14:paraId="18ABC72F" w14:textId="77777777" w:rsidR="004E3BD1" w:rsidRPr="00320DAC" w:rsidRDefault="004E3BD1" w:rsidP="004E3BD1">
      <w:pPr>
        <w:pStyle w:val="TableBullet"/>
        <w:numPr>
          <w:ilvl w:val="0"/>
          <w:numId w:val="0"/>
        </w:numPr>
        <w:ind w:left="360"/>
        <w:rPr>
          <w:sz w:val="22"/>
          <w:szCs w:val="22"/>
        </w:rPr>
      </w:pPr>
    </w:p>
    <w:p w14:paraId="11052068" w14:textId="77777777" w:rsidR="001D097C" w:rsidRPr="00614552" w:rsidRDefault="001D097C" w:rsidP="006A2280">
      <w:pPr>
        <w:tabs>
          <w:tab w:val="left" w:pos="2925"/>
        </w:tabs>
        <w:rPr>
          <w:rStyle w:val="Heading1Char"/>
        </w:rPr>
      </w:pPr>
      <w:r w:rsidRPr="00614552">
        <w:rPr>
          <w:rStyle w:val="Heading1Char"/>
        </w:rPr>
        <w:t>Key challenges</w:t>
      </w:r>
    </w:p>
    <w:p w14:paraId="08A146ED" w14:textId="77777777" w:rsidR="002C108C" w:rsidRDefault="00A42A6C" w:rsidP="00461537">
      <w:pPr>
        <w:numPr>
          <w:ilvl w:val="0"/>
          <w:numId w:val="16"/>
        </w:numPr>
        <w:spacing w:after="0" w:line="280" w:lineRule="atLeast"/>
      </w:pPr>
      <w:r>
        <w:t xml:space="preserve">Balancing the </w:t>
      </w:r>
      <w:r w:rsidR="00E536DB">
        <w:t xml:space="preserve">business </w:t>
      </w:r>
      <w:r>
        <w:t xml:space="preserve">needs and expectations of a diverse group of stakeholders </w:t>
      </w:r>
      <w:r w:rsidR="00063175">
        <w:t xml:space="preserve">with competing and complex interests </w:t>
      </w:r>
      <w:r w:rsidR="00C93DE1">
        <w:t xml:space="preserve">and </w:t>
      </w:r>
      <w:r>
        <w:t xml:space="preserve">deliver outcomes </w:t>
      </w:r>
      <w:r w:rsidR="00C93DE1">
        <w:t>that align with the future requirements of the NSW Planning Portal</w:t>
      </w:r>
      <w:r>
        <w:t>.</w:t>
      </w:r>
    </w:p>
    <w:p w14:paraId="2DC03D23" w14:textId="3A63AB5F" w:rsidR="003B2638" w:rsidRPr="00784247" w:rsidRDefault="003B2638" w:rsidP="00784247">
      <w:pPr>
        <w:numPr>
          <w:ilvl w:val="0"/>
          <w:numId w:val="16"/>
        </w:numPr>
        <w:spacing w:after="0" w:line="240" w:lineRule="auto"/>
        <w:rPr>
          <w:rFonts w:eastAsia="Times New Roman"/>
        </w:rPr>
      </w:pPr>
      <w:r>
        <w:rPr>
          <w:rFonts w:eastAsia="Times New Roman"/>
        </w:rPr>
        <w:t>Providing planning policy advice that requires consideration of competing and complex interests, and priorities given the highly commercial and sensitive environment where matters have high level media and public scrutiny and there are powerful stakeholders with strong and sometimes opposing views.</w:t>
      </w:r>
    </w:p>
    <w:p w14:paraId="03DF2134" w14:textId="0B103A82" w:rsidR="0003516E" w:rsidRPr="00DB126F" w:rsidRDefault="0003516E" w:rsidP="00461537">
      <w:pPr>
        <w:numPr>
          <w:ilvl w:val="0"/>
          <w:numId w:val="16"/>
        </w:numPr>
        <w:spacing w:after="0" w:line="280" w:lineRule="atLeast"/>
      </w:pPr>
      <w:r w:rsidRPr="00DB126F">
        <w:rPr>
          <w:rFonts w:eastAsiaTheme="minorHAnsi" w:cs="Times New Roman"/>
          <w:lang w:val="en-AU"/>
        </w:rPr>
        <w:t>Maintain</w:t>
      </w:r>
      <w:r w:rsidR="00757317" w:rsidRPr="00DB126F">
        <w:rPr>
          <w:rFonts w:eastAsiaTheme="minorHAnsi" w:cs="Times New Roman"/>
          <w:lang w:val="en-AU"/>
        </w:rPr>
        <w:t>ing</w:t>
      </w:r>
      <w:r w:rsidRPr="00DB126F">
        <w:rPr>
          <w:rFonts w:eastAsiaTheme="minorHAnsi" w:cs="Times New Roman"/>
          <w:lang w:val="en-AU"/>
        </w:rPr>
        <w:t xml:space="preserve"> knowledge across a wide range of </w:t>
      </w:r>
      <w:r w:rsidR="009B15A2" w:rsidRPr="00DB126F">
        <w:rPr>
          <w:rFonts w:eastAsiaTheme="minorHAnsi" w:cs="Times New Roman"/>
          <w:lang w:val="en-AU"/>
        </w:rPr>
        <w:t xml:space="preserve">planning </w:t>
      </w:r>
      <w:r w:rsidRPr="00DB126F">
        <w:rPr>
          <w:rFonts w:eastAsiaTheme="minorHAnsi" w:cs="Times New Roman"/>
          <w:lang w:val="en-AU"/>
        </w:rPr>
        <w:t xml:space="preserve">disciplines and areas and ensure this knowledge is reflected in the high quality of advice </w:t>
      </w:r>
      <w:r w:rsidR="009B15A2" w:rsidRPr="00DB126F">
        <w:rPr>
          <w:rFonts w:eastAsiaTheme="minorHAnsi" w:cs="Times New Roman"/>
          <w:lang w:val="en-AU"/>
        </w:rPr>
        <w:t xml:space="preserve">and innovation </w:t>
      </w:r>
      <w:r w:rsidR="008712B2" w:rsidRPr="00DB126F">
        <w:rPr>
          <w:rFonts w:eastAsiaTheme="minorHAnsi" w:cs="Times New Roman"/>
          <w:lang w:val="en-AU"/>
        </w:rPr>
        <w:t>guidance to the Planning Group.</w:t>
      </w:r>
    </w:p>
    <w:p w14:paraId="5EB50F01" w14:textId="77777777" w:rsidR="00795456" w:rsidRDefault="00795456" w:rsidP="0003516E">
      <w:pPr>
        <w:pStyle w:val="ListParagraph"/>
        <w:tabs>
          <w:tab w:val="left" w:pos="2925"/>
        </w:tabs>
        <w:spacing w:line="240" w:lineRule="auto"/>
        <w:ind w:left="0"/>
        <w:rPr>
          <w:rStyle w:val="Heading1Char"/>
        </w:rPr>
      </w:pPr>
    </w:p>
    <w:p w14:paraId="630D761F" w14:textId="77777777" w:rsidR="00F339CD" w:rsidRPr="0003516E" w:rsidRDefault="00EC5C1D" w:rsidP="0003516E">
      <w:pPr>
        <w:pStyle w:val="ListParagraph"/>
        <w:tabs>
          <w:tab w:val="left" w:pos="2925"/>
        </w:tabs>
        <w:spacing w:line="240" w:lineRule="auto"/>
        <w:ind w:left="0"/>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2BED5386" w14:textId="77777777" w:rsidTr="36496209">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6797E86" w14:textId="77777777" w:rsidR="00BB532F" w:rsidRPr="00C978B9" w:rsidRDefault="00BB532F" w:rsidP="00E56565">
            <w:pPr>
              <w:pStyle w:val="TableTextWhite0"/>
            </w:pPr>
            <w:r w:rsidRPr="00C978B9">
              <w:t>Who</w:t>
            </w:r>
          </w:p>
        </w:tc>
        <w:tc>
          <w:tcPr>
            <w:tcW w:w="6986" w:type="dxa"/>
          </w:tcPr>
          <w:p w14:paraId="4DF78670" w14:textId="621AC6E0" w:rsidR="00BB532F" w:rsidRPr="00C978B9" w:rsidRDefault="00BB532F" w:rsidP="00022223">
            <w:pPr>
              <w:pStyle w:val="TableTextWhite0"/>
            </w:pPr>
            <w:r w:rsidRPr="00C978B9">
              <w:t>Why</w:t>
            </w:r>
          </w:p>
        </w:tc>
      </w:tr>
      <w:tr w:rsidR="00BB532F" w:rsidRPr="00A8245E" w14:paraId="4FEACE59" w14:textId="77777777" w:rsidTr="36496209">
        <w:trPr>
          <w:cantSplit/>
        </w:trPr>
        <w:tc>
          <w:tcPr>
            <w:tcW w:w="3601" w:type="dxa"/>
            <w:shd w:val="clear" w:color="auto" w:fill="BCBEC0"/>
          </w:tcPr>
          <w:p w14:paraId="4AAA178B" w14:textId="77777777" w:rsidR="00BB532F" w:rsidRPr="00A8245E" w:rsidRDefault="00BB532F" w:rsidP="00E56565">
            <w:pPr>
              <w:pStyle w:val="TableText"/>
              <w:keepNext/>
              <w:rPr>
                <w:b/>
              </w:rPr>
            </w:pPr>
            <w:r w:rsidRPr="00A8245E">
              <w:rPr>
                <w:b/>
              </w:rPr>
              <w:t>Internal</w:t>
            </w:r>
          </w:p>
        </w:tc>
        <w:tc>
          <w:tcPr>
            <w:tcW w:w="6986" w:type="dxa"/>
            <w:shd w:val="clear" w:color="auto" w:fill="BCBEC0"/>
          </w:tcPr>
          <w:p w14:paraId="7A55FD7E" w14:textId="77777777" w:rsidR="00BB532F" w:rsidRPr="00A8245E" w:rsidRDefault="00BB532F" w:rsidP="00E56565">
            <w:pPr>
              <w:pStyle w:val="TableText"/>
              <w:keepNext/>
              <w:rPr>
                <w:b/>
              </w:rPr>
            </w:pPr>
          </w:p>
        </w:tc>
      </w:tr>
      <w:tr w:rsidR="00DA7818" w:rsidRPr="00C978B9" w14:paraId="058D5D88" w14:textId="77777777" w:rsidTr="36496209">
        <w:trPr>
          <w:cantSplit/>
        </w:trPr>
        <w:tc>
          <w:tcPr>
            <w:tcW w:w="3601" w:type="dxa"/>
            <w:tcBorders>
              <w:top w:val="single" w:sz="8" w:space="0" w:color="auto"/>
              <w:bottom w:val="single" w:sz="8" w:space="0" w:color="BCBEC0"/>
            </w:tcBorders>
          </w:tcPr>
          <w:p w14:paraId="5ED51242" w14:textId="75D712A0" w:rsidR="00DA7818" w:rsidRPr="0020495D" w:rsidRDefault="00DA7818" w:rsidP="00DA7818">
            <w:pPr>
              <w:pStyle w:val="TableText"/>
              <w:rPr>
                <w:lang w:val="en-US"/>
              </w:rPr>
            </w:pPr>
            <w:r>
              <w:t xml:space="preserve">Executive Director </w:t>
            </w:r>
          </w:p>
        </w:tc>
        <w:tc>
          <w:tcPr>
            <w:tcW w:w="6986" w:type="dxa"/>
            <w:tcBorders>
              <w:top w:val="single" w:sz="8" w:space="0" w:color="auto"/>
              <w:bottom w:val="single" w:sz="8" w:space="0" w:color="BCBEC0"/>
            </w:tcBorders>
          </w:tcPr>
          <w:p w14:paraId="56F26EBF" w14:textId="24B4E52B" w:rsidR="00DA7818" w:rsidRDefault="00DA7818" w:rsidP="002D35B1">
            <w:pPr>
              <w:numPr>
                <w:ilvl w:val="0"/>
                <w:numId w:val="17"/>
              </w:numPr>
              <w:spacing w:line="252" w:lineRule="auto"/>
              <w:ind w:left="450"/>
            </w:pPr>
            <w:r>
              <w:t xml:space="preserve">Act as subject matter expert on </w:t>
            </w:r>
            <w:r w:rsidR="00E25CA9">
              <w:t>delivery</w:t>
            </w:r>
            <w:r>
              <w:t xml:space="preserve"> matters</w:t>
            </w:r>
            <w:r w:rsidR="00E25CA9">
              <w:t>.</w:t>
            </w:r>
            <w:r>
              <w:t xml:space="preserve"> </w:t>
            </w:r>
          </w:p>
          <w:p w14:paraId="2D8F8182" w14:textId="72EB1942" w:rsidR="00DA7818" w:rsidRDefault="00DA7818" w:rsidP="002D35B1">
            <w:pPr>
              <w:numPr>
                <w:ilvl w:val="0"/>
                <w:numId w:val="17"/>
              </w:numPr>
              <w:spacing w:line="300" w:lineRule="auto"/>
              <w:ind w:left="450"/>
            </w:pPr>
            <w:r>
              <w:t>Provide advice, counsel and recommendations to influence organisational decisions and initiatives</w:t>
            </w:r>
            <w:r w:rsidR="00AA7610">
              <w:t>.</w:t>
            </w:r>
            <w:r>
              <w:t xml:space="preserve">  </w:t>
            </w:r>
          </w:p>
          <w:p w14:paraId="7568362F" w14:textId="0FE3C7C2" w:rsidR="00DA7818" w:rsidRDefault="00DA7818" w:rsidP="002D35B1">
            <w:pPr>
              <w:numPr>
                <w:ilvl w:val="0"/>
                <w:numId w:val="17"/>
              </w:numPr>
              <w:spacing w:after="1" w:line="288" w:lineRule="auto"/>
              <w:ind w:left="450"/>
            </w:pPr>
            <w:r>
              <w:t>Communicate information related to outcomes against budgets and performance measures</w:t>
            </w:r>
            <w:r w:rsidR="00AA7610">
              <w:t>.</w:t>
            </w:r>
            <w:r>
              <w:t xml:space="preserve"> </w:t>
            </w:r>
          </w:p>
          <w:p w14:paraId="2F2A51B5" w14:textId="7411EBB3" w:rsidR="00DA7818" w:rsidRPr="0020495D" w:rsidRDefault="00DA7818" w:rsidP="002D35B1">
            <w:pPr>
              <w:numPr>
                <w:ilvl w:val="0"/>
                <w:numId w:val="17"/>
              </w:numPr>
              <w:spacing w:line="300" w:lineRule="auto"/>
              <w:ind w:left="450"/>
            </w:pPr>
            <w:r>
              <w:t>Identify and escalate major, new or emerging issues and recommend new approaches, strategies, practices, solutions, alternative options and responses</w:t>
            </w:r>
            <w:r w:rsidR="00AA7610">
              <w:t>.</w:t>
            </w:r>
          </w:p>
        </w:tc>
      </w:tr>
      <w:tr w:rsidR="00A279B7" w:rsidRPr="00C978B9" w14:paraId="30E382FC" w14:textId="77777777" w:rsidTr="36496209">
        <w:trPr>
          <w:cantSplit/>
        </w:trPr>
        <w:tc>
          <w:tcPr>
            <w:tcW w:w="3601" w:type="dxa"/>
            <w:tcBorders>
              <w:top w:val="single" w:sz="8" w:space="0" w:color="auto"/>
              <w:bottom w:val="single" w:sz="8" w:space="0" w:color="BCBEC0"/>
            </w:tcBorders>
          </w:tcPr>
          <w:p w14:paraId="55AF57BB" w14:textId="1B54DECB" w:rsidR="00A279B7" w:rsidRDefault="00A279B7" w:rsidP="00A279B7">
            <w:pPr>
              <w:spacing w:after="3" w:line="292" w:lineRule="auto"/>
              <w:ind w:left="720" w:hanging="720"/>
            </w:pPr>
            <w:r>
              <w:t>Senior Executive</w:t>
            </w:r>
          </w:p>
        </w:tc>
        <w:tc>
          <w:tcPr>
            <w:tcW w:w="6986" w:type="dxa"/>
            <w:tcBorders>
              <w:top w:val="single" w:sz="8" w:space="0" w:color="auto"/>
              <w:bottom w:val="single" w:sz="8" w:space="0" w:color="BCBEC0"/>
            </w:tcBorders>
          </w:tcPr>
          <w:p w14:paraId="21F3D901" w14:textId="29A3B726" w:rsidR="00A279B7" w:rsidRDefault="00A279B7" w:rsidP="002D35B1">
            <w:pPr>
              <w:numPr>
                <w:ilvl w:val="0"/>
                <w:numId w:val="17"/>
              </w:numPr>
              <w:spacing w:after="3" w:line="292" w:lineRule="auto"/>
              <w:ind w:left="450"/>
            </w:pPr>
            <w:r>
              <w:t xml:space="preserve">Provide expert advice and recommendations to impact decisions and support delivery of integrated program outcomes. </w:t>
            </w:r>
          </w:p>
          <w:p w14:paraId="22D8CB3D" w14:textId="759BCF2F" w:rsidR="00A279B7" w:rsidRDefault="00A279B7" w:rsidP="002D35B1">
            <w:pPr>
              <w:numPr>
                <w:ilvl w:val="0"/>
                <w:numId w:val="17"/>
              </w:numPr>
              <w:spacing w:after="3" w:line="292" w:lineRule="auto"/>
              <w:ind w:left="450"/>
            </w:pPr>
            <w:r>
              <w:t xml:space="preserve">Develop sustainable, productive and collaborative working relationships. </w:t>
            </w:r>
          </w:p>
          <w:p w14:paraId="71F9AEC3" w14:textId="277068A0" w:rsidR="00A279B7" w:rsidRDefault="00A279B7" w:rsidP="002D35B1">
            <w:pPr>
              <w:numPr>
                <w:ilvl w:val="0"/>
                <w:numId w:val="17"/>
              </w:numPr>
              <w:spacing w:after="3" w:line="292" w:lineRule="auto"/>
              <w:ind w:left="450"/>
            </w:pPr>
            <w:r>
              <w:t>Subject matter expert for the executive team.</w:t>
            </w:r>
          </w:p>
          <w:p w14:paraId="12B2533F" w14:textId="44747A55" w:rsidR="00A279B7" w:rsidRDefault="00A279B7" w:rsidP="002D35B1">
            <w:pPr>
              <w:numPr>
                <w:ilvl w:val="0"/>
                <w:numId w:val="17"/>
              </w:numPr>
              <w:spacing w:after="3" w:line="292" w:lineRule="auto"/>
              <w:ind w:left="450"/>
            </w:pPr>
            <w:r>
              <w:t>Collaborate and advise on emerging or recurrent issues to support strategic decision processes.</w:t>
            </w:r>
          </w:p>
          <w:p w14:paraId="42C5949F" w14:textId="7B792317" w:rsidR="00A279B7" w:rsidRPr="0020495D" w:rsidRDefault="00A279B7" w:rsidP="002D35B1">
            <w:pPr>
              <w:numPr>
                <w:ilvl w:val="0"/>
                <w:numId w:val="17"/>
              </w:numPr>
              <w:spacing w:after="3" w:line="292" w:lineRule="auto"/>
              <w:ind w:left="450"/>
            </w:pPr>
            <w:r>
              <w:t>Clarify accountabilities and communicate performance standards.</w:t>
            </w:r>
          </w:p>
        </w:tc>
      </w:tr>
      <w:tr w:rsidR="00A279B7" w:rsidRPr="00E25CA9" w14:paraId="69934279" w14:textId="77777777" w:rsidTr="36496209">
        <w:trPr>
          <w:cantSplit/>
        </w:trPr>
        <w:tc>
          <w:tcPr>
            <w:tcW w:w="3601" w:type="dxa"/>
            <w:tcBorders>
              <w:top w:val="single" w:sz="8" w:space="0" w:color="auto"/>
              <w:bottom w:val="single" w:sz="8" w:space="0" w:color="auto"/>
            </w:tcBorders>
          </w:tcPr>
          <w:p w14:paraId="43696D77" w14:textId="574B47E9" w:rsidR="00A279B7" w:rsidRPr="00A15CDB" w:rsidRDefault="00A279B7" w:rsidP="00A279B7">
            <w:pPr>
              <w:pStyle w:val="TableText"/>
            </w:pPr>
            <w:r>
              <w:lastRenderedPageBreak/>
              <w:t>Staff and work teams</w:t>
            </w:r>
          </w:p>
        </w:tc>
        <w:tc>
          <w:tcPr>
            <w:tcW w:w="6986" w:type="dxa"/>
            <w:tcBorders>
              <w:top w:val="single" w:sz="8" w:space="0" w:color="auto"/>
              <w:bottom w:val="single" w:sz="8" w:space="0" w:color="auto"/>
            </w:tcBorders>
          </w:tcPr>
          <w:p w14:paraId="5258C7CC" w14:textId="06739315" w:rsidR="00A279B7" w:rsidRDefault="00A279B7" w:rsidP="002D35B1">
            <w:pPr>
              <w:pStyle w:val="TableText"/>
              <w:numPr>
                <w:ilvl w:val="0"/>
                <w:numId w:val="17"/>
              </w:numPr>
              <w:ind w:left="450"/>
            </w:pPr>
            <w:r>
              <w:t>Inspire and motivate team, provide leadership, guidance, technical advice and support</w:t>
            </w:r>
            <w:r w:rsidR="00A44753">
              <w:t>.</w:t>
            </w:r>
          </w:p>
          <w:p w14:paraId="32F5B7A0" w14:textId="0AAC2423" w:rsidR="00A279B7" w:rsidRDefault="00A279B7" w:rsidP="002D35B1">
            <w:pPr>
              <w:pStyle w:val="TableText"/>
              <w:numPr>
                <w:ilvl w:val="0"/>
                <w:numId w:val="17"/>
              </w:numPr>
              <w:ind w:left="450"/>
            </w:pPr>
            <w:r>
              <w:t>Provide clear direction and manage team performance and development</w:t>
            </w:r>
            <w:r w:rsidR="00A44753">
              <w:t>.</w:t>
            </w:r>
          </w:p>
          <w:p w14:paraId="7D7037CC" w14:textId="77777777" w:rsidR="00A44753" w:rsidRDefault="00A279B7" w:rsidP="002D35B1">
            <w:pPr>
              <w:pStyle w:val="TableText"/>
              <w:numPr>
                <w:ilvl w:val="0"/>
                <w:numId w:val="17"/>
              </w:numPr>
              <w:ind w:left="450"/>
            </w:pPr>
            <w:r>
              <w:t>Share information and encourage contribution to ideas to improve program / service delivery outcomes</w:t>
            </w:r>
            <w:r w:rsidR="00A44753">
              <w:t>.</w:t>
            </w:r>
          </w:p>
          <w:p w14:paraId="2AB47FB0" w14:textId="02D5BD9B" w:rsidR="00A279B7" w:rsidRPr="0020495D" w:rsidRDefault="00A279B7" w:rsidP="002D35B1">
            <w:pPr>
              <w:pStyle w:val="TableBullet"/>
              <w:tabs>
                <w:tab w:val="clear" w:pos="360"/>
              </w:tabs>
              <w:ind w:left="450"/>
            </w:pPr>
            <w:r>
              <w:t>Drive effective and efficient service delivery and stakeholder engagement</w:t>
            </w:r>
            <w:r w:rsidR="00A44753">
              <w:t>.</w:t>
            </w:r>
          </w:p>
        </w:tc>
      </w:tr>
      <w:tr w:rsidR="00E3208C" w:rsidRPr="00E25CA9" w14:paraId="780E6000" w14:textId="77777777" w:rsidTr="36496209">
        <w:trPr>
          <w:cantSplit/>
        </w:trPr>
        <w:tc>
          <w:tcPr>
            <w:tcW w:w="3601" w:type="dxa"/>
            <w:tcBorders>
              <w:top w:val="single" w:sz="8" w:space="0" w:color="auto"/>
              <w:bottom w:val="single" w:sz="8" w:space="0" w:color="auto"/>
            </w:tcBorders>
          </w:tcPr>
          <w:p w14:paraId="510A3034" w14:textId="64ECF6B6" w:rsidR="00E3208C" w:rsidRDefault="00E3208C" w:rsidP="00A279B7">
            <w:pPr>
              <w:pStyle w:val="TableText"/>
            </w:pPr>
            <w:r>
              <w:t xml:space="preserve">Corporate </w:t>
            </w:r>
            <w:r w:rsidR="003664E7">
              <w:t>Services</w:t>
            </w:r>
          </w:p>
        </w:tc>
        <w:tc>
          <w:tcPr>
            <w:tcW w:w="6986" w:type="dxa"/>
            <w:tcBorders>
              <w:top w:val="single" w:sz="8" w:space="0" w:color="auto"/>
              <w:bottom w:val="single" w:sz="8" w:space="0" w:color="auto"/>
            </w:tcBorders>
          </w:tcPr>
          <w:p w14:paraId="5A388D40" w14:textId="77777777" w:rsidR="003664E7" w:rsidRPr="00522526" w:rsidRDefault="003664E7" w:rsidP="006A45EE">
            <w:pPr>
              <w:pStyle w:val="TableText"/>
              <w:numPr>
                <w:ilvl w:val="0"/>
                <w:numId w:val="17"/>
              </w:numPr>
            </w:pPr>
            <w:r>
              <w:t>Foster effective, collaborative and sustainable working relationships to provide information on program objectives.</w:t>
            </w:r>
          </w:p>
          <w:p w14:paraId="72532474" w14:textId="77777777" w:rsidR="006A45EE" w:rsidRDefault="006A45EE" w:rsidP="006A45EE">
            <w:pPr>
              <w:pStyle w:val="TableBullet"/>
              <w:numPr>
                <w:ilvl w:val="0"/>
                <w:numId w:val="17"/>
              </w:numPr>
            </w:pPr>
            <w:r>
              <w:t>L</w:t>
            </w:r>
            <w:r>
              <w:rPr>
                <w:spacing w:val="-2"/>
              </w:rPr>
              <w:t>i</w:t>
            </w:r>
            <w:r>
              <w:rPr>
                <w:spacing w:val="1"/>
              </w:rPr>
              <w:t>a</w:t>
            </w:r>
            <w:r>
              <w:rPr>
                <w:spacing w:val="-1"/>
              </w:rPr>
              <w:t>i</w:t>
            </w:r>
            <w:r>
              <w:rPr>
                <w:spacing w:val="1"/>
              </w:rPr>
              <w:t>s</w:t>
            </w:r>
            <w:r>
              <w:t>e</w:t>
            </w:r>
            <w:r>
              <w:rPr>
                <w:spacing w:val="-7"/>
              </w:rPr>
              <w:t xml:space="preserve"> </w:t>
            </w:r>
            <w:r>
              <w:rPr>
                <w:spacing w:val="-1"/>
              </w:rPr>
              <w:t>t</w:t>
            </w:r>
            <w:r>
              <w:t>o</w:t>
            </w:r>
            <w:r>
              <w:rPr>
                <w:spacing w:val="-6"/>
              </w:rPr>
              <w:t xml:space="preserve"> </w:t>
            </w:r>
            <w:r>
              <w:rPr>
                <w:spacing w:val="4"/>
              </w:rPr>
              <w:t>m</w:t>
            </w:r>
            <w:r>
              <w:t>a</w:t>
            </w:r>
            <w:r>
              <w:rPr>
                <w:spacing w:val="-2"/>
              </w:rPr>
              <w:t>i</w:t>
            </w:r>
            <w:r>
              <w:t>nt</w:t>
            </w:r>
            <w:r>
              <w:rPr>
                <w:spacing w:val="-1"/>
              </w:rPr>
              <w:t>a</w:t>
            </w:r>
            <w:r>
              <w:rPr>
                <w:spacing w:val="1"/>
              </w:rPr>
              <w:t>i</w:t>
            </w:r>
            <w:r>
              <w:t>n</w:t>
            </w:r>
            <w:r>
              <w:rPr>
                <w:spacing w:val="-7"/>
              </w:rPr>
              <w:t xml:space="preserve"> </w:t>
            </w:r>
            <w:r>
              <w:t>cur</w:t>
            </w:r>
            <w:r>
              <w:rPr>
                <w:spacing w:val="1"/>
              </w:rPr>
              <w:t>r</w:t>
            </w:r>
            <w:r>
              <w:t>e</w:t>
            </w:r>
            <w:r>
              <w:rPr>
                <w:spacing w:val="-1"/>
              </w:rPr>
              <w:t>n</w:t>
            </w:r>
            <w:r>
              <w:rPr>
                <w:spacing w:val="3"/>
              </w:rPr>
              <w:t>c</w:t>
            </w:r>
            <w:r>
              <w:rPr>
                <w:spacing w:val="-5"/>
              </w:rPr>
              <w:t>y</w:t>
            </w:r>
            <w:r>
              <w:t>,</w:t>
            </w:r>
            <w:r>
              <w:rPr>
                <w:spacing w:val="-5"/>
              </w:rPr>
              <w:t xml:space="preserve"> </w:t>
            </w:r>
            <w:r>
              <w:t>sh</w:t>
            </w:r>
            <w:r>
              <w:rPr>
                <w:spacing w:val="-1"/>
              </w:rPr>
              <w:t>a</w:t>
            </w:r>
            <w:r>
              <w:t>re</w:t>
            </w:r>
            <w:r>
              <w:rPr>
                <w:spacing w:val="-7"/>
              </w:rPr>
              <w:t xml:space="preserve"> </w:t>
            </w:r>
            <w:r>
              <w:t>id</w:t>
            </w:r>
            <w:r>
              <w:rPr>
                <w:spacing w:val="-1"/>
              </w:rPr>
              <w:t>e</w:t>
            </w:r>
            <w:r>
              <w:t>as</w:t>
            </w:r>
            <w:r>
              <w:rPr>
                <w:spacing w:val="-4"/>
              </w:rPr>
              <w:t xml:space="preserve"> </w:t>
            </w:r>
            <w:r>
              <w:t>a</w:t>
            </w:r>
            <w:r>
              <w:rPr>
                <w:spacing w:val="-1"/>
              </w:rPr>
              <w:t>n</w:t>
            </w:r>
            <w:r>
              <w:t>d</w:t>
            </w:r>
            <w:r>
              <w:rPr>
                <w:spacing w:val="-5"/>
              </w:rPr>
              <w:t xml:space="preserve"> </w:t>
            </w:r>
            <w:r>
              <w:rPr>
                <w:spacing w:val="-1"/>
              </w:rPr>
              <w:t>l</w:t>
            </w:r>
            <w:r>
              <w:rPr>
                <w:spacing w:val="1"/>
              </w:rPr>
              <w:t>e</w:t>
            </w:r>
            <w:r>
              <w:t>arn</w:t>
            </w:r>
            <w:r>
              <w:rPr>
                <w:spacing w:val="1"/>
              </w:rPr>
              <w:t>i</w:t>
            </w:r>
            <w:r>
              <w:t>n</w:t>
            </w:r>
            <w:r>
              <w:rPr>
                <w:spacing w:val="-1"/>
              </w:rPr>
              <w:t>g</w:t>
            </w:r>
            <w:r>
              <w:t>s</w:t>
            </w:r>
          </w:p>
          <w:p w14:paraId="0EE8122F" w14:textId="7AAA5D8A" w:rsidR="00E3208C" w:rsidRDefault="006A45EE" w:rsidP="006A45EE">
            <w:pPr>
              <w:pStyle w:val="TableText"/>
              <w:numPr>
                <w:ilvl w:val="0"/>
                <w:numId w:val="17"/>
              </w:numPr>
            </w:pPr>
            <w:r>
              <w:t>Col</w:t>
            </w:r>
            <w:r>
              <w:rPr>
                <w:spacing w:val="-1"/>
              </w:rPr>
              <w:t>l</w:t>
            </w:r>
            <w:r>
              <w:t>a</w:t>
            </w:r>
            <w:r>
              <w:rPr>
                <w:spacing w:val="1"/>
              </w:rPr>
              <w:t>b</w:t>
            </w:r>
            <w:r>
              <w:t>orate</w:t>
            </w:r>
            <w:r>
              <w:rPr>
                <w:spacing w:val="-6"/>
              </w:rPr>
              <w:t xml:space="preserve"> </w:t>
            </w:r>
            <w:r>
              <w:t>on</w:t>
            </w:r>
            <w:r>
              <w:rPr>
                <w:spacing w:val="-8"/>
              </w:rPr>
              <w:t xml:space="preserve"> </w:t>
            </w:r>
            <w:r>
              <w:t>co</w:t>
            </w:r>
            <w:r>
              <w:rPr>
                <w:spacing w:val="1"/>
              </w:rPr>
              <w:t>m</w:t>
            </w:r>
            <w:r>
              <w:rPr>
                <w:spacing w:val="4"/>
              </w:rPr>
              <w:t>m</w:t>
            </w:r>
            <w:r>
              <w:t>on</w:t>
            </w:r>
            <w:r>
              <w:rPr>
                <w:spacing w:val="-7"/>
              </w:rPr>
              <w:t xml:space="preserve"> </w:t>
            </w:r>
            <w:r>
              <w:t>resp</w:t>
            </w:r>
            <w:r>
              <w:rPr>
                <w:spacing w:val="-1"/>
              </w:rPr>
              <w:t>o</w:t>
            </w:r>
            <w:r>
              <w:t>nses</w:t>
            </w:r>
            <w:r>
              <w:rPr>
                <w:spacing w:val="-7"/>
              </w:rPr>
              <w:t xml:space="preserve"> </w:t>
            </w:r>
            <w:r>
              <w:t>to</w:t>
            </w:r>
            <w:r>
              <w:rPr>
                <w:spacing w:val="-7"/>
              </w:rPr>
              <w:t xml:space="preserve"> </w:t>
            </w:r>
            <w:r>
              <w:t>e</w:t>
            </w:r>
            <w:r>
              <w:rPr>
                <w:spacing w:val="4"/>
              </w:rPr>
              <w:t>m</w:t>
            </w:r>
            <w:r>
              <w:t>erg</w:t>
            </w:r>
            <w:r>
              <w:rPr>
                <w:spacing w:val="-1"/>
              </w:rPr>
              <w:t>i</w:t>
            </w:r>
            <w:r>
              <w:t>ng</w:t>
            </w:r>
            <w:r>
              <w:rPr>
                <w:spacing w:val="-8"/>
              </w:rPr>
              <w:t xml:space="preserve"> </w:t>
            </w:r>
            <w:r>
              <w:rPr>
                <w:spacing w:val="1"/>
              </w:rPr>
              <w:t>a</w:t>
            </w:r>
            <w:r>
              <w:t>nd</w:t>
            </w:r>
            <w:r>
              <w:rPr>
                <w:spacing w:val="-7"/>
              </w:rPr>
              <w:t xml:space="preserve"> </w:t>
            </w:r>
            <w:r>
              <w:rPr>
                <w:spacing w:val="1"/>
              </w:rPr>
              <w:t>f</w:t>
            </w:r>
            <w:r>
              <w:t>ut</w:t>
            </w:r>
            <w:r>
              <w:rPr>
                <w:spacing w:val="-1"/>
              </w:rPr>
              <w:t>u</w:t>
            </w:r>
            <w:r>
              <w:t>re</w:t>
            </w:r>
            <w:r>
              <w:rPr>
                <w:spacing w:val="-6"/>
              </w:rPr>
              <w:t xml:space="preserve"> </w:t>
            </w:r>
            <w:r>
              <w:rPr>
                <w:spacing w:val="-1"/>
              </w:rPr>
              <w:t>i</w:t>
            </w:r>
            <w:r>
              <w:rPr>
                <w:spacing w:val="1"/>
              </w:rPr>
              <w:t>ss</w:t>
            </w:r>
            <w:r>
              <w:t>u</w:t>
            </w:r>
            <w:r>
              <w:rPr>
                <w:spacing w:val="-1"/>
              </w:rPr>
              <w:t>e</w:t>
            </w:r>
            <w:r>
              <w:t>s</w:t>
            </w:r>
          </w:p>
        </w:tc>
      </w:tr>
      <w:tr w:rsidR="006A5120" w14:paraId="5100FB97" w14:textId="77777777" w:rsidTr="36496209">
        <w:trPr>
          <w:cantSplit/>
        </w:trPr>
        <w:tc>
          <w:tcPr>
            <w:tcW w:w="3601" w:type="dxa"/>
            <w:tcBorders>
              <w:top w:val="single" w:sz="8" w:space="0" w:color="auto"/>
              <w:bottom w:val="single" w:sz="8" w:space="0" w:color="auto"/>
            </w:tcBorders>
            <w:shd w:val="clear" w:color="auto" w:fill="BFBFBF" w:themeFill="background1" w:themeFillShade="BF"/>
            <w:hideMark/>
          </w:tcPr>
          <w:p w14:paraId="43D03F58" w14:textId="77777777" w:rsidR="006A5120" w:rsidRDefault="006A5120">
            <w:pPr>
              <w:pStyle w:val="TableText"/>
              <w:keepNext/>
              <w:rPr>
                <w:b/>
              </w:rPr>
            </w:pPr>
            <w:r>
              <w:rPr>
                <w:b/>
              </w:rPr>
              <w:t>External</w:t>
            </w:r>
          </w:p>
        </w:tc>
        <w:tc>
          <w:tcPr>
            <w:tcW w:w="6986" w:type="dxa"/>
            <w:tcBorders>
              <w:top w:val="single" w:sz="8" w:space="0" w:color="auto"/>
              <w:bottom w:val="single" w:sz="8" w:space="0" w:color="auto"/>
            </w:tcBorders>
            <w:shd w:val="clear" w:color="auto" w:fill="BFBFBF" w:themeFill="background1" w:themeFillShade="BF"/>
          </w:tcPr>
          <w:p w14:paraId="271AFA4C" w14:textId="77777777" w:rsidR="006A5120" w:rsidRDefault="006A5120" w:rsidP="002D35B1">
            <w:pPr>
              <w:pStyle w:val="TableText"/>
              <w:keepNext/>
              <w:ind w:left="450"/>
              <w:rPr>
                <w:b/>
              </w:rPr>
            </w:pPr>
          </w:p>
        </w:tc>
      </w:tr>
      <w:tr w:rsidR="006A5120" w14:paraId="33C4D14A" w14:textId="77777777" w:rsidTr="36496209">
        <w:trPr>
          <w:cantSplit/>
        </w:trPr>
        <w:tc>
          <w:tcPr>
            <w:tcW w:w="3601" w:type="dxa"/>
            <w:tcBorders>
              <w:top w:val="single" w:sz="8" w:space="0" w:color="auto"/>
            </w:tcBorders>
            <w:hideMark/>
          </w:tcPr>
          <w:p w14:paraId="2DC0C2B9" w14:textId="77777777" w:rsidR="006A5120" w:rsidRDefault="006A5120">
            <w:pPr>
              <w:pStyle w:val="TableText"/>
            </w:pPr>
            <w:r>
              <w:t>Other NSW government agencies</w:t>
            </w:r>
          </w:p>
        </w:tc>
        <w:tc>
          <w:tcPr>
            <w:tcW w:w="6986" w:type="dxa"/>
            <w:tcBorders>
              <w:top w:val="single" w:sz="8" w:space="0" w:color="auto"/>
            </w:tcBorders>
            <w:hideMark/>
          </w:tcPr>
          <w:p w14:paraId="56FAF824" w14:textId="77777777" w:rsidR="006A5120" w:rsidRDefault="006A5120" w:rsidP="002D35B1">
            <w:pPr>
              <w:pStyle w:val="TableText"/>
              <w:numPr>
                <w:ilvl w:val="0"/>
                <w:numId w:val="17"/>
              </w:numPr>
              <w:ind w:left="450"/>
            </w:pPr>
            <w:r>
              <w:t>Represent the Department in inter-governmental fora.</w:t>
            </w:r>
          </w:p>
          <w:p w14:paraId="750E5B1C" w14:textId="17F09A2A" w:rsidR="006A5120" w:rsidRDefault="006A5120" w:rsidP="002D35B1">
            <w:pPr>
              <w:pStyle w:val="TableText"/>
              <w:numPr>
                <w:ilvl w:val="0"/>
                <w:numId w:val="17"/>
              </w:numPr>
              <w:ind w:left="450"/>
            </w:pPr>
            <w:r>
              <w:t>Establish professional networks with other NSW clusters and agencies and with similar roles across other jurisdictions</w:t>
            </w:r>
            <w:r w:rsidR="00BF2B73">
              <w:t>.</w:t>
            </w:r>
          </w:p>
          <w:p w14:paraId="42CA3FCD" w14:textId="77777777" w:rsidR="006A5120" w:rsidRDefault="006A5120" w:rsidP="002D35B1">
            <w:pPr>
              <w:pStyle w:val="TableText"/>
              <w:numPr>
                <w:ilvl w:val="0"/>
                <w:numId w:val="17"/>
              </w:numPr>
              <w:ind w:left="450"/>
            </w:pPr>
            <w:r>
              <w:rPr>
                <w:rFonts w:cs="Arial"/>
              </w:rPr>
              <w:t>Enhance engagement by building and maintaining effective relationships and establish strategic alliances and networks with key government agencies.</w:t>
            </w:r>
          </w:p>
          <w:p w14:paraId="63FE7469" w14:textId="77777777" w:rsidR="006A5120" w:rsidRDefault="006A5120" w:rsidP="002D35B1">
            <w:pPr>
              <w:pStyle w:val="TableText"/>
              <w:numPr>
                <w:ilvl w:val="0"/>
                <w:numId w:val="17"/>
              </w:numPr>
              <w:ind w:left="450"/>
            </w:pPr>
            <w:r>
              <w:t>Develop whole of government approaches on key issues, negotiate consistent policies and promote the efficient utilisation of resources.</w:t>
            </w:r>
          </w:p>
        </w:tc>
      </w:tr>
    </w:tbl>
    <w:p w14:paraId="6CFA7B62" w14:textId="77777777" w:rsidR="00603D53" w:rsidRDefault="00603D53" w:rsidP="00C74FFC">
      <w:pPr>
        <w:pStyle w:val="Heading1"/>
        <w:spacing w:before="240"/>
        <w:rPr>
          <w:sz w:val="28"/>
        </w:rPr>
      </w:pPr>
      <w:r w:rsidRPr="00614552">
        <w:t>Role dimensions</w:t>
      </w:r>
    </w:p>
    <w:p w14:paraId="605C40D5" w14:textId="77777777" w:rsidR="00603D53" w:rsidRPr="00614552" w:rsidRDefault="00603D53" w:rsidP="00614552">
      <w:pPr>
        <w:pStyle w:val="Heading2"/>
      </w:pPr>
      <w:r w:rsidRPr="00614552">
        <w:t>Decision making</w:t>
      </w:r>
    </w:p>
    <w:p w14:paraId="0D3EAD67" w14:textId="77777777" w:rsidR="00784247" w:rsidRPr="00A02286" w:rsidRDefault="00784247" w:rsidP="00784247">
      <w:r w:rsidRPr="00A02286">
        <w:t xml:space="preserve">The </w:t>
      </w:r>
      <w:r>
        <w:t>role</w:t>
      </w:r>
      <w:r w:rsidRPr="00A02286">
        <w:t>:  </w:t>
      </w:r>
    </w:p>
    <w:p w14:paraId="388F02CA" w14:textId="77777777" w:rsidR="00784247" w:rsidRPr="00A02286" w:rsidRDefault="00784247" w:rsidP="00784247">
      <w:pPr>
        <w:numPr>
          <w:ilvl w:val="0"/>
          <w:numId w:val="20"/>
        </w:numPr>
        <w:spacing w:after="80" w:line="240" w:lineRule="auto"/>
      </w:pPr>
      <w:r w:rsidRPr="00A02286">
        <w:t>is accountable for the management and staff operations and planning to achieve the overall agreed work program commitments </w:t>
      </w:r>
    </w:p>
    <w:p w14:paraId="616AC5F7" w14:textId="77777777" w:rsidR="00784247" w:rsidRPr="00A02286" w:rsidRDefault="00784247" w:rsidP="00784247">
      <w:pPr>
        <w:numPr>
          <w:ilvl w:val="0"/>
          <w:numId w:val="21"/>
        </w:numPr>
        <w:spacing w:after="80" w:line="240" w:lineRule="auto"/>
      </w:pPr>
      <w:r w:rsidRPr="00A02286">
        <w:t>has considerable autonomy and independence to determine day to day work priorities, deploy resources and allocate duties </w:t>
      </w:r>
    </w:p>
    <w:p w14:paraId="5839729D" w14:textId="77777777" w:rsidR="00784247" w:rsidRPr="00A02286" w:rsidRDefault="00784247" w:rsidP="00784247">
      <w:pPr>
        <w:numPr>
          <w:ilvl w:val="0"/>
          <w:numId w:val="22"/>
        </w:numPr>
        <w:spacing w:after="80" w:line="240" w:lineRule="auto"/>
      </w:pPr>
      <w:r w:rsidRPr="00A02286">
        <w:t>negotiates matters related to area of responsibility, and makes decisions in relation to the quality of work performed and methods and approaches for how to achieve business outcomes </w:t>
      </w:r>
    </w:p>
    <w:p w14:paraId="2EEEE1BB" w14:textId="77777777" w:rsidR="00784247" w:rsidRPr="00A02286" w:rsidRDefault="00784247" w:rsidP="00784247">
      <w:pPr>
        <w:numPr>
          <w:ilvl w:val="0"/>
          <w:numId w:val="23"/>
        </w:numPr>
        <w:spacing w:after="80" w:line="240" w:lineRule="auto"/>
      </w:pPr>
      <w:r w:rsidRPr="00A02286">
        <w:t>is fully accountable for the content, accuracy, validity and integrity of advice provided </w:t>
      </w:r>
    </w:p>
    <w:p w14:paraId="1D567D9B" w14:textId="77777777" w:rsidR="00784247" w:rsidRPr="00A02286" w:rsidRDefault="00784247" w:rsidP="00784247">
      <w:pPr>
        <w:numPr>
          <w:ilvl w:val="0"/>
          <w:numId w:val="24"/>
        </w:numPr>
        <w:spacing w:after="80" w:line="240" w:lineRule="auto"/>
      </w:pPr>
      <w:r w:rsidRPr="00A02286">
        <w:t>makes decisions</w:t>
      </w:r>
      <w:r>
        <w:t xml:space="preserve"> </w:t>
      </w:r>
      <w:r w:rsidRPr="00A02286">
        <w:t>and acts within Government sector core values, strategic plans and priorities, legislative and regulatory frameworks, delegations, and agency policy and procedural frameworks and guidelines  </w:t>
      </w:r>
    </w:p>
    <w:p w14:paraId="1A1D5F67" w14:textId="77777777" w:rsidR="00784247" w:rsidRPr="00A02286" w:rsidRDefault="00784247" w:rsidP="00784247">
      <w:pPr>
        <w:numPr>
          <w:ilvl w:val="0"/>
          <w:numId w:val="25"/>
        </w:numPr>
        <w:spacing w:after="80" w:line="240" w:lineRule="auto"/>
      </w:pPr>
      <w:r w:rsidRPr="00A02286">
        <w:t>is accountable and responsible for the effective management and use of human, financial and other resources within set budget and resource parameters </w:t>
      </w:r>
    </w:p>
    <w:p w14:paraId="3B0E8B09" w14:textId="77777777" w:rsidR="00227F3B" w:rsidRPr="00784247" w:rsidRDefault="00227F3B" w:rsidP="00227F3B">
      <w:pPr>
        <w:pStyle w:val="ListBullet"/>
        <w:numPr>
          <w:ilvl w:val="0"/>
          <w:numId w:val="0"/>
        </w:numPr>
        <w:ind w:left="284" w:hanging="284"/>
        <w:rPr>
          <w:rFonts w:ascii="Arial" w:hAnsi="Arial" w:cs="Arial"/>
          <w:lang w:val="en-US"/>
        </w:rPr>
      </w:pPr>
    </w:p>
    <w:p w14:paraId="19A6D1C7" w14:textId="77777777" w:rsidR="00603D53" w:rsidRPr="00614552" w:rsidRDefault="00603D53" w:rsidP="00614552">
      <w:pPr>
        <w:pStyle w:val="Heading2"/>
      </w:pPr>
      <w:r w:rsidRPr="00614552">
        <w:t>Reporting line</w:t>
      </w:r>
    </w:p>
    <w:p w14:paraId="2FCA6DE6" w14:textId="0A983F55" w:rsidR="00333BD1" w:rsidRPr="00603D53" w:rsidRDefault="003F1D8A" w:rsidP="021E619E">
      <w:pPr>
        <w:rPr>
          <w:rFonts w:cs="Arial"/>
        </w:rPr>
      </w:pPr>
      <w:r w:rsidRPr="021E619E">
        <w:rPr>
          <w:rFonts w:cs="Arial"/>
        </w:rPr>
        <w:t>The</w:t>
      </w:r>
      <w:r w:rsidR="002157A2" w:rsidRPr="021E619E">
        <w:rPr>
          <w:rFonts w:cs="Arial"/>
        </w:rPr>
        <w:t xml:space="preserve"> Director,</w:t>
      </w:r>
      <w:r w:rsidR="00591807" w:rsidRPr="021E619E">
        <w:rPr>
          <w:rFonts w:cs="Arial"/>
        </w:rPr>
        <w:t xml:space="preserve"> Planning Portal Interface</w:t>
      </w:r>
      <w:r w:rsidR="00603D53" w:rsidRPr="021E619E">
        <w:rPr>
          <w:rFonts w:cs="Arial"/>
        </w:rPr>
        <w:t xml:space="preserve"> reports to </w:t>
      </w:r>
      <w:r w:rsidR="0037374E" w:rsidRPr="021E619E">
        <w:rPr>
          <w:rFonts w:cs="Arial"/>
        </w:rPr>
        <w:t>the</w:t>
      </w:r>
      <w:r w:rsidR="00603D53" w:rsidRPr="021E619E">
        <w:rPr>
          <w:rFonts w:cs="Arial"/>
        </w:rPr>
        <w:t xml:space="preserve"> </w:t>
      </w:r>
      <w:r w:rsidR="002157A2" w:rsidRPr="021E619E">
        <w:rPr>
          <w:rFonts w:cs="Arial"/>
        </w:rPr>
        <w:t xml:space="preserve">Executive Director, </w:t>
      </w:r>
      <w:r w:rsidR="21D2121E" w:rsidRPr="021E619E">
        <w:rPr>
          <w:rFonts w:cs="Arial"/>
        </w:rPr>
        <w:t>O</w:t>
      </w:r>
      <w:r w:rsidR="00591807" w:rsidRPr="021E619E">
        <w:rPr>
          <w:rFonts w:cs="Arial"/>
        </w:rPr>
        <w:t>perations</w:t>
      </w:r>
      <w:r w:rsidR="5FC96931" w:rsidRPr="021E619E">
        <w:rPr>
          <w:rFonts w:cs="Arial"/>
        </w:rPr>
        <w:t xml:space="preserve"> and Planning Delivery</w:t>
      </w:r>
    </w:p>
    <w:p w14:paraId="03E6E9A6" w14:textId="77777777" w:rsidR="00603D53" w:rsidRPr="00614552" w:rsidRDefault="00603D53" w:rsidP="00614552">
      <w:pPr>
        <w:pStyle w:val="Heading2"/>
      </w:pPr>
      <w:r w:rsidRPr="00614552">
        <w:t>Direct reports</w:t>
      </w:r>
    </w:p>
    <w:p w14:paraId="4C9E37A8" w14:textId="41F8D9B0" w:rsidR="00603D53" w:rsidRDefault="00510AA7">
      <w:pPr>
        <w:rPr>
          <w:rFonts w:cs="Arial"/>
          <w:szCs w:val="26"/>
        </w:rPr>
      </w:pPr>
      <w:r>
        <w:rPr>
          <w:rFonts w:cs="Arial"/>
          <w:szCs w:val="26"/>
        </w:rPr>
        <w:t xml:space="preserve">Up to 7 </w:t>
      </w:r>
      <w:r w:rsidR="00DB126F">
        <w:rPr>
          <w:rFonts w:cs="Arial"/>
          <w:szCs w:val="26"/>
        </w:rPr>
        <w:t>direct reports</w:t>
      </w:r>
    </w:p>
    <w:p w14:paraId="02743AAD" w14:textId="77777777" w:rsidR="00D91074" w:rsidRPr="00173536" w:rsidRDefault="00D91074" w:rsidP="00D91074">
      <w:pPr>
        <w:rPr>
          <w:rFonts w:eastAsiaTheme="minorHAnsi" w:cs="Arial"/>
          <w:b/>
          <w:bCs/>
          <w:iCs/>
          <w:color w:val="6D6E71"/>
          <w:sz w:val="24"/>
          <w:szCs w:val="28"/>
          <w:lang w:val="en-AU"/>
        </w:rPr>
      </w:pPr>
      <w:r w:rsidRPr="00173536">
        <w:rPr>
          <w:rFonts w:eastAsiaTheme="minorHAnsi" w:cs="Arial"/>
          <w:b/>
          <w:bCs/>
          <w:iCs/>
          <w:color w:val="6D6E71"/>
          <w:sz w:val="24"/>
          <w:szCs w:val="28"/>
          <w:lang w:val="en-AU"/>
        </w:rPr>
        <w:lastRenderedPageBreak/>
        <w:t>Budget / Expenditure</w:t>
      </w:r>
    </w:p>
    <w:p w14:paraId="36F1E072" w14:textId="0CA890E0" w:rsidR="00D91074" w:rsidRPr="00173536" w:rsidRDefault="00DB126F" w:rsidP="00D91074">
      <w:pPr>
        <w:rPr>
          <w:rFonts w:cs="Arial"/>
          <w:lang w:val="en-AU"/>
        </w:rPr>
      </w:pPr>
      <w:r>
        <w:rPr>
          <w:rFonts w:cs="Arial"/>
          <w:lang w:val="en-AU"/>
        </w:rPr>
        <w:t>TBA</w:t>
      </w:r>
    </w:p>
    <w:p w14:paraId="783C546C" w14:textId="77777777" w:rsidR="00D91074" w:rsidRPr="00173536" w:rsidRDefault="00D91074" w:rsidP="00D91074">
      <w:pPr>
        <w:tabs>
          <w:tab w:val="left" w:pos="2925"/>
        </w:tabs>
        <w:rPr>
          <w:rFonts w:eastAsiaTheme="minorHAnsi" w:cs="Arial"/>
          <w:b/>
          <w:bCs/>
          <w:kern w:val="32"/>
          <w:sz w:val="26"/>
          <w:szCs w:val="32"/>
          <w:lang w:val="en-AU"/>
        </w:rPr>
      </w:pPr>
      <w:r w:rsidRPr="00173536">
        <w:rPr>
          <w:rStyle w:val="Heading1Char"/>
        </w:rPr>
        <w:t>Knowledge &amp; Experience</w:t>
      </w:r>
    </w:p>
    <w:p w14:paraId="3D7F995D" w14:textId="14C8D1B9" w:rsidR="00D91074" w:rsidRPr="00173536" w:rsidRDefault="00D91074" w:rsidP="00D91074">
      <w:pPr>
        <w:pStyle w:val="ListParagraph"/>
        <w:numPr>
          <w:ilvl w:val="0"/>
          <w:numId w:val="14"/>
        </w:numPr>
        <w:tabs>
          <w:tab w:val="left" w:pos="2925"/>
        </w:tabs>
        <w:rPr>
          <w:rFonts w:cs="Arial"/>
        </w:rPr>
      </w:pPr>
      <w:r w:rsidRPr="00173536">
        <w:rPr>
          <w:rFonts w:cs="Arial"/>
        </w:rPr>
        <w:t>Significant knowledge of the workings of government and in-depth knowledge and experience working with applicable legislation and regulations</w:t>
      </w:r>
      <w:r w:rsidR="00DB126F">
        <w:rPr>
          <w:rFonts w:cs="Arial"/>
        </w:rPr>
        <w:t>.</w:t>
      </w:r>
    </w:p>
    <w:p w14:paraId="632B4E70" w14:textId="1A764DA4" w:rsidR="00D91074" w:rsidRPr="00173536" w:rsidRDefault="00D91074" w:rsidP="00D91074">
      <w:pPr>
        <w:pStyle w:val="ListParagraph"/>
        <w:numPr>
          <w:ilvl w:val="0"/>
          <w:numId w:val="14"/>
        </w:numPr>
        <w:tabs>
          <w:tab w:val="left" w:pos="2925"/>
        </w:tabs>
        <w:rPr>
          <w:rFonts w:cs="Arial"/>
        </w:rPr>
      </w:pPr>
      <w:r w:rsidRPr="00173536">
        <w:rPr>
          <w:rFonts w:cs="Arial"/>
        </w:rPr>
        <w:t xml:space="preserve">Significant experience at a senior executive level managing large and complex resources to achieve key </w:t>
      </w:r>
      <w:proofErr w:type="spellStart"/>
      <w:r w:rsidRPr="00173536">
        <w:rPr>
          <w:rFonts w:cs="Arial"/>
        </w:rPr>
        <w:t>organisational</w:t>
      </w:r>
      <w:proofErr w:type="spellEnd"/>
      <w:r w:rsidRPr="00173536">
        <w:rPr>
          <w:rFonts w:cs="Arial"/>
        </w:rPr>
        <w:t xml:space="preserve"> objectives</w:t>
      </w:r>
      <w:r>
        <w:rPr>
          <w:rFonts w:cs="Arial"/>
        </w:rPr>
        <w:t>.</w:t>
      </w:r>
    </w:p>
    <w:p w14:paraId="0F6D0DBC" w14:textId="4FFC2ABE" w:rsidR="00D91074" w:rsidRPr="00173536" w:rsidRDefault="00D91074" w:rsidP="00D91074">
      <w:pPr>
        <w:tabs>
          <w:tab w:val="left" w:pos="2925"/>
        </w:tabs>
        <w:rPr>
          <w:rStyle w:val="Heading1Char"/>
        </w:rPr>
      </w:pPr>
      <w:r w:rsidRPr="00173536">
        <w:rPr>
          <w:rStyle w:val="Heading1Char"/>
        </w:rPr>
        <w:t>Essential requirements</w:t>
      </w:r>
    </w:p>
    <w:p w14:paraId="65B4A01D" w14:textId="2A7F7813" w:rsidR="00D91074" w:rsidRPr="00173536" w:rsidRDefault="00D91074" w:rsidP="00D91074">
      <w:pPr>
        <w:pStyle w:val="ListParagraph"/>
        <w:numPr>
          <w:ilvl w:val="0"/>
          <w:numId w:val="14"/>
        </w:numPr>
        <w:tabs>
          <w:tab w:val="left" w:pos="2925"/>
        </w:tabs>
        <w:rPr>
          <w:rFonts w:cs="Arial"/>
        </w:rPr>
      </w:pPr>
      <w:r w:rsidRPr="00173536">
        <w:rPr>
          <w:rFonts w:cs="Arial"/>
        </w:rPr>
        <w:t>Degree qualification in a related discipline or equivalent relevant experience</w:t>
      </w:r>
      <w:r w:rsidR="00BC74EB">
        <w:rPr>
          <w:rFonts w:cs="Arial"/>
        </w:rPr>
        <w:t>.</w:t>
      </w:r>
      <w:r w:rsidRPr="00173536">
        <w:rPr>
          <w:rFonts w:cs="Arial"/>
        </w:rPr>
        <w:t xml:space="preserve"> </w:t>
      </w:r>
    </w:p>
    <w:p w14:paraId="235A2830" w14:textId="77777777" w:rsidR="00B6123A" w:rsidRPr="0009505C" w:rsidRDefault="00B6123A" w:rsidP="00B6123A">
      <w:pPr>
        <w:pStyle w:val="TableBullet"/>
        <w:numPr>
          <w:ilvl w:val="0"/>
          <w:numId w:val="0"/>
        </w:numPr>
        <w:rPr>
          <w:sz w:val="22"/>
          <w:szCs w:val="22"/>
        </w:rPr>
      </w:pPr>
    </w:p>
    <w:p w14:paraId="2BB0E74D" w14:textId="77777777" w:rsidR="000841EF" w:rsidRPr="00461537" w:rsidRDefault="000841EF" w:rsidP="000841EF">
      <w:pPr>
        <w:pStyle w:val="Heading2"/>
        <w:rPr>
          <w:rStyle w:val="Heading1Char"/>
          <w:b/>
          <w:bCs/>
          <w:iCs w:val="0"/>
          <w:color w:val="auto"/>
        </w:rPr>
      </w:pPr>
      <w:bookmarkStart w:id="1" w:name="_Hlk36203683"/>
      <w:bookmarkStart w:id="2" w:name="_Hlk36565316"/>
      <w:bookmarkStart w:id="3" w:name="_Hlk36209343"/>
      <w:bookmarkStart w:id="4" w:name="_Hlk36710441"/>
      <w:r w:rsidRPr="00461537">
        <w:rPr>
          <w:rStyle w:val="Heading1Char"/>
          <w:b/>
          <w:bCs/>
          <w:iCs w:val="0"/>
          <w:color w:val="auto"/>
        </w:rPr>
        <w:t>Capabilities for the role</w:t>
      </w:r>
    </w:p>
    <w:p w14:paraId="3CA64A77" w14:textId="77777777" w:rsidR="000841EF" w:rsidRPr="00175AAF" w:rsidRDefault="000841EF" w:rsidP="000841EF">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2839ABC" w14:textId="77777777" w:rsidR="000841EF" w:rsidRPr="003C7A36" w:rsidRDefault="000841EF" w:rsidP="000841EF">
      <w:r w:rsidRPr="003E0111">
        <w:t>The capabilities are separated into focus capabilities and complementary capabilities</w:t>
      </w:r>
    </w:p>
    <w:p w14:paraId="1DD40088" w14:textId="77777777" w:rsidR="000841EF" w:rsidRPr="00B6123A" w:rsidRDefault="000841EF" w:rsidP="000841EF">
      <w:pPr>
        <w:pStyle w:val="Heading2"/>
      </w:pPr>
      <w:r w:rsidRPr="00B6123A">
        <w:t>Focus capabilities</w:t>
      </w:r>
      <w:r w:rsidRPr="00B6123A">
        <w:tab/>
      </w:r>
    </w:p>
    <w:p w14:paraId="692519E6" w14:textId="77777777" w:rsidR="000841EF" w:rsidRPr="00B6123A" w:rsidRDefault="000841EF" w:rsidP="000841EF">
      <w:pPr>
        <w:pStyle w:val="PlainText"/>
        <w:spacing w:before="62" w:line="276" w:lineRule="auto"/>
        <w:rPr>
          <w:rFonts w:ascii="Arial" w:eastAsiaTheme="minorEastAsia" w:hAnsi="Arial" w:cs="Arial"/>
          <w:szCs w:val="22"/>
          <w:lang w:val="en-US"/>
        </w:rPr>
      </w:pPr>
      <w:r w:rsidRPr="00B6123A">
        <w:rPr>
          <w:rFonts w:ascii="Arial" w:eastAsiaTheme="minorEastAsia" w:hAnsi="Arial" w:cs="Arial"/>
          <w:i/>
          <w:szCs w:val="22"/>
          <w:lang w:val="en-US"/>
        </w:rPr>
        <w:t>Focus capabilities</w:t>
      </w:r>
      <w:r w:rsidRPr="00B6123A">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4F5F8B1C" w14:textId="68B6447E" w:rsidR="000841EF" w:rsidRDefault="000841EF" w:rsidP="000841EF">
      <w:pPr>
        <w:pStyle w:val="PlainText"/>
        <w:spacing w:before="62" w:line="276" w:lineRule="auto"/>
        <w:rPr>
          <w:rFonts w:ascii="Arial" w:eastAsiaTheme="minorEastAsia" w:hAnsi="Arial" w:cs="Arial"/>
          <w:szCs w:val="22"/>
          <w:lang w:val="en-US"/>
        </w:rPr>
      </w:pPr>
      <w:r w:rsidRPr="00B6123A">
        <w:rPr>
          <w:rFonts w:ascii="Arial" w:eastAsiaTheme="minorEastAsia" w:hAnsi="Arial" w:cs="Arial"/>
          <w:szCs w:val="22"/>
          <w:lang w:val="en-US"/>
        </w:rPr>
        <w:t xml:space="preserve">The focus capabilities for this role are shown below with a brief explanation of what each capability covers and the indicators describing the types of </w:t>
      </w:r>
      <w:proofErr w:type="spellStart"/>
      <w:r w:rsidRPr="00B6123A">
        <w:rPr>
          <w:rFonts w:ascii="Arial" w:eastAsiaTheme="minorEastAsia" w:hAnsi="Arial" w:cs="Arial"/>
          <w:szCs w:val="22"/>
          <w:lang w:val="en-US"/>
        </w:rPr>
        <w:t>behaviours</w:t>
      </w:r>
      <w:proofErr w:type="spellEnd"/>
      <w:r w:rsidRPr="00B6123A">
        <w:rPr>
          <w:rFonts w:ascii="Arial" w:eastAsiaTheme="minorEastAsia" w:hAnsi="Arial" w:cs="Arial"/>
          <w:szCs w:val="22"/>
          <w:lang w:val="en-US"/>
        </w:rPr>
        <w:t xml:space="preserve"> expected at each level.</w:t>
      </w:r>
    </w:p>
    <w:p w14:paraId="336E8D6F" w14:textId="77777777" w:rsidR="00B6123A" w:rsidRPr="00B6123A" w:rsidRDefault="00B6123A" w:rsidP="000841EF">
      <w:pPr>
        <w:pStyle w:val="PlainText"/>
        <w:spacing w:before="62" w:line="276" w:lineRule="auto"/>
        <w:rPr>
          <w:rFonts w:ascii="Arial" w:eastAsiaTheme="minorEastAsia" w:hAnsi="Arial" w:cs="Arial"/>
          <w:szCs w:val="22"/>
          <w:lang w:val="en-US"/>
        </w:rPr>
      </w:pP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0841EF" w:rsidRPr="00B6123A" w14:paraId="3386E3CB" w14:textId="77777777" w:rsidTr="00B6123A">
        <w:trPr>
          <w:cantSplit/>
          <w:tblHeader/>
        </w:trPr>
        <w:tc>
          <w:tcPr>
            <w:tcW w:w="1385" w:type="dxa"/>
            <w:shd w:val="clear" w:color="auto" w:fill="BFBFBF" w:themeFill="background1" w:themeFillShade="BF"/>
            <w:vAlign w:val="center"/>
          </w:tcPr>
          <w:p w14:paraId="0776319A" w14:textId="77777777" w:rsidR="000841EF" w:rsidRPr="00B6123A" w:rsidRDefault="000841EF">
            <w:pPr>
              <w:rPr>
                <w:rFonts w:cs="Arial"/>
                <w:sz w:val="20"/>
              </w:rPr>
            </w:pPr>
            <w:r w:rsidRPr="00B6123A">
              <w:rPr>
                <w:rFonts w:cs="Arial"/>
                <w:b/>
                <w:sz w:val="20"/>
              </w:rPr>
              <w:t>Capability group/sets</w:t>
            </w:r>
          </w:p>
        </w:tc>
        <w:tc>
          <w:tcPr>
            <w:tcW w:w="2726" w:type="dxa"/>
            <w:shd w:val="clear" w:color="auto" w:fill="BFBFBF" w:themeFill="background1" w:themeFillShade="BF"/>
          </w:tcPr>
          <w:p w14:paraId="5C59A6ED" w14:textId="77777777" w:rsidR="000841EF" w:rsidRPr="00B6123A" w:rsidRDefault="000841EF">
            <w:pPr>
              <w:rPr>
                <w:rFonts w:cs="Arial"/>
                <w:sz w:val="20"/>
              </w:rPr>
            </w:pPr>
            <w:r w:rsidRPr="00B6123A">
              <w:rPr>
                <w:rFonts w:cs="Arial"/>
                <w:b/>
                <w:sz w:val="20"/>
              </w:rPr>
              <w:t>Capability name</w:t>
            </w:r>
          </w:p>
        </w:tc>
        <w:tc>
          <w:tcPr>
            <w:tcW w:w="4709" w:type="dxa"/>
            <w:shd w:val="clear" w:color="auto" w:fill="BFBFBF" w:themeFill="background1" w:themeFillShade="BF"/>
          </w:tcPr>
          <w:p w14:paraId="7665C4F6" w14:textId="77777777" w:rsidR="000841EF" w:rsidRPr="00B6123A" w:rsidRDefault="000841EF">
            <w:pPr>
              <w:rPr>
                <w:rFonts w:cs="Arial"/>
                <w:sz w:val="20"/>
              </w:rPr>
            </w:pPr>
            <w:proofErr w:type="spellStart"/>
            <w:r w:rsidRPr="00B6123A">
              <w:rPr>
                <w:rFonts w:cs="Arial"/>
                <w:b/>
                <w:sz w:val="20"/>
              </w:rPr>
              <w:t>Behavioural</w:t>
            </w:r>
            <w:proofErr w:type="spellEnd"/>
            <w:r w:rsidRPr="00B6123A">
              <w:rPr>
                <w:rFonts w:cs="Arial"/>
                <w:b/>
                <w:sz w:val="20"/>
              </w:rPr>
              <w:t xml:space="preserve"> indicators</w:t>
            </w:r>
          </w:p>
        </w:tc>
        <w:tc>
          <w:tcPr>
            <w:tcW w:w="1668" w:type="dxa"/>
            <w:shd w:val="clear" w:color="auto" w:fill="BFBFBF" w:themeFill="background1" w:themeFillShade="BF"/>
          </w:tcPr>
          <w:p w14:paraId="3941FCAA" w14:textId="77777777" w:rsidR="000841EF" w:rsidRPr="00B6123A" w:rsidRDefault="000841EF">
            <w:pPr>
              <w:rPr>
                <w:rFonts w:cs="Arial"/>
                <w:b/>
                <w:bCs/>
                <w:sz w:val="20"/>
              </w:rPr>
            </w:pPr>
            <w:r w:rsidRPr="00B6123A">
              <w:rPr>
                <w:rFonts w:cs="Arial"/>
                <w:b/>
                <w:bCs/>
                <w:sz w:val="20"/>
              </w:rPr>
              <w:t>Level</w:t>
            </w:r>
          </w:p>
        </w:tc>
      </w:tr>
      <w:tr w:rsidR="000841EF" w:rsidRPr="00B6123A" w14:paraId="3385BABD" w14:textId="77777777">
        <w:trPr>
          <w:cantSplit/>
        </w:trPr>
        <w:tc>
          <w:tcPr>
            <w:tcW w:w="1385" w:type="dxa"/>
          </w:tcPr>
          <w:p w14:paraId="58DDBB03" w14:textId="77777777" w:rsidR="000841EF" w:rsidRPr="00B6123A" w:rsidRDefault="000841EF">
            <w:pPr>
              <w:jc w:val="center"/>
              <w:rPr>
                <w:rFonts w:cs="Arial"/>
                <w:noProof/>
                <w:sz w:val="20"/>
                <w:lang w:eastAsia="en-AU"/>
              </w:rPr>
            </w:pPr>
            <w:r w:rsidRPr="00B6123A">
              <w:rPr>
                <w:rFonts w:cs="Arial"/>
                <w:noProof/>
                <w:sz w:val="20"/>
                <w:lang w:eastAsia="en-AU"/>
              </w:rPr>
              <w:drawing>
                <wp:inline distT="0" distB="0" distL="0" distR="0" wp14:anchorId="04F68B32" wp14:editId="0146A627">
                  <wp:extent cx="749300" cy="749300"/>
                  <wp:effectExtent l="0" t="0" r="0" b="0"/>
                  <wp:docPr id="645"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D5C3AE1" w14:textId="77777777" w:rsidR="000841EF" w:rsidRPr="00B6123A" w:rsidRDefault="000841EF">
            <w:pPr>
              <w:rPr>
                <w:rFonts w:cs="Arial"/>
                <w:color w:val="000000"/>
                <w:sz w:val="20"/>
              </w:rPr>
            </w:pPr>
            <w:r w:rsidRPr="00B6123A">
              <w:rPr>
                <w:rFonts w:cs="Arial"/>
                <w:b/>
                <w:bCs/>
                <w:color w:val="000000"/>
                <w:sz w:val="20"/>
              </w:rPr>
              <w:t>Act with Integrity</w:t>
            </w:r>
          </w:p>
          <w:p w14:paraId="664BACF1" w14:textId="77777777" w:rsidR="000841EF" w:rsidRPr="00B6123A" w:rsidRDefault="000841EF">
            <w:pPr>
              <w:rPr>
                <w:rFonts w:cs="Arial"/>
                <w:color w:val="000000"/>
                <w:sz w:val="20"/>
              </w:rPr>
            </w:pPr>
            <w:r w:rsidRPr="00B6123A">
              <w:rPr>
                <w:rFonts w:cs="Arial"/>
                <w:color w:val="000000"/>
                <w:sz w:val="20"/>
              </w:rPr>
              <w:t>Be ethical and professional, and uphold and promote the public sector values</w:t>
            </w:r>
          </w:p>
        </w:tc>
        <w:tc>
          <w:tcPr>
            <w:tcW w:w="4709" w:type="dxa"/>
          </w:tcPr>
          <w:p w14:paraId="00368647" w14:textId="77777777" w:rsidR="000841EF" w:rsidRPr="00B6123A" w:rsidRDefault="000841EF">
            <w:pPr>
              <w:pStyle w:val="TableBullet"/>
              <w:rPr>
                <w:rFonts w:cs="Arial"/>
              </w:rPr>
            </w:pPr>
            <w:r w:rsidRPr="00B6123A">
              <w:rPr>
                <w:rFonts w:cs="Arial"/>
              </w:rPr>
              <w:t>Champion and model the highest standards of ethical and professional behaviour</w:t>
            </w:r>
          </w:p>
          <w:p w14:paraId="46C9F469" w14:textId="77777777" w:rsidR="000841EF" w:rsidRPr="00B6123A" w:rsidRDefault="000841EF">
            <w:pPr>
              <w:pStyle w:val="TableBullet"/>
              <w:rPr>
                <w:rFonts w:cs="Arial"/>
              </w:rPr>
            </w:pPr>
            <w:r w:rsidRPr="00B6123A">
              <w:rPr>
                <w:rFonts w:cs="Arial"/>
              </w:rPr>
              <w:t>Drive a culture of integrity and professionalism within the organisation, and in dealings across government and with other jurisdictions and external organisations</w:t>
            </w:r>
          </w:p>
          <w:p w14:paraId="4CB236D6" w14:textId="77777777" w:rsidR="000841EF" w:rsidRPr="00B6123A" w:rsidRDefault="000841EF">
            <w:pPr>
              <w:pStyle w:val="TableBullet"/>
              <w:rPr>
                <w:rFonts w:cs="Arial"/>
              </w:rPr>
            </w:pPr>
            <w:r w:rsidRPr="00B6123A">
              <w:rPr>
                <w:rFonts w:cs="Arial"/>
              </w:rPr>
              <w:t>Set, communicate and evaluate ethical practices, standards and systems and reinforce their use</w:t>
            </w:r>
          </w:p>
          <w:p w14:paraId="6BEE9E09" w14:textId="77777777" w:rsidR="000841EF" w:rsidRPr="00B6123A" w:rsidRDefault="000841EF">
            <w:pPr>
              <w:pStyle w:val="TableBullet"/>
              <w:rPr>
                <w:rFonts w:cs="Arial"/>
              </w:rPr>
            </w:pPr>
            <w:r w:rsidRPr="00B6123A">
              <w:rPr>
                <w:rFonts w:cs="Arial"/>
              </w:rPr>
              <w:t>Create and promote a culture in which staff feel able to report apparent breaches of legislation, policies and guidelines and act promptly and visibly in response to such reports</w:t>
            </w:r>
          </w:p>
          <w:p w14:paraId="3C31A77F" w14:textId="77777777" w:rsidR="000841EF" w:rsidRPr="00B6123A" w:rsidRDefault="000841EF">
            <w:pPr>
              <w:pStyle w:val="TableBullet"/>
              <w:rPr>
                <w:rFonts w:cs="Arial"/>
              </w:rPr>
            </w:pPr>
            <w:r w:rsidRPr="00B6123A">
              <w:rPr>
                <w:rFonts w:cs="Arial"/>
              </w:rPr>
              <w:t>Act promptly and visibly to prevent and respond to unethical behaviour</w:t>
            </w:r>
          </w:p>
        </w:tc>
        <w:tc>
          <w:tcPr>
            <w:tcW w:w="1668" w:type="dxa"/>
          </w:tcPr>
          <w:p w14:paraId="57F38016" w14:textId="2A3EF212" w:rsidR="000841EF" w:rsidRPr="00B6123A" w:rsidRDefault="000841EF">
            <w:pPr>
              <w:pStyle w:val="TableText"/>
              <w:rPr>
                <w:rFonts w:cs="Arial"/>
              </w:rPr>
            </w:pPr>
            <w:r w:rsidRPr="00B6123A">
              <w:rPr>
                <w:rFonts w:cs="Arial"/>
              </w:rPr>
              <w:t>Advanced</w:t>
            </w:r>
          </w:p>
        </w:tc>
      </w:tr>
      <w:tr w:rsidR="000841EF" w:rsidRPr="00B6123A" w14:paraId="32499E52" w14:textId="77777777">
        <w:trPr>
          <w:cantSplit/>
        </w:trPr>
        <w:tc>
          <w:tcPr>
            <w:tcW w:w="1385" w:type="dxa"/>
          </w:tcPr>
          <w:p w14:paraId="2C59A9F8" w14:textId="77777777" w:rsidR="000841EF" w:rsidRPr="00B6123A" w:rsidRDefault="000841EF">
            <w:pPr>
              <w:jc w:val="center"/>
              <w:rPr>
                <w:rFonts w:cs="Arial"/>
                <w:noProof/>
                <w:sz w:val="20"/>
                <w:lang w:eastAsia="en-AU"/>
              </w:rPr>
            </w:pPr>
            <w:r w:rsidRPr="00B6123A">
              <w:rPr>
                <w:rFonts w:cs="Arial"/>
                <w:noProof/>
                <w:sz w:val="20"/>
                <w:lang w:eastAsia="en-AU"/>
              </w:rPr>
              <w:lastRenderedPageBreak/>
              <w:drawing>
                <wp:inline distT="0" distB="0" distL="0" distR="0" wp14:anchorId="0E60E75C" wp14:editId="369868F3">
                  <wp:extent cx="749300" cy="749300"/>
                  <wp:effectExtent l="0" t="0" r="0" b="0"/>
                  <wp:docPr id="900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6DA699C" w14:textId="77777777" w:rsidR="000841EF" w:rsidRPr="00B6123A" w:rsidRDefault="000841EF">
            <w:pPr>
              <w:rPr>
                <w:rFonts w:cs="Arial"/>
                <w:color w:val="000000"/>
                <w:sz w:val="20"/>
              </w:rPr>
            </w:pPr>
            <w:r w:rsidRPr="00B6123A">
              <w:rPr>
                <w:rFonts w:cs="Arial"/>
                <w:b/>
                <w:bCs/>
                <w:color w:val="000000"/>
                <w:sz w:val="20"/>
              </w:rPr>
              <w:t>Value Diversity and Inclusion</w:t>
            </w:r>
          </w:p>
          <w:p w14:paraId="04124956" w14:textId="77777777" w:rsidR="000841EF" w:rsidRPr="00B6123A" w:rsidRDefault="000841EF">
            <w:pPr>
              <w:rPr>
                <w:rFonts w:cs="Arial"/>
                <w:color w:val="000000"/>
                <w:sz w:val="20"/>
              </w:rPr>
            </w:pPr>
            <w:r w:rsidRPr="00B6123A">
              <w:rPr>
                <w:rFonts w:cs="Arial"/>
                <w:color w:val="000000"/>
                <w:sz w:val="20"/>
              </w:rPr>
              <w:t xml:space="preserve">Demonstrate inclusive </w:t>
            </w:r>
            <w:proofErr w:type="spellStart"/>
            <w:r w:rsidRPr="00B6123A">
              <w:rPr>
                <w:rFonts w:cs="Arial"/>
                <w:color w:val="000000"/>
                <w:sz w:val="20"/>
              </w:rPr>
              <w:t>behaviour</w:t>
            </w:r>
            <w:proofErr w:type="spellEnd"/>
            <w:r w:rsidRPr="00B6123A">
              <w:rPr>
                <w:rFonts w:cs="Arial"/>
                <w:color w:val="000000"/>
                <w:sz w:val="20"/>
              </w:rPr>
              <w:t xml:space="preserve"> and show respect for diverse backgrounds, experiences and perspectives</w:t>
            </w:r>
          </w:p>
        </w:tc>
        <w:tc>
          <w:tcPr>
            <w:tcW w:w="4709" w:type="dxa"/>
          </w:tcPr>
          <w:p w14:paraId="4C941C8B" w14:textId="77777777" w:rsidR="000841EF" w:rsidRPr="00B6123A" w:rsidRDefault="000841EF">
            <w:pPr>
              <w:pStyle w:val="TableBullet"/>
              <w:rPr>
                <w:rFonts w:cs="Arial"/>
              </w:rPr>
            </w:pPr>
            <w:r w:rsidRPr="00B6123A">
              <w:rPr>
                <w:rFonts w:cs="Arial"/>
              </w:rPr>
              <w:t>Create and drive a culture where all staff practise inclusion and value the diversity of people, experiences and backgrounds</w:t>
            </w:r>
          </w:p>
          <w:p w14:paraId="6917D217" w14:textId="77777777" w:rsidR="000841EF" w:rsidRPr="00B6123A" w:rsidRDefault="000841EF">
            <w:pPr>
              <w:pStyle w:val="TableBullet"/>
              <w:rPr>
                <w:rFonts w:cs="Arial"/>
              </w:rPr>
            </w:pPr>
            <w:r w:rsidRPr="00B6123A">
              <w:rPr>
                <w:rFonts w:cs="Arial"/>
              </w:rPr>
              <w:t>Take advantage of a diverse and inclusive workplace to foster innovation, drive change across the organisation and deliver business outcomes</w:t>
            </w:r>
          </w:p>
          <w:p w14:paraId="51E3B524" w14:textId="77777777" w:rsidR="000841EF" w:rsidRPr="00B6123A" w:rsidRDefault="000841EF">
            <w:pPr>
              <w:pStyle w:val="TableBullet"/>
              <w:rPr>
                <w:rFonts w:cs="Arial"/>
              </w:rPr>
            </w:pPr>
            <w:r w:rsidRPr="00B6123A">
              <w:rPr>
                <w:rFonts w:cs="Arial"/>
              </w:rPr>
              <w:t>Drive the design of equitable workplace systems, policies and practices that enable individuals to contribute to their fullest ability</w:t>
            </w:r>
          </w:p>
          <w:p w14:paraId="27A8F86D" w14:textId="77777777" w:rsidR="000841EF" w:rsidRPr="00B6123A" w:rsidRDefault="000841EF">
            <w:pPr>
              <w:pStyle w:val="TableBullet"/>
              <w:rPr>
                <w:rFonts w:cs="Arial"/>
              </w:rPr>
            </w:pPr>
            <w:r w:rsidRPr="00B6123A">
              <w:rPr>
                <w:rFonts w:cs="Arial"/>
              </w:rPr>
              <w:t>Inspire others to become inclusive leaders by modelling inclusive behaviours in everyday actions</w:t>
            </w:r>
          </w:p>
        </w:tc>
        <w:tc>
          <w:tcPr>
            <w:tcW w:w="1668" w:type="dxa"/>
          </w:tcPr>
          <w:p w14:paraId="184F38FA" w14:textId="4BD95A94" w:rsidR="000841EF" w:rsidRPr="00B6123A" w:rsidRDefault="000841EF">
            <w:pPr>
              <w:pStyle w:val="TableText"/>
              <w:rPr>
                <w:rFonts w:cs="Arial"/>
              </w:rPr>
            </w:pPr>
            <w:r w:rsidRPr="00B6123A">
              <w:rPr>
                <w:rFonts w:cs="Arial"/>
              </w:rPr>
              <w:t>Advanced</w:t>
            </w:r>
          </w:p>
        </w:tc>
      </w:tr>
      <w:tr w:rsidR="000841EF" w:rsidRPr="00B6123A" w14:paraId="53BCA6D8" w14:textId="77777777">
        <w:trPr>
          <w:cantSplit/>
        </w:trPr>
        <w:tc>
          <w:tcPr>
            <w:tcW w:w="1385" w:type="dxa"/>
          </w:tcPr>
          <w:p w14:paraId="4D4B7EEA" w14:textId="77777777" w:rsidR="000841EF" w:rsidRPr="00B6123A" w:rsidRDefault="000841EF">
            <w:pPr>
              <w:jc w:val="center"/>
              <w:rPr>
                <w:rFonts w:cs="Arial"/>
                <w:noProof/>
                <w:sz w:val="20"/>
                <w:lang w:eastAsia="en-AU"/>
              </w:rPr>
            </w:pPr>
            <w:r w:rsidRPr="00B6123A">
              <w:rPr>
                <w:rFonts w:cs="Arial"/>
                <w:noProof/>
                <w:sz w:val="20"/>
                <w:lang w:eastAsia="en-AU"/>
              </w:rPr>
              <w:drawing>
                <wp:inline distT="0" distB="0" distL="0" distR="0" wp14:anchorId="0FFEFDEC" wp14:editId="445FF50A">
                  <wp:extent cx="749300" cy="749300"/>
                  <wp:effectExtent l="0" t="0" r="0" b="0"/>
                  <wp:docPr id="259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450A9A7" w14:textId="77777777" w:rsidR="000841EF" w:rsidRPr="00B6123A" w:rsidRDefault="000841EF">
            <w:pPr>
              <w:rPr>
                <w:rFonts w:cs="Arial"/>
                <w:color w:val="000000"/>
                <w:sz w:val="20"/>
              </w:rPr>
            </w:pPr>
            <w:r w:rsidRPr="00B6123A">
              <w:rPr>
                <w:rFonts w:cs="Arial"/>
                <w:b/>
                <w:bCs/>
                <w:color w:val="000000"/>
                <w:sz w:val="20"/>
              </w:rPr>
              <w:t>Communicate Effectively</w:t>
            </w:r>
          </w:p>
          <w:p w14:paraId="058952EC" w14:textId="77777777" w:rsidR="000841EF" w:rsidRPr="00B6123A" w:rsidRDefault="000841EF">
            <w:pPr>
              <w:rPr>
                <w:rFonts w:cs="Arial"/>
                <w:color w:val="000000"/>
                <w:sz w:val="20"/>
              </w:rPr>
            </w:pPr>
            <w:r w:rsidRPr="00B6123A">
              <w:rPr>
                <w:rFonts w:cs="Arial"/>
                <w:color w:val="000000"/>
                <w:sz w:val="20"/>
              </w:rPr>
              <w:t>Communicate clearly, actively listen to others, and respond with understanding and respect</w:t>
            </w:r>
          </w:p>
        </w:tc>
        <w:tc>
          <w:tcPr>
            <w:tcW w:w="4709" w:type="dxa"/>
          </w:tcPr>
          <w:p w14:paraId="003EE6C1" w14:textId="77777777" w:rsidR="000841EF" w:rsidRPr="00B6123A" w:rsidRDefault="000841EF">
            <w:pPr>
              <w:pStyle w:val="TableBullet"/>
              <w:rPr>
                <w:rFonts w:cs="Arial"/>
              </w:rPr>
            </w:pPr>
            <w:r w:rsidRPr="00B6123A">
              <w:rPr>
                <w:rFonts w:cs="Arial"/>
              </w:rPr>
              <w:t>Tailor communication to diverse audiences</w:t>
            </w:r>
          </w:p>
          <w:p w14:paraId="08272460" w14:textId="77777777" w:rsidR="000841EF" w:rsidRPr="00B6123A" w:rsidRDefault="000841EF">
            <w:pPr>
              <w:pStyle w:val="TableBullet"/>
              <w:rPr>
                <w:rFonts w:cs="Arial"/>
              </w:rPr>
            </w:pPr>
            <w:r w:rsidRPr="00B6123A">
              <w:rPr>
                <w:rFonts w:cs="Arial"/>
              </w:rPr>
              <w:t>Clearly explain complex concepts and arguments to individuals and groups</w:t>
            </w:r>
          </w:p>
          <w:p w14:paraId="60AB3B6F" w14:textId="77777777" w:rsidR="000841EF" w:rsidRPr="00B6123A" w:rsidRDefault="000841EF">
            <w:pPr>
              <w:pStyle w:val="TableBullet"/>
              <w:rPr>
                <w:rFonts w:cs="Arial"/>
              </w:rPr>
            </w:pPr>
            <w:r w:rsidRPr="00B6123A">
              <w:rPr>
                <w:rFonts w:cs="Arial"/>
              </w:rPr>
              <w:t>Create opportunities for others to be heard, listen attentively and encourage them to express their views</w:t>
            </w:r>
          </w:p>
          <w:p w14:paraId="24140142" w14:textId="77777777" w:rsidR="000841EF" w:rsidRPr="00B6123A" w:rsidRDefault="000841EF">
            <w:pPr>
              <w:pStyle w:val="TableBullet"/>
              <w:rPr>
                <w:rFonts w:cs="Arial"/>
              </w:rPr>
            </w:pPr>
            <w:r w:rsidRPr="00B6123A">
              <w:rPr>
                <w:rFonts w:cs="Arial"/>
              </w:rPr>
              <w:t>Share information across teams and units to enable informed decision making</w:t>
            </w:r>
          </w:p>
          <w:p w14:paraId="2E8119C5" w14:textId="77777777" w:rsidR="000841EF" w:rsidRPr="00B6123A" w:rsidRDefault="000841EF">
            <w:pPr>
              <w:pStyle w:val="TableBullet"/>
              <w:rPr>
                <w:rFonts w:cs="Arial"/>
              </w:rPr>
            </w:pPr>
            <w:r w:rsidRPr="00B6123A">
              <w:rPr>
                <w:rFonts w:cs="Arial"/>
              </w:rPr>
              <w:t>Write fluently in plain English and in a range of styles and formats</w:t>
            </w:r>
          </w:p>
          <w:p w14:paraId="29C65769" w14:textId="77777777" w:rsidR="000841EF" w:rsidRPr="00B6123A" w:rsidRDefault="000841EF">
            <w:pPr>
              <w:pStyle w:val="TableBullet"/>
              <w:rPr>
                <w:rFonts w:cs="Arial"/>
              </w:rPr>
            </w:pPr>
            <w:r w:rsidRPr="00B6123A">
              <w:rPr>
                <w:rFonts w:cs="Arial"/>
              </w:rPr>
              <w:t>Use contemporary communication channels to share information, engage and interact with diverse audiences</w:t>
            </w:r>
          </w:p>
        </w:tc>
        <w:tc>
          <w:tcPr>
            <w:tcW w:w="1668" w:type="dxa"/>
          </w:tcPr>
          <w:p w14:paraId="39141D81" w14:textId="77777777" w:rsidR="000841EF" w:rsidRPr="00B6123A" w:rsidRDefault="000841EF">
            <w:pPr>
              <w:pStyle w:val="TableText"/>
              <w:rPr>
                <w:rFonts w:cs="Arial"/>
              </w:rPr>
            </w:pPr>
            <w:r w:rsidRPr="00B6123A">
              <w:rPr>
                <w:rFonts w:cs="Arial"/>
              </w:rPr>
              <w:t>Adept</w:t>
            </w:r>
          </w:p>
        </w:tc>
      </w:tr>
      <w:tr w:rsidR="000841EF" w:rsidRPr="00B6123A" w14:paraId="22294549" w14:textId="77777777">
        <w:trPr>
          <w:cantSplit/>
        </w:trPr>
        <w:tc>
          <w:tcPr>
            <w:tcW w:w="1385" w:type="dxa"/>
          </w:tcPr>
          <w:p w14:paraId="0759832A" w14:textId="77777777" w:rsidR="000841EF" w:rsidRPr="00B6123A" w:rsidRDefault="000841EF">
            <w:pPr>
              <w:jc w:val="center"/>
              <w:rPr>
                <w:rFonts w:cs="Arial"/>
                <w:noProof/>
                <w:sz w:val="20"/>
                <w:lang w:eastAsia="en-AU"/>
              </w:rPr>
            </w:pPr>
            <w:r w:rsidRPr="00B6123A">
              <w:rPr>
                <w:rFonts w:cs="Arial"/>
                <w:noProof/>
                <w:sz w:val="20"/>
                <w:lang w:eastAsia="en-AU"/>
              </w:rPr>
              <w:drawing>
                <wp:inline distT="0" distB="0" distL="0" distR="0" wp14:anchorId="30486437" wp14:editId="643954D1">
                  <wp:extent cx="749300" cy="749300"/>
                  <wp:effectExtent l="0" t="0" r="0" b="0"/>
                  <wp:docPr id="618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0099BCE" w14:textId="77777777" w:rsidR="000841EF" w:rsidRPr="00B6123A" w:rsidRDefault="000841EF">
            <w:pPr>
              <w:rPr>
                <w:rFonts w:cs="Arial"/>
                <w:color w:val="000000"/>
                <w:sz w:val="20"/>
              </w:rPr>
            </w:pPr>
            <w:r w:rsidRPr="00B6123A">
              <w:rPr>
                <w:rFonts w:cs="Arial"/>
                <w:b/>
                <w:bCs/>
                <w:color w:val="000000"/>
                <w:sz w:val="20"/>
              </w:rPr>
              <w:t>Work Collaboratively</w:t>
            </w:r>
          </w:p>
          <w:p w14:paraId="5BAAF47E" w14:textId="77777777" w:rsidR="000841EF" w:rsidRPr="00B6123A" w:rsidRDefault="000841EF">
            <w:pPr>
              <w:rPr>
                <w:rFonts w:cs="Arial"/>
                <w:color w:val="000000"/>
                <w:sz w:val="20"/>
              </w:rPr>
            </w:pPr>
            <w:r w:rsidRPr="00B6123A">
              <w:rPr>
                <w:rFonts w:cs="Arial"/>
                <w:color w:val="000000"/>
                <w:sz w:val="20"/>
              </w:rPr>
              <w:t>Collaborate with others and value their contribution</w:t>
            </w:r>
          </w:p>
        </w:tc>
        <w:tc>
          <w:tcPr>
            <w:tcW w:w="4709" w:type="dxa"/>
          </w:tcPr>
          <w:p w14:paraId="48726AA0" w14:textId="77777777" w:rsidR="000841EF" w:rsidRPr="00B6123A" w:rsidRDefault="000841EF">
            <w:pPr>
              <w:pStyle w:val="TableBullet"/>
              <w:rPr>
                <w:rFonts w:cs="Arial"/>
              </w:rPr>
            </w:pPr>
            <w:r w:rsidRPr="00B6123A">
              <w:rPr>
                <w:rFonts w:cs="Arial"/>
              </w:rPr>
              <w:t>Recognise outcomes achieved through effective collaboration between teams</w:t>
            </w:r>
          </w:p>
          <w:p w14:paraId="687168B2" w14:textId="77777777" w:rsidR="000841EF" w:rsidRPr="00B6123A" w:rsidRDefault="000841EF">
            <w:pPr>
              <w:pStyle w:val="TableBullet"/>
              <w:rPr>
                <w:rFonts w:cs="Arial"/>
              </w:rPr>
            </w:pPr>
            <w:r w:rsidRPr="00B6123A">
              <w:rPr>
                <w:rFonts w:cs="Arial"/>
              </w:rPr>
              <w:t>Build cooperation and overcome barriers to information sharing, communication and collaboration across the organisation and across government</w:t>
            </w:r>
          </w:p>
          <w:p w14:paraId="61CA5612" w14:textId="77777777" w:rsidR="000841EF" w:rsidRPr="00B6123A" w:rsidRDefault="000841EF">
            <w:pPr>
              <w:pStyle w:val="TableBullet"/>
              <w:rPr>
                <w:rFonts w:cs="Arial"/>
              </w:rPr>
            </w:pPr>
            <w:r w:rsidRPr="00B6123A">
              <w:rPr>
                <w:rFonts w:cs="Arial"/>
              </w:rPr>
              <w:t>Facilitate opportunities to engage and collaborate with stakeholders to develop joint solutions</w:t>
            </w:r>
          </w:p>
          <w:p w14:paraId="2A54CF7A" w14:textId="77777777" w:rsidR="000841EF" w:rsidRPr="00B6123A" w:rsidRDefault="000841EF">
            <w:pPr>
              <w:pStyle w:val="TableBullet"/>
              <w:rPr>
                <w:rFonts w:cs="Arial"/>
              </w:rPr>
            </w:pPr>
            <w:r w:rsidRPr="00B6123A">
              <w:rPr>
                <w:rFonts w:cs="Arial"/>
              </w:rPr>
              <w:t>Network extensively across government and organisations to increase collaboration</w:t>
            </w:r>
          </w:p>
          <w:p w14:paraId="12A8341E" w14:textId="77777777" w:rsidR="000841EF" w:rsidRPr="00B6123A" w:rsidRDefault="000841EF">
            <w:pPr>
              <w:pStyle w:val="TableBullet"/>
              <w:rPr>
                <w:rFonts w:cs="Arial"/>
              </w:rPr>
            </w:pPr>
            <w:r w:rsidRPr="00B6123A">
              <w:rPr>
                <w:rFonts w:cs="Arial"/>
              </w:rPr>
              <w:t>Encourage others to use appropriate collaboration approaches and tools, including digital technologies</w:t>
            </w:r>
          </w:p>
        </w:tc>
        <w:tc>
          <w:tcPr>
            <w:tcW w:w="1668" w:type="dxa"/>
          </w:tcPr>
          <w:p w14:paraId="59E43099" w14:textId="77777777" w:rsidR="000841EF" w:rsidRPr="00B6123A" w:rsidRDefault="000841EF">
            <w:pPr>
              <w:pStyle w:val="TableText"/>
              <w:rPr>
                <w:rFonts w:cs="Arial"/>
              </w:rPr>
            </w:pPr>
            <w:r w:rsidRPr="00B6123A">
              <w:rPr>
                <w:rFonts w:cs="Arial"/>
              </w:rPr>
              <w:t>Advanced</w:t>
            </w:r>
          </w:p>
        </w:tc>
      </w:tr>
      <w:tr w:rsidR="000841EF" w:rsidRPr="00B6123A" w14:paraId="184C1DA8" w14:textId="77777777">
        <w:trPr>
          <w:cantSplit/>
        </w:trPr>
        <w:tc>
          <w:tcPr>
            <w:tcW w:w="1385" w:type="dxa"/>
          </w:tcPr>
          <w:p w14:paraId="2453C3FC" w14:textId="77777777" w:rsidR="000841EF" w:rsidRPr="00B6123A" w:rsidRDefault="000841EF">
            <w:pPr>
              <w:jc w:val="center"/>
              <w:rPr>
                <w:rFonts w:cs="Arial"/>
                <w:noProof/>
                <w:sz w:val="20"/>
                <w:lang w:eastAsia="en-AU"/>
              </w:rPr>
            </w:pPr>
            <w:r w:rsidRPr="00B6123A">
              <w:rPr>
                <w:rFonts w:cs="Arial"/>
                <w:noProof/>
                <w:sz w:val="20"/>
                <w:lang w:eastAsia="en-AU"/>
              </w:rPr>
              <w:lastRenderedPageBreak/>
              <w:drawing>
                <wp:inline distT="0" distB="0" distL="0" distR="0" wp14:anchorId="0677B0AB" wp14:editId="38C14253">
                  <wp:extent cx="749300" cy="749300"/>
                  <wp:effectExtent l="0" t="0" r="0" b="0"/>
                  <wp:docPr id="454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C925272" w14:textId="77777777" w:rsidR="000841EF" w:rsidRPr="00B6123A" w:rsidRDefault="000841EF">
            <w:pPr>
              <w:rPr>
                <w:rFonts w:cs="Arial"/>
                <w:color w:val="000000"/>
                <w:sz w:val="20"/>
              </w:rPr>
            </w:pPr>
            <w:r w:rsidRPr="00B6123A">
              <w:rPr>
                <w:rFonts w:cs="Arial"/>
                <w:b/>
                <w:bCs/>
                <w:color w:val="000000"/>
                <w:sz w:val="20"/>
              </w:rPr>
              <w:t>Influence and Negotiate</w:t>
            </w:r>
          </w:p>
          <w:p w14:paraId="5471A638" w14:textId="77777777" w:rsidR="000841EF" w:rsidRPr="00B6123A" w:rsidRDefault="000841EF">
            <w:pPr>
              <w:rPr>
                <w:rFonts w:cs="Arial"/>
                <w:color w:val="000000"/>
                <w:sz w:val="20"/>
              </w:rPr>
            </w:pPr>
            <w:r w:rsidRPr="00B6123A">
              <w:rPr>
                <w:rFonts w:cs="Arial"/>
                <w:color w:val="000000"/>
                <w:sz w:val="20"/>
              </w:rPr>
              <w:t>Gain consensus and commitment from others, and resolve issues and conflicts</w:t>
            </w:r>
          </w:p>
        </w:tc>
        <w:tc>
          <w:tcPr>
            <w:tcW w:w="4709" w:type="dxa"/>
          </w:tcPr>
          <w:p w14:paraId="2702A523" w14:textId="77777777" w:rsidR="000841EF" w:rsidRPr="00B6123A" w:rsidRDefault="000841EF">
            <w:pPr>
              <w:pStyle w:val="TableBullet"/>
              <w:rPr>
                <w:rFonts w:cs="Arial"/>
              </w:rPr>
            </w:pPr>
            <w:r w:rsidRPr="00B6123A">
              <w:rPr>
                <w:rFonts w:cs="Arial"/>
              </w:rPr>
              <w:t xml:space="preserve">Influence others with a fair and considered approach and present persuasive </w:t>
            </w:r>
            <w:proofErr w:type="gramStart"/>
            <w:r w:rsidRPr="00B6123A">
              <w:rPr>
                <w:rFonts w:cs="Arial"/>
              </w:rPr>
              <w:t>counter-arguments</w:t>
            </w:r>
            <w:proofErr w:type="gramEnd"/>
          </w:p>
          <w:p w14:paraId="2B85EDAF" w14:textId="77777777" w:rsidR="000841EF" w:rsidRPr="00B6123A" w:rsidRDefault="000841EF">
            <w:pPr>
              <w:pStyle w:val="TableBullet"/>
              <w:rPr>
                <w:rFonts w:cs="Arial"/>
              </w:rPr>
            </w:pPr>
            <w:r w:rsidRPr="00B6123A">
              <w:rPr>
                <w:rFonts w:cs="Arial"/>
              </w:rPr>
              <w:t>Work towards mutually beneficial ‘win-win’ outcomes</w:t>
            </w:r>
          </w:p>
          <w:p w14:paraId="4BFC0E5E" w14:textId="77777777" w:rsidR="000841EF" w:rsidRPr="00B6123A" w:rsidRDefault="000841EF">
            <w:pPr>
              <w:pStyle w:val="TableBullet"/>
              <w:rPr>
                <w:rFonts w:cs="Arial"/>
              </w:rPr>
            </w:pPr>
            <w:r w:rsidRPr="00B6123A">
              <w:rPr>
                <w:rFonts w:cs="Arial"/>
              </w:rPr>
              <w:t>Show sensitivity and understanding in resolving acute and complex conflicts and differences</w:t>
            </w:r>
          </w:p>
          <w:p w14:paraId="1FC0040B" w14:textId="77777777" w:rsidR="000841EF" w:rsidRPr="00B6123A" w:rsidRDefault="000841EF">
            <w:pPr>
              <w:pStyle w:val="TableBullet"/>
              <w:rPr>
                <w:rFonts w:cs="Arial"/>
              </w:rPr>
            </w:pPr>
            <w:r w:rsidRPr="00B6123A">
              <w:rPr>
                <w:rFonts w:cs="Arial"/>
              </w:rPr>
              <w:t>Identify key stakeholders and gain their support in advance</w:t>
            </w:r>
          </w:p>
          <w:p w14:paraId="2467CFF2" w14:textId="77777777" w:rsidR="000841EF" w:rsidRPr="00B6123A" w:rsidRDefault="000841EF">
            <w:pPr>
              <w:pStyle w:val="TableBullet"/>
              <w:rPr>
                <w:rFonts w:cs="Arial"/>
              </w:rPr>
            </w:pPr>
            <w:r w:rsidRPr="00B6123A">
              <w:rPr>
                <w:rFonts w:cs="Arial"/>
              </w:rPr>
              <w:t>Establish a clear negotiation position based on research, a firm grasp of key issues, likely arguments, points of difference and areas for compromise</w:t>
            </w:r>
          </w:p>
          <w:p w14:paraId="3DA1485D" w14:textId="77777777" w:rsidR="000841EF" w:rsidRPr="00B6123A" w:rsidRDefault="000841EF">
            <w:pPr>
              <w:pStyle w:val="TableBullet"/>
              <w:rPr>
                <w:rFonts w:cs="Arial"/>
              </w:rPr>
            </w:pPr>
            <w:r w:rsidRPr="00B6123A">
              <w:rPr>
                <w:rFonts w:cs="Arial"/>
              </w:rPr>
              <w:t>Anticipate and minimise conflict within the organisation and with external stakeholders</w:t>
            </w:r>
          </w:p>
        </w:tc>
        <w:tc>
          <w:tcPr>
            <w:tcW w:w="1668" w:type="dxa"/>
          </w:tcPr>
          <w:p w14:paraId="6F61DC44" w14:textId="77777777" w:rsidR="000841EF" w:rsidRPr="00B6123A" w:rsidRDefault="000841EF">
            <w:pPr>
              <w:pStyle w:val="TableText"/>
              <w:rPr>
                <w:rFonts w:cs="Arial"/>
              </w:rPr>
            </w:pPr>
            <w:r w:rsidRPr="00B6123A">
              <w:rPr>
                <w:rFonts w:cs="Arial"/>
              </w:rPr>
              <w:t>Advanced</w:t>
            </w:r>
          </w:p>
        </w:tc>
      </w:tr>
      <w:tr w:rsidR="000841EF" w:rsidRPr="00B6123A" w14:paraId="5357FEFA" w14:textId="77777777">
        <w:trPr>
          <w:cantSplit/>
        </w:trPr>
        <w:tc>
          <w:tcPr>
            <w:tcW w:w="1385" w:type="dxa"/>
          </w:tcPr>
          <w:p w14:paraId="3B1A80BC" w14:textId="77777777" w:rsidR="000841EF" w:rsidRPr="00B6123A" w:rsidRDefault="000841EF">
            <w:pPr>
              <w:jc w:val="center"/>
              <w:rPr>
                <w:rFonts w:cs="Arial"/>
                <w:noProof/>
                <w:sz w:val="20"/>
                <w:lang w:eastAsia="en-AU"/>
              </w:rPr>
            </w:pPr>
            <w:r w:rsidRPr="00B6123A">
              <w:rPr>
                <w:rFonts w:cs="Arial"/>
                <w:noProof/>
                <w:sz w:val="20"/>
                <w:lang w:eastAsia="en-AU"/>
              </w:rPr>
              <w:drawing>
                <wp:inline distT="0" distB="0" distL="0" distR="0" wp14:anchorId="691A3873" wp14:editId="2DF48CDD">
                  <wp:extent cx="749300" cy="749300"/>
                  <wp:effectExtent l="0" t="0" r="0" b="0"/>
                  <wp:docPr id="8130"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2C989D0" w14:textId="77777777" w:rsidR="000841EF" w:rsidRPr="00B6123A" w:rsidRDefault="000841EF">
            <w:pPr>
              <w:rPr>
                <w:rFonts w:cs="Arial"/>
                <w:color w:val="000000"/>
                <w:sz w:val="20"/>
              </w:rPr>
            </w:pPr>
            <w:r w:rsidRPr="00B6123A">
              <w:rPr>
                <w:rFonts w:cs="Arial"/>
                <w:b/>
                <w:bCs/>
                <w:color w:val="000000"/>
                <w:sz w:val="20"/>
              </w:rPr>
              <w:t>Think and Solve Problems</w:t>
            </w:r>
          </w:p>
          <w:p w14:paraId="08B8980E" w14:textId="77777777" w:rsidR="000841EF" w:rsidRPr="00B6123A" w:rsidRDefault="000841EF">
            <w:pPr>
              <w:rPr>
                <w:rFonts w:cs="Arial"/>
                <w:color w:val="000000"/>
                <w:sz w:val="20"/>
              </w:rPr>
            </w:pPr>
            <w:r w:rsidRPr="00B6123A">
              <w:rPr>
                <w:rFonts w:cs="Arial"/>
                <w:color w:val="000000"/>
                <w:sz w:val="20"/>
              </w:rPr>
              <w:t xml:space="preserve">Think, </w:t>
            </w:r>
            <w:proofErr w:type="spellStart"/>
            <w:r w:rsidRPr="00B6123A">
              <w:rPr>
                <w:rFonts w:cs="Arial"/>
                <w:color w:val="000000"/>
                <w:sz w:val="20"/>
              </w:rPr>
              <w:t>analyse</w:t>
            </w:r>
            <w:proofErr w:type="spellEnd"/>
            <w:r w:rsidRPr="00B6123A">
              <w:rPr>
                <w:rFonts w:cs="Arial"/>
                <w:color w:val="000000"/>
                <w:sz w:val="20"/>
              </w:rPr>
              <w:t xml:space="preserve"> and consider the broader context to develop practical solutions</w:t>
            </w:r>
          </w:p>
        </w:tc>
        <w:tc>
          <w:tcPr>
            <w:tcW w:w="4709" w:type="dxa"/>
          </w:tcPr>
          <w:p w14:paraId="2CADFA00" w14:textId="77777777" w:rsidR="000841EF" w:rsidRPr="00B6123A" w:rsidRDefault="000841EF">
            <w:pPr>
              <w:pStyle w:val="TableBullet"/>
              <w:rPr>
                <w:rFonts w:cs="Arial"/>
              </w:rPr>
            </w:pPr>
            <w:r w:rsidRPr="00B6123A">
              <w:rPr>
                <w:rFonts w:cs="Arial"/>
              </w:rPr>
              <w:t>Undertake objective, critical analysis to draw accurate conclusions that recognise and manage contextual issues</w:t>
            </w:r>
          </w:p>
          <w:p w14:paraId="295CA337" w14:textId="77777777" w:rsidR="000841EF" w:rsidRPr="00B6123A" w:rsidRDefault="000841EF">
            <w:pPr>
              <w:pStyle w:val="TableBullet"/>
              <w:rPr>
                <w:rFonts w:cs="Arial"/>
              </w:rPr>
            </w:pPr>
            <w:r w:rsidRPr="00B6123A">
              <w:rPr>
                <w:rFonts w:cs="Arial"/>
              </w:rPr>
              <w:t>Work through issues, weigh up alternatives and identify the most effective solutions in collaboration with others</w:t>
            </w:r>
          </w:p>
          <w:p w14:paraId="61EE3BAC" w14:textId="77777777" w:rsidR="000841EF" w:rsidRPr="00B6123A" w:rsidRDefault="000841EF">
            <w:pPr>
              <w:pStyle w:val="TableBullet"/>
              <w:rPr>
                <w:rFonts w:cs="Arial"/>
              </w:rPr>
            </w:pPr>
            <w:r w:rsidRPr="00B6123A">
              <w:rPr>
                <w:rFonts w:cs="Arial"/>
              </w:rPr>
              <w:t>Take account of the wider business context when considering options to resolve issues</w:t>
            </w:r>
          </w:p>
          <w:p w14:paraId="0B743102" w14:textId="77777777" w:rsidR="000841EF" w:rsidRPr="00B6123A" w:rsidRDefault="000841EF">
            <w:pPr>
              <w:pStyle w:val="TableBullet"/>
              <w:rPr>
                <w:rFonts w:cs="Arial"/>
              </w:rPr>
            </w:pPr>
            <w:r w:rsidRPr="00B6123A">
              <w:rPr>
                <w:rFonts w:cs="Arial"/>
              </w:rPr>
              <w:t>Explore a range of possibilities and creative alternatives to contribute to system, process and business improvements</w:t>
            </w:r>
          </w:p>
          <w:p w14:paraId="0388CABC" w14:textId="77777777" w:rsidR="000841EF" w:rsidRPr="00B6123A" w:rsidRDefault="000841EF">
            <w:pPr>
              <w:pStyle w:val="TableBullet"/>
              <w:rPr>
                <w:rFonts w:cs="Arial"/>
              </w:rPr>
            </w:pPr>
            <w:r w:rsidRPr="00B6123A">
              <w:rPr>
                <w:rFonts w:cs="Arial"/>
              </w:rPr>
              <w:t>Implement systems and processes that are underpinned by high-quality research and analysis</w:t>
            </w:r>
          </w:p>
          <w:p w14:paraId="31D639D5" w14:textId="77777777" w:rsidR="000841EF" w:rsidRPr="00B6123A" w:rsidRDefault="000841EF">
            <w:pPr>
              <w:pStyle w:val="TableBullet"/>
              <w:rPr>
                <w:rFonts w:cs="Arial"/>
              </w:rPr>
            </w:pPr>
            <w:r w:rsidRPr="00B6123A">
              <w:rPr>
                <w:rFonts w:cs="Arial"/>
              </w:rPr>
              <w:t>Look for opportunities to design innovative solutions to meet user needs and service demands</w:t>
            </w:r>
          </w:p>
          <w:p w14:paraId="02756850" w14:textId="77777777" w:rsidR="000841EF" w:rsidRPr="00B6123A" w:rsidRDefault="000841EF">
            <w:pPr>
              <w:pStyle w:val="TableBullet"/>
              <w:rPr>
                <w:rFonts w:cs="Arial"/>
              </w:rPr>
            </w:pPr>
            <w:r w:rsidRPr="00B6123A">
              <w:rPr>
                <w:rFonts w:cs="Arial"/>
              </w:rPr>
              <w:t>Evaluate the performance and effectiveness of services, policies and programs against clear criteria</w:t>
            </w:r>
          </w:p>
        </w:tc>
        <w:tc>
          <w:tcPr>
            <w:tcW w:w="1668" w:type="dxa"/>
          </w:tcPr>
          <w:p w14:paraId="6D2F86EC" w14:textId="77777777" w:rsidR="000841EF" w:rsidRPr="00B6123A" w:rsidRDefault="000841EF">
            <w:pPr>
              <w:pStyle w:val="TableText"/>
              <w:rPr>
                <w:rFonts w:cs="Arial"/>
              </w:rPr>
            </w:pPr>
            <w:r w:rsidRPr="00B6123A">
              <w:rPr>
                <w:rFonts w:cs="Arial"/>
              </w:rPr>
              <w:t>Advanced</w:t>
            </w:r>
          </w:p>
        </w:tc>
      </w:tr>
      <w:tr w:rsidR="000841EF" w:rsidRPr="00B6123A" w14:paraId="1D335D25" w14:textId="77777777">
        <w:trPr>
          <w:cantSplit/>
        </w:trPr>
        <w:tc>
          <w:tcPr>
            <w:tcW w:w="1385" w:type="dxa"/>
          </w:tcPr>
          <w:p w14:paraId="71DD954F" w14:textId="77777777" w:rsidR="000841EF" w:rsidRPr="00B6123A" w:rsidRDefault="000841EF">
            <w:pPr>
              <w:jc w:val="center"/>
              <w:rPr>
                <w:rFonts w:cs="Arial"/>
                <w:noProof/>
                <w:sz w:val="20"/>
                <w:lang w:eastAsia="en-AU"/>
              </w:rPr>
            </w:pPr>
            <w:r w:rsidRPr="00B6123A">
              <w:rPr>
                <w:rFonts w:cs="Arial"/>
                <w:noProof/>
                <w:sz w:val="20"/>
                <w:lang w:eastAsia="en-AU"/>
              </w:rPr>
              <w:lastRenderedPageBreak/>
              <w:drawing>
                <wp:inline distT="0" distB="0" distL="0" distR="0" wp14:anchorId="19CCC225" wp14:editId="5F40C055">
                  <wp:extent cx="749300" cy="749300"/>
                  <wp:effectExtent l="0" t="0" r="0" b="0"/>
                  <wp:docPr id="6495"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CB5E565" w14:textId="77777777" w:rsidR="000841EF" w:rsidRPr="00B6123A" w:rsidRDefault="000841EF">
            <w:pPr>
              <w:rPr>
                <w:rFonts w:cs="Arial"/>
                <w:color w:val="000000"/>
                <w:sz w:val="20"/>
              </w:rPr>
            </w:pPr>
            <w:r w:rsidRPr="00B6123A">
              <w:rPr>
                <w:rFonts w:cs="Arial"/>
                <w:b/>
                <w:bCs/>
                <w:color w:val="000000"/>
                <w:sz w:val="20"/>
              </w:rPr>
              <w:t>Project Management</w:t>
            </w:r>
          </w:p>
          <w:p w14:paraId="492E2A88" w14:textId="77777777" w:rsidR="000841EF" w:rsidRPr="00B6123A" w:rsidRDefault="000841EF">
            <w:pPr>
              <w:rPr>
                <w:rFonts w:cs="Arial"/>
                <w:color w:val="000000"/>
                <w:sz w:val="20"/>
              </w:rPr>
            </w:pPr>
            <w:r w:rsidRPr="00B6123A">
              <w:rPr>
                <w:rFonts w:cs="Arial"/>
                <w:color w:val="000000"/>
                <w:sz w:val="20"/>
              </w:rPr>
              <w:t>Understand and apply effective planning, coordination and control methods</w:t>
            </w:r>
          </w:p>
        </w:tc>
        <w:tc>
          <w:tcPr>
            <w:tcW w:w="4709" w:type="dxa"/>
          </w:tcPr>
          <w:p w14:paraId="0B229141" w14:textId="77777777" w:rsidR="000841EF" w:rsidRPr="00B6123A" w:rsidRDefault="000841EF">
            <w:pPr>
              <w:pStyle w:val="TableBullet"/>
              <w:rPr>
                <w:rFonts w:cs="Arial"/>
              </w:rPr>
            </w:pPr>
            <w:r w:rsidRPr="00B6123A">
              <w:rPr>
                <w:rFonts w:cs="Arial"/>
              </w:rPr>
              <w:t>Ensure there are systems and effective governance processes in place for project management</w:t>
            </w:r>
          </w:p>
          <w:p w14:paraId="482B2907" w14:textId="77777777" w:rsidR="000841EF" w:rsidRPr="00B6123A" w:rsidRDefault="000841EF">
            <w:pPr>
              <w:pStyle w:val="TableBullet"/>
              <w:rPr>
                <w:rFonts w:cs="Arial"/>
              </w:rPr>
            </w:pPr>
            <w:r w:rsidRPr="00B6123A">
              <w:rPr>
                <w:rFonts w:cs="Arial"/>
              </w:rPr>
              <w:t>Make decisions on accepting projects based on business cases</w:t>
            </w:r>
          </w:p>
          <w:p w14:paraId="3AD1D725" w14:textId="77777777" w:rsidR="000841EF" w:rsidRPr="00B6123A" w:rsidRDefault="000841EF">
            <w:pPr>
              <w:pStyle w:val="TableBullet"/>
              <w:rPr>
                <w:rFonts w:cs="Arial"/>
              </w:rPr>
            </w:pPr>
            <w:r w:rsidRPr="00B6123A">
              <w:rPr>
                <w:rFonts w:cs="Arial"/>
              </w:rPr>
              <w:t>Use the historical, political and broader context to inform project directions and mitigate risk</w:t>
            </w:r>
          </w:p>
          <w:p w14:paraId="1F378BF9" w14:textId="77777777" w:rsidR="000841EF" w:rsidRPr="00B6123A" w:rsidRDefault="000841EF">
            <w:pPr>
              <w:pStyle w:val="TableBullet"/>
              <w:rPr>
                <w:rFonts w:cs="Arial"/>
              </w:rPr>
            </w:pPr>
            <w:r w:rsidRPr="00B6123A">
              <w:rPr>
                <w:rFonts w:cs="Arial"/>
              </w:rPr>
              <w:t>Obtain key stakeholders’ commitment to major project strategies, including cross-organisational initiatives, and ensure ongoing communication</w:t>
            </w:r>
          </w:p>
          <w:p w14:paraId="310187A8" w14:textId="77777777" w:rsidR="000841EF" w:rsidRPr="00B6123A" w:rsidRDefault="000841EF">
            <w:pPr>
              <w:pStyle w:val="TableBullet"/>
              <w:rPr>
                <w:rFonts w:cs="Arial"/>
              </w:rPr>
            </w:pPr>
            <w:r w:rsidRPr="00B6123A">
              <w:rPr>
                <w:rFonts w:cs="Arial"/>
              </w:rPr>
              <w:t>Ensure that project risks are managed effectively, and appropriate strategies are in place to respond to variances</w:t>
            </w:r>
          </w:p>
          <w:p w14:paraId="22BDF45A" w14:textId="77777777" w:rsidR="000841EF" w:rsidRPr="00B6123A" w:rsidRDefault="000841EF">
            <w:pPr>
              <w:pStyle w:val="TableBullet"/>
              <w:rPr>
                <w:rFonts w:cs="Arial"/>
              </w:rPr>
            </w:pPr>
            <w:r w:rsidRPr="00B6123A">
              <w:rPr>
                <w:rFonts w:cs="Arial"/>
              </w:rPr>
              <w:t>Drive the changes required to realise the business benefits of the project</w:t>
            </w:r>
          </w:p>
          <w:p w14:paraId="6C53DCA3" w14:textId="77777777" w:rsidR="000841EF" w:rsidRPr="00B6123A" w:rsidRDefault="000841EF">
            <w:pPr>
              <w:pStyle w:val="TableBullet"/>
              <w:rPr>
                <w:rFonts w:cs="Arial"/>
              </w:rPr>
            </w:pPr>
            <w:r w:rsidRPr="00B6123A">
              <w:rPr>
                <w:rFonts w:cs="Arial"/>
              </w:rPr>
              <w:t>Ensure that project management decisions consider interdependencies between projects</w:t>
            </w:r>
          </w:p>
        </w:tc>
        <w:tc>
          <w:tcPr>
            <w:tcW w:w="1668" w:type="dxa"/>
          </w:tcPr>
          <w:p w14:paraId="68443F0A" w14:textId="574BA699" w:rsidR="000841EF" w:rsidRPr="00B6123A" w:rsidRDefault="00E41096">
            <w:pPr>
              <w:pStyle w:val="TableText"/>
              <w:rPr>
                <w:rFonts w:cs="Arial"/>
              </w:rPr>
            </w:pPr>
            <w:r>
              <w:rPr>
                <w:rFonts w:cs="Arial"/>
              </w:rPr>
              <w:t>Adept</w:t>
            </w:r>
          </w:p>
        </w:tc>
      </w:tr>
      <w:tr w:rsidR="000841EF" w:rsidRPr="00B6123A" w14:paraId="17DDCF66" w14:textId="77777777">
        <w:trPr>
          <w:cantSplit/>
        </w:trPr>
        <w:tc>
          <w:tcPr>
            <w:tcW w:w="1385" w:type="dxa"/>
          </w:tcPr>
          <w:p w14:paraId="5689073E" w14:textId="77777777" w:rsidR="000841EF" w:rsidRPr="00B6123A" w:rsidRDefault="000841EF">
            <w:pPr>
              <w:jc w:val="center"/>
              <w:rPr>
                <w:rFonts w:cs="Arial"/>
                <w:noProof/>
                <w:sz w:val="20"/>
                <w:lang w:eastAsia="en-AU"/>
              </w:rPr>
            </w:pPr>
            <w:r w:rsidRPr="00B6123A">
              <w:rPr>
                <w:rFonts w:cs="Arial"/>
                <w:noProof/>
                <w:sz w:val="20"/>
                <w:lang w:eastAsia="en-AU"/>
              </w:rPr>
              <w:drawing>
                <wp:inline distT="0" distB="0" distL="0" distR="0" wp14:anchorId="521F743D" wp14:editId="1BBB2F90">
                  <wp:extent cx="749300" cy="749300"/>
                  <wp:effectExtent l="0" t="0" r="0" b="0"/>
                  <wp:docPr id="90"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1E7B535" w14:textId="77777777" w:rsidR="000841EF" w:rsidRPr="00B6123A" w:rsidRDefault="000841EF">
            <w:pPr>
              <w:rPr>
                <w:rFonts w:cs="Arial"/>
                <w:color w:val="000000"/>
                <w:sz w:val="20"/>
              </w:rPr>
            </w:pPr>
            <w:r w:rsidRPr="00B6123A">
              <w:rPr>
                <w:rFonts w:cs="Arial"/>
                <w:b/>
                <w:bCs/>
                <w:color w:val="000000"/>
                <w:sz w:val="20"/>
              </w:rPr>
              <w:t>Manage and Develop People</w:t>
            </w:r>
          </w:p>
          <w:p w14:paraId="111F8A5F" w14:textId="77777777" w:rsidR="000841EF" w:rsidRPr="00B6123A" w:rsidRDefault="000841EF">
            <w:pPr>
              <w:rPr>
                <w:rFonts w:cs="Arial"/>
                <w:color w:val="000000"/>
                <w:sz w:val="20"/>
              </w:rPr>
            </w:pPr>
            <w:r w:rsidRPr="00B6123A">
              <w:rPr>
                <w:rFonts w:cs="Arial"/>
                <w:color w:val="000000"/>
                <w:sz w:val="20"/>
              </w:rPr>
              <w:t>Engage and motivate staff, and develop capability and potential in others</w:t>
            </w:r>
          </w:p>
        </w:tc>
        <w:tc>
          <w:tcPr>
            <w:tcW w:w="4709" w:type="dxa"/>
          </w:tcPr>
          <w:p w14:paraId="020C295F" w14:textId="77777777" w:rsidR="000841EF" w:rsidRPr="00B6123A" w:rsidRDefault="000841EF">
            <w:pPr>
              <w:pStyle w:val="TableBullet"/>
              <w:rPr>
                <w:rFonts w:cs="Arial"/>
              </w:rPr>
            </w:pPr>
            <w:r w:rsidRPr="00B6123A">
              <w:rPr>
                <w:rFonts w:cs="Arial"/>
              </w:rPr>
              <w:t>Refine roles and responsibilities over time to achieve better business outcomes</w:t>
            </w:r>
          </w:p>
          <w:p w14:paraId="279BC03C" w14:textId="77777777" w:rsidR="000841EF" w:rsidRPr="00B6123A" w:rsidRDefault="000841EF">
            <w:pPr>
              <w:pStyle w:val="TableBullet"/>
              <w:rPr>
                <w:rFonts w:cs="Arial"/>
              </w:rPr>
            </w:pPr>
            <w:r w:rsidRPr="00B6123A">
              <w:rPr>
                <w:rFonts w:cs="Arial"/>
              </w:rPr>
              <w:t>Recognise talent, develop team capability and undertake succession planning</w:t>
            </w:r>
          </w:p>
          <w:p w14:paraId="1D2A8369" w14:textId="77777777" w:rsidR="000841EF" w:rsidRPr="00B6123A" w:rsidRDefault="000841EF">
            <w:pPr>
              <w:pStyle w:val="TableBullet"/>
              <w:rPr>
                <w:rFonts w:cs="Arial"/>
              </w:rPr>
            </w:pPr>
            <w:r w:rsidRPr="00B6123A">
              <w:rPr>
                <w:rFonts w:cs="Arial"/>
              </w:rPr>
              <w:t>Coach and mentor staff and encourage professional development and continuous learning</w:t>
            </w:r>
          </w:p>
          <w:p w14:paraId="030013D0" w14:textId="77777777" w:rsidR="000841EF" w:rsidRPr="00B6123A" w:rsidRDefault="000841EF">
            <w:pPr>
              <w:pStyle w:val="TableBullet"/>
              <w:rPr>
                <w:rFonts w:cs="Arial"/>
              </w:rPr>
            </w:pPr>
            <w:r w:rsidRPr="00B6123A">
              <w:rPr>
                <w:rFonts w:cs="Arial"/>
              </w:rPr>
              <w:t>Prioritise addressing and resolving team and individual performance issues and ensure that this approach is cascaded throughout the organisation</w:t>
            </w:r>
          </w:p>
          <w:p w14:paraId="3504BCAC" w14:textId="77777777" w:rsidR="000841EF" w:rsidRPr="00B6123A" w:rsidRDefault="000841EF">
            <w:pPr>
              <w:pStyle w:val="TableBullet"/>
              <w:rPr>
                <w:rFonts w:cs="Arial"/>
              </w:rPr>
            </w:pPr>
            <w:r w:rsidRPr="00B6123A">
              <w:rPr>
                <w:rFonts w:cs="Arial"/>
              </w:rPr>
              <w:t>Implement performance development frameworks to align workforce capability with the organisation’s current and future priorities and objectives</w:t>
            </w:r>
          </w:p>
        </w:tc>
        <w:tc>
          <w:tcPr>
            <w:tcW w:w="1668" w:type="dxa"/>
          </w:tcPr>
          <w:p w14:paraId="11C6EF7A" w14:textId="0C43186C" w:rsidR="000841EF" w:rsidRPr="00B6123A" w:rsidRDefault="00AF2BAD">
            <w:pPr>
              <w:pStyle w:val="TableText"/>
              <w:rPr>
                <w:rFonts w:cs="Arial"/>
              </w:rPr>
            </w:pPr>
            <w:r>
              <w:rPr>
                <w:rFonts w:cs="Arial"/>
              </w:rPr>
              <w:t>Adept</w:t>
            </w:r>
          </w:p>
        </w:tc>
      </w:tr>
      <w:tr w:rsidR="000841EF" w:rsidRPr="00B6123A" w14:paraId="19318780" w14:textId="77777777">
        <w:trPr>
          <w:cantSplit/>
        </w:trPr>
        <w:tc>
          <w:tcPr>
            <w:tcW w:w="1385" w:type="dxa"/>
          </w:tcPr>
          <w:p w14:paraId="336A38BF" w14:textId="77777777" w:rsidR="000841EF" w:rsidRPr="00B6123A" w:rsidRDefault="000841EF">
            <w:pPr>
              <w:jc w:val="center"/>
              <w:rPr>
                <w:rFonts w:cs="Arial"/>
                <w:noProof/>
                <w:sz w:val="20"/>
                <w:lang w:eastAsia="en-AU"/>
              </w:rPr>
            </w:pPr>
            <w:r w:rsidRPr="00B6123A">
              <w:rPr>
                <w:rFonts w:cs="Arial"/>
                <w:noProof/>
                <w:sz w:val="20"/>
                <w:lang w:eastAsia="en-AU"/>
              </w:rPr>
              <w:lastRenderedPageBreak/>
              <w:drawing>
                <wp:inline distT="0" distB="0" distL="0" distR="0" wp14:anchorId="771C7443" wp14:editId="19A51D16">
                  <wp:extent cx="749300" cy="749300"/>
                  <wp:effectExtent l="0" t="0" r="0" b="0"/>
                  <wp:docPr id="3674"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D0FD62D" w14:textId="77777777" w:rsidR="000841EF" w:rsidRPr="00B6123A" w:rsidRDefault="000841EF">
            <w:pPr>
              <w:rPr>
                <w:rFonts w:cs="Arial"/>
                <w:color w:val="000000"/>
                <w:sz w:val="20"/>
              </w:rPr>
            </w:pPr>
            <w:r w:rsidRPr="00B6123A">
              <w:rPr>
                <w:rFonts w:cs="Arial"/>
                <w:b/>
                <w:bCs/>
                <w:color w:val="000000"/>
                <w:sz w:val="20"/>
              </w:rPr>
              <w:t>Inspire Direction and Purpose</w:t>
            </w:r>
          </w:p>
          <w:p w14:paraId="33982735" w14:textId="77777777" w:rsidR="000841EF" w:rsidRPr="00B6123A" w:rsidRDefault="000841EF">
            <w:pPr>
              <w:rPr>
                <w:rFonts w:cs="Arial"/>
                <w:color w:val="000000"/>
                <w:sz w:val="20"/>
              </w:rPr>
            </w:pPr>
            <w:r w:rsidRPr="00B6123A">
              <w:rPr>
                <w:rFonts w:cs="Arial"/>
                <w:color w:val="000000"/>
                <w:sz w:val="20"/>
              </w:rPr>
              <w:t>Communicate goals, priorities and vision, and recognise achievements</w:t>
            </w:r>
          </w:p>
        </w:tc>
        <w:tc>
          <w:tcPr>
            <w:tcW w:w="4709" w:type="dxa"/>
          </w:tcPr>
          <w:p w14:paraId="6F24F232" w14:textId="77777777" w:rsidR="000841EF" w:rsidRPr="00B6123A" w:rsidRDefault="000841EF">
            <w:pPr>
              <w:pStyle w:val="TableBullet"/>
              <w:rPr>
                <w:rFonts w:cs="Arial"/>
              </w:rPr>
            </w:pPr>
            <w:r w:rsidRPr="00B6123A">
              <w:rPr>
                <w:rFonts w:cs="Arial"/>
              </w:rPr>
              <w:t>Promote a sense of purpose and enable others to understand the links between government policy, organisational goals and public value</w:t>
            </w:r>
          </w:p>
          <w:p w14:paraId="776C4F1D" w14:textId="77777777" w:rsidR="000841EF" w:rsidRPr="00B6123A" w:rsidRDefault="000841EF">
            <w:pPr>
              <w:pStyle w:val="TableBullet"/>
              <w:rPr>
                <w:rFonts w:cs="Arial"/>
              </w:rPr>
            </w:pPr>
            <w:r w:rsidRPr="00B6123A">
              <w:rPr>
                <w:rFonts w:cs="Arial"/>
              </w:rPr>
              <w:t>Build a shared sense of direction, clarify priorities and goals, and inspire others to achieve these</w:t>
            </w:r>
          </w:p>
          <w:p w14:paraId="1123FB8E" w14:textId="77777777" w:rsidR="000841EF" w:rsidRPr="00B6123A" w:rsidRDefault="000841EF">
            <w:pPr>
              <w:pStyle w:val="TableBullet"/>
              <w:rPr>
                <w:rFonts w:cs="Arial"/>
              </w:rPr>
            </w:pPr>
            <w:r w:rsidRPr="00B6123A">
              <w:rPr>
                <w:rFonts w:cs="Arial"/>
              </w:rPr>
              <w:t>Work with others to translate strategic direction into operational goals and build a shared understanding of the link between these and core business outcomes</w:t>
            </w:r>
          </w:p>
          <w:p w14:paraId="2C763F58" w14:textId="77777777" w:rsidR="000841EF" w:rsidRPr="00B6123A" w:rsidRDefault="000841EF">
            <w:pPr>
              <w:pStyle w:val="TableBullet"/>
              <w:rPr>
                <w:rFonts w:cs="Arial"/>
              </w:rPr>
            </w:pPr>
            <w:r w:rsidRPr="00B6123A">
              <w:rPr>
                <w:rFonts w:cs="Arial"/>
              </w:rPr>
              <w:t>Create opportunities for recognising and celebrating high performance at the individual and team level</w:t>
            </w:r>
          </w:p>
          <w:p w14:paraId="4F68D4C1" w14:textId="77777777" w:rsidR="000841EF" w:rsidRPr="00B6123A" w:rsidRDefault="000841EF">
            <w:pPr>
              <w:pStyle w:val="TableBullet"/>
              <w:rPr>
                <w:rFonts w:cs="Arial"/>
              </w:rPr>
            </w:pPr>
            <w:r w:rsidRPr="00B6123A">
              <w:rPr>
                <w:rFonts w:cs="Arial"/>
              </w:rPr>
              <w:t>Instil confidence, and cultivate an attitude of openness and curiosity in tackling future challenges</w:t>
            </w:r>
          </w:p>
        </w:tc>
        <w:tc>
          <w:tcPr>
            <w:tcW w:w="1668" w:type="dxa"/>
          </w:tcPr>
          <w:p w14:paraId="03B6DC63" w14:textId="4E05CEAD" w:rsidR="000841EF" w:rsidRPr="00B6123A" w:rsidRDefault="000841EF">
            <w:pPr>
              <w:pStyle w:val="TableText"/>
              <w:rPr>
                <w:rFonts w:cs="Arial"/>
              </w:rPr>
            </w:pPr>
            <w:r w:rsidRPr="00B6123A">
              <w:rPr>
                <w:rFonts w:cs="Arial"/>
              </w:rPr>
              <w:t>Advanced</w:t>
            </w:r>
          </w:p>
        </w:tc>
      </w:tr>
      <w:tr w:rsidR="000841EF" w:rsidRPr="00B6123A" w14:paraId="6486436C" w14:textId="77777777">
        <w:trPr>
          <w:cantSplit/>
        </w:trPr>
        <w:tc>
          <w:tcPr>
            <w:tcW w:w="1385" w:type="dxa"/>
          </w:tcPr>
          <w:p w14:paraId="1C28028F" w14:textId="77777777" w:rsidR="000841EF" w:rsidRPr="00B6123A" w:rsidRDefault="000841EF">
            <w:pPr>
              <w:jc w:val="center"/>
              <w:rPr>
                <w:rFonts w:cs="Arial"/>
                <w:noProof/>
                <w:sz w:val="20"/>
                <w:lang w:eastAsia="en-AU"/>
              </w:rPr>
            </w:pPr>
            <w:r w:rsidRPr="00B6123A">
              <w:rPr>
                <w:rFonts w:cs="Arial"/>
                <w:noProof/>
                <w:sz w:val="20"/>
                <w:lang w:eastAsia="en-AU"/>
              </w:rPr>
              <w:drawing>
                <wp:inline distT="0" distB="0" distL="0" distR="0" wp14:anchorId="6E599A73" wp14:editId="7E871639">
                  <wp:extent cx="749300" cy="749300"/>
                  <wp:effectExtent l="0" t="0" r="0" b="0"/>
                  <wp:docPr id="2039"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5F6DF3F" w14:textId="77777777" w:rsidR="000841EF" w:rsidRPr="00B6123A" w:rsidRDefault="000841EF">
            <w:pPr>
              <w:rPr>
                <w:rFonts w:cs="Arial"/>
                <w:color w:val="000000"/>
                <w:sz w:val="20"/>
              </w:rPr>
            </w:pPr>
            <w:r w:rsidRPr="00B6123A">
              <w:rPr>
                <w:rFonts w:cs="Arial"/>
                <w:b/>
                <w:bCs/>
                <w:color w:val="000000"/>
                <w:sz w:val="20"/>
              </w:rPr>
              <w:t>Manage Reform and Change</w:t>
            </w:r>
          </w:p>
          <w:p w14:paraId="2ADF4FAD" w14:textId="77777777" w:rsidR="000841EF" w:rsidRPr="00B6123A" w:rsidRDefault="000841EF">
            <w:pPr>
              <w:rPr>
                <w:rFonts w:cs="Arial"/>
                <w:color w:val="000000"/>
                <w:sz w:val="20"/>
              </w:rPr>
            </w:pPr>
            <w:r w:rsidRPr="00B6123A">
              <w:rPr>
                <w:rFonts w:cs="Arial"/>
                <w:color w:val="000000"/>
                <w:sz w:val="20"/>
              </w:rPr>
              <w:t>Support, promote and champion change, and assist others to engage with change</w:t>
            </w:r>
          </w:p>
        </w:tc>
        <w:tc>
          <w:tcPr>
            <w:tcW w:w="4709" w:type="dxa"/>
          </w:tcPr>
          <w:p w14:paraId="540066E1" w14:textId="77777777" w:rsidR="000841EF" w:rsidRPr="00B6123A" w:rsidRDefault="000841EF">
            <w:pPr>
              <w:pStyle w:val="TableBullet"/>
              <w:rPr>
                <w:rFonts w:cs="Arial"/>
              </w:rPr>
            </w:pPr>
            <w:r w:rsidRPr="00B6123A">
              <w:rPr>
                <w:rFonts w:cs="Arial"/>
              </w:rPr>
              <w:t>Clarify the purpose and benefits of continuous improvement for staff and provide coaching and leadership in times of uncertainty</w:t>
            </w:r>
          </w:p>
          <w:p w14:paraId="2E77A712" w14:textId="77777777" w:rsidR="000841EF" w:rsidRPr="00B6123A" w:rsidRDefault="000841EF">
            <w:pPr>
              <w:pStyle w:val="TableBullet"/>
              <w:rPr>
                <w:rFonts w:cs="Arial"/>
              </w:rPr>
            </w:pPr>
            <w:r w:rsidRPr="00B6123A">
              <w:rPr>
                <w:rFonts w:cs="Arial"/>
              </w:rPr>
              <w:t>Assist others to address emerging challenges and risks and generate support for change initiatives</w:t>
            </w:r>
          </w:p>
          <w:p w14:paraId="3F513581" w14:textId="77777777" w:rsidR="000841EF" w:rsidRPr="00B6123A" w:rsidRDefault="000841EF">
            <w:pPr>
              <w:pStyle w:val="TableBullet"/>
              <w:rPr>
                <w:rFonts w:cs="Arial"/>
              </w:rPr>
            </w:pPr>
            <w:r w:rsidRPr="00B6123A">
              <w:rPr>
                <w:rFonts w:cs="Arial"/>
              </w:rPr>
              <w:t>Translate change initiatives into practical strategies and explain these to staff, and their role in implementing them</w:t>
            </w:r>
          </w:p>
          <w:p w14:paraId="297E7925" w14:textId="77777777" w:rsidR="000841EF" w:rsidRPr="00B6123A" w:rsidRDefault="000841EF">
            <w:pPr>
              <w:pStyle w:val="TableBullet"/>
              <w:rPr>
                <w:rFonts w:cs="Arial"/>
              </w:rPr>
            </w:pPr>
            <w:r w:rsidRPr="00B6123A">
              <w:rPr>
                <w:rFonts w:cs="Arial"/>
              </w:rPr>
              <w:t>Implement structured change management processes to identify and develop responses to cultural barriers</w:t>
            </w:r>
          </w:p>
        </w:tc>
        <w:tc>
          <w:tcPr>
            <w:tcW w:w="1668" w:type="dxa"/>
          </w:tcPr>
          <w:p w14:paraId="73FA4DC4" w14:textId="050C9CBD" w:rsidR="000841EF" w:rsidRPr="00B6123A" w:rsidRDefault="00E41096">
            <w:pPr>
              <w:pStyle w:val="TableText"/>
              <w:rPr>
                <w:rFonts w:cs="Arial"/>
              </w:rPr>
            </w:pPr>
            <w:r w:rsidRPr="00B6123A">
              <w:rPr>
                <w:rFonts w:cs="Arial"/>
              </w:rPr>
              <w:t>Ad</w:t>
            </w:r>
            <w:r>
              <w:rPr>
                <w:rFonts w:cs="Arial"/>
              </w:rPr>
              <w:t>ept</w:t>
            </w:r>
          </w:p>
        </w:tc>
      </w:tr>
    </w:tbl>
    <w:p w14:paraId="0DD583BE" w14:textId="77777777" w:rsidR="000841EF" w:rsidRPr="00B6123A" w:rsidRDefault="000841EF" w:rsidP="000841EF">
      <w:pPr>
        <w:rPr>
          <w:rFonts w:cs="Arial"/>
        </w:rPr>
      </w:pPr>
    </w:p>
    <w:p w14:paraId="5264E6BF" w14:textId="77777777" w:rsidR="000841EF" w:rsidRPr="00B6123A" w:rsidRDefault="000841EF" w:rsidP="000841EF">
      <w:pPr>
        <w:pStyle w:val="Heading2"/>
      </w:pPr>
      <w:r w:rsidRPr="00B6123A">
        <w:t>Complementary capabilities</w:t>
      </w:r>
    </w:p>
    <w:p w14:paraId="03F5147E" w14:textId="77777777" w:rsidR="000841EF" w:rsidRPr="00B6123A" w:rsidRDefault="000841EF" w:rsidP="000841EF">
      <w:pPr>
        <w:pStyle w:val="PlainText"/>
        <w:spacing w:before="62" w:line="276" w:lineRule="auto"/>
        <w:contextualSpacing/>
        <w:rPr>
          <w:rFonts w:ascii="Arial" w:eastAsiaTheme="minorEastAsia" w:hAnsi="Arial" w:cs="Arial"/>
          <w:szCs w:val="22"/>
          <w:lang w:val="en-US"/>
        </w:rPr>
      </w:pPr>
      <w:r w:rsidRPr="00B6123A">
        <w:rPr>
          <w:rFonts w:ascii="Arial" w:eastAsiaTheme="minorEastAsia" w:hAnsi="Arial" w:cs="Arial"/>
          <w:i/>
          <w:szCs w:val="22"/>
          <w:lang w:val="en-US"/>
        </w:rPr>
        <w:t>Complementary capabilities</w:t>
      </w:r>
      <w:r w:rsidRPr="00B6123A">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6C1FD6D9" w14:textId="77777777" w:rsidR="000841EF" w:rsidRPr="00B6123A" w:rsidRDefault="000841EF" w:rsidP="000841EF">
      <w:pPr>
        <w:pStyle w:val="PlainText"/>
        <w:spacing w:before="62" w:line="276" w:lineRule="auto"/>
        <w:contextualSpacing/>
        <w:rPr>
          <w:rFonts w:ascii="Arial" w:eastAsiaTheme="minorEastAsia" w:hAnsi="Arial" w:cs="Arial"/>
          <w:szCs w:val="22"/>
          <w:lang w:val="en-US"/>
        </w:rPr>
      </w:pPr>
      <w:r w:rsidRPr="00B6123A">
        <w:rPr>
          <w:rFonts w:ascii="Arial" w:eastAsiaTheme="minorEastAsia" w:hAnsi="Arial" w:cs="Arial"/>
          <w:szCs w:val="22"/>
          <w:lang w:val="en-US"/>
        </w:rPr>
        <w:t>Note: capabilities listed as ‘not essential’ for this role are not relevant for recruitment purposes however may be relevant for future career development.</w:t>
      </w:r>
    </w:p>
    <w:p w14:paraId="1C824210" w14:textId="77777777" w:rsidR="000841EF" w:rsidRPr="00B6123A" w:rsidRDefault="000841EF" w:rsidP="000841EF">
      <w:pPr>
        <w:pStyle w:val="PlainText"/>
        <w:spacing w:before="62" w:line="276" w:lineRule="auto"/>
        <w:contextualSpacing/>
        <w:rPr>
          <w:rFonts w:ascii="Arial" w:eastAsiaTheme="minorEastAsia" w:hAnsi="Arial" w:cs="Arial"/>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0841EF" w:rsidRPr="00B6123A" w14:paraId="245FC92A" w14:textId="77777777" w:rsidTr="00B6123A">
        <w:trPr>
          <w:cantSplit/>
          <w:tblHeader/>
        </w:trPr>
        <w:tc>
          <w:tcPr>
            <w:tcW w:w="1276" w:type="dxa"/>
            <w:shd w:val="clear" w:color="auto" w:fill="BFBFBF" w:themeFill="background1" w:themeFillShade="BF"/>
            <w:vAlign w:val="center"/>
          </w:tcPr>
          <w:p w14:paraId="4C2D23C6" w14:textId="77777777" w:rsidR="000841EF" w:rsidRPr="00B6123A" w:rsidRDefault="000841EF">
            <w:pPr>
              <w:rPr>
                <w:rFonts w:cs="Arial"/>
                <w:sz w:val="20"/>
              </w:rPr>
            </w:pPr>
            <w:r w:rsidRPr="00B6123A">
              <w:rPr>
                <w:rFonts w:cs="Arial"/>
                <w:b/>
                <w:sz w:val="20"/>
              </w:rPr>
              <w:t>Capability group/sets</w:t>
            </w:r>
          </w:p>
        </w:tc>
        <w:tc>
          <w:tcPr>
            <w:tcW w:w="2693" w:type="dxa"/>
            <w:shd w:val="clear" w:color="auto" w:fill="BFBFBF" w:themeFill="background1" w:themeFillShade="BF"/>
          </w:tcPr>
          <w:p w14:paraId="7AC2331A" w14:textId="77777777" w:rsidR="000841EF" w:rsidRPr="00B6123A" w:rsidRDefault="000841EF">
            <w:pPr>
              <w:rPr>
                <w:rFonts w:cs="Arial"/>
                <w:sz w:val="20"/>
              </w:rPr>
            </w:pPr>
            <w:r w:rsidRPr="00B6123A">
              <w:rPr>
                <w:rFonts w:cs="Arial"/>
                <w:b/>
                <w:sz w:val="20"/>
              </w:rPr>
              <w:t>Capability name</w:t>
            </w:r>
          </w:p>
        </w:tc>
        <w:tc>
          <w:tcPr>
            <w:tcW w:w="4851" w:type="dxa"/>
            <w:shd w:val="clear" w:color="auto" w:fill="BFBFBF" w:themeFill="background1" w:themeFillShade="BF"/>
          </w:tcPr>
          <w:p w14:paraId="072F53ED" w14:textId="77777777" w:rsidR="000841EF" w:rsidRPr="00B6123A" w:rsidRDefault="000841EF">
            <w:pPr>
              <w:rPr>
                <w:rFonts w:cs="Arial"/>
                <w:sz w:val="20"/>
              </w:rPr>
            </w:pPr>
            <w:r w:rsidRPr="00B6123A">
              <w:rPr>
                <w:rFonts w:cs="Arial"/>
                <w:b/>
                <w:sz w:val="20"/>
              </w:rPr>
              <w:t>Description</w:t>
            </w:r>
          </w:p>
        </w:tc>
        <w:tc>
          <w:tcPr>
            <w:tcW w:w="1668" w:type="dxa"/>
            <w:shd w:val="clear" w:color="auto" w:fill="BFBFBF" w:themeFill="background1" w:themeFillShade="BF"/>
          </w:tcPr>
          <w:p w14:paraId="3DB358BB" w14:textId="77777777" w:rsidR="000841EF" w:rsidRPr="00B6123A" w:rsidRDefault="000841EF">
            <w:pPr>
              <w:rPr>
                <w:rFonts w:cs="Arial"/>
                <w:b/>
                <w:bCs/>
                <w:sz w:val="20"/>
              </w:rPr>
            </w:pPr>
            <w:r w:rsidRPr="00B6123A">
              <w:rPr>
                <w:rFonts w:cs="Arial"/>
                <w:b/>
                <w:bCs/>
                <w:sz w:val="20"/>
              </w:rPr>
              <w:t>Level</w:t>
            </w:r>
          </w:p>
        </w:tc>
      </w:tr>
      <w:tr w:rsidR="000841EF" w:rsidRPr="00B6123A" w14:paraId="353B3F8C" w14:textId="77777777">
        <w:trPr>
          <w:cantSplit/>
        </w:trPr>
        <w:tc>
          <w:tcPr>
            <w:tcW w:w="1276" w:type="dxa"/>
          </w:tcPr>
          <w:p w14:paraId="09B511D3" w14:textId="77777777" w:rsidR="000841EF" w:rsidRPr="00B6123A" w:rsidRDefault="000841EF">
            <w:pPr>
              <w:rPr>
                <w:rFonts w:cs="Arial"/>
                <w:sz w:val="20"/>
              </w:rPr>
            </w:pPr>
            <w:r w:rsidRPr="00B6123A">
              <w:rPr>
                <w:rFonts w:cs="Arial"/>
                <w:noProof/>
                <w:sz w:val="20"/>
                <w:lang w:eastAsia="en-AU"/>
              </w:rPr>
              <w:drawing>
                <wp:inline distT="0" distB="0" distL="0" distR="0" wp14:anchorId="1F6C9101" wp14:editId="2303966D">
                  <wp:extent cx="416966" cy="416966"/>
                  <wp:effectExtent l="0" t="0" r="2540" b="2540"/>
                  <wp:docPr id="562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2797CA9" w14:textId="77777777" w:rsidR="000841EF" w:rsidRPr="00B6123A" w:rsidRDefault="000841EF">
            <w:pPr>
              <w:pStyle w:val="TableText"/>
              <w:rPr>
                <w:rFonts w:cs="Arial"/>
              </w:rPr>
            </w:pPr>
            <w:r w:rsidRPr="00B6123A">
              <w:rPr>
                <w:rFonts w:cs="Arial"/>
              </w:rPr>
              <w:t>Display Resilience and Courage</w:t>
            </w:r>
          </w:p>
        </w:tc>
        <w:tc>
          <w:tcPr>
            <w:tcW w:w="4851" w:type="dxa"/>
          </w:tcPr>
          <w:p w14:paraId="09B00AEE" w14:textId="77777777" w:rsidR="000841EF" w:rsidRPr="00B6123A" w:rsidRDefault="000841EF">
            <w:pPr>
              <w:pStyle w:val="TableText"/>
              <w:rPr>
                <w:rFonts w:cs="Arial"/>
              </w:rPr>
            </w:pPr>
            <w:r w:rsidRPr="00B6123A">
              <w:rPr>
                <w:rFonts w:cs="Arial"/>
              </w:rPr>
              <w:t>Be open and honest, prepared to express your views, and willing to accept and commit to change</w:t>
            </w:r>
          </w:p>
        </w:tc>
        <w:tc>
          <w:tcPr>
            <w:tcW w:w="1668" w:type="dxa"/>
          </w:tcPr>
          <w:p w14:paraId="41A01465" w14:textId="6E3B22F0" w:rsidR="000841EF" w:rsidRPr="00B6123A" w:rsidRDefault="004A3DB7">
            <w:pPr>
              <w:pStyle w:val="TableText"/>
              <w:rPr>
                <w:rFonts w:cs="Arial"/>
              </w:rPr>
            </w:pPr>
            <w:r>
              <w:rPr>
                <w:rFonts w:cs="Arial"/>
              </w:rPr>
              <w:t>Adept</w:t>
            </w:r>
          </w:p>
        </w:tc>
      </w:tr>
      <w:tr w:rsidR="000841EF" w:rsidRPr="00B6123A" w14:paraId="14501401" w14:textId="77777777">
        <w:trPr>
          <w:cantSplit/>
        </w:trPr>
        <w:tc>
          <w:tcPr>
            <w:tcW w:w="1276" w:type="dxa"/>
          </w:tcPr>
          <w:p w14:paraId="3D01B8BF" w14:textId="77777777" w:rsidR="000841EF" w:rsidRPr="00B6123A" w:rsidRDefault="000841EF">
            <w:pPr>
              <w:rPr>
                <w:rFonts w:cs="Arial"/>
                <w:sz w:val="20"/>
              </w:rPr>
            </w:pPr>
            <w:r w:rsidRPr="00B6123A">
              <w:rPr>
                <w:rFonts w:cs="Arial"/>
                <w:noProof/>
                <w:sz w:val="20"/>
                <w:lang w:eastAsia="en-AU"/>
              </w:rPr>
              <w:drawing>
                <wp:inline distT="0" distB="0" distL="0" distR="0" wp14:anchorId="5BAE9CE0" wp14:editId="54C52FF0">
                  <wp:extent cx="416966" cy="416966"/>
                  <wp:effectExtent l="0" t="0" r="2540" b="2540"/>
                  <wp:docPr id="920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6195DE4" w14:textId="77777777" w:rsidR="000841EF" w:rsidRPr="00B6123A" w:rsidRDefault="000841EF">
            <w:pPr>
              <w:pStyle w:val="TableText"/>
              <w:rPr>
                <w:rFonts w:cs="Arial"/>
              </w:rPr>
            </w:pPr>
            <w:r w:rsidRPr="00B6123A">
              <w:rPr>
                <w:rFonts w:cs="Arial"/>
              </w:rPr>
              <w:t>Manage Self</w:t>
            </w:r>
          </w:p>
        </w:tc>
        <w:tc>
          <w:tcPr>
            <w:tcW w:w="4851" w:type="dxa"/>
          </w:tcPr>
          <w:p w14:paraId="1633B9E4" w14:textId="77777777" w:rsidR="000841EF" w:rsidRPr="00B6123A" w:rsidRDefault="000841EF">
            <w:pPr>
              <w:pStyle w:val="TableText"/>
              <w:rPr>
                <w:rFonts w:cs="Arial"/>
              </w:rPr>
            </w:pPr>
            <w:r w:rsidRPr="00B6123A">
              <w:rPr>
                <w:rFonts w:cs="Arial"/>
              </w:rPr>
              <w:t>Show drive and motivation, an ability to self-reflect and a commitment to learning</w:t>
            </w:r>
          </w:p>
        </w:tc>
        <w:tc>
          <w:tcPr>
            <w:tcW w:w="1668" w:type="dxa"/>
          </w:tcPr>
          <w:p w14:paraId="596F0CEF" w14:textId="59BFE986" w:rsidR="000841EF" w:rsidRPr="00B6123A" w:rsidRDefault="004A3DB7">
            <w:pPr>
              <w:pStyle w:val="TableText"/>
              <w:rPr>
                <w:rFonts w:cs="Arial"/>
              </w:rPr>
            </w:pPr>
            <w:r>
              <w:rPr>
                <w:rFonts w:cs="Arial"/>
              </w:rPr>
              <w:t>Adept</w:t>
            </w:r>
          </w:p>
        </w:tc>
      </w:tr>
      <w:tr w:rsidR="000841EF" w:rsidRPr="00B6123A" w14:paraId="78FD7DBC" w14:textId="77777777">
        <w:trPr>
          <w:cantSplit/>
        </w:trPr>
        <w:tc>
          <w:tcPr>
            <w:tcW w:w="1276" w:type="dxa"/>
          </w:tcPr>
          <w:p w14:paraId="5F1C2268" w14:textId="77777777" w:rsidR="000841EF" w:rsidRPr="00B6123A" w:rsidRDefault="000841EF">
            <w:pPr>
              <w:rPr>
                <w:rFonts w:cs="Arial"/>
                <w:sz w:val="20"/>
              </w:rPr>
            </w:pPr>
            <w:r w:rsidRPr="00B6123A">
              <w:rPr>
                <w:rFonts w:cs="Arial"/>
                <w:noProof/>
                <w:sz w:val="20"/>
                <w:lang w:eastAsia="en-AU"/>
              </w:rPr>
              <w:drawing>
                <wp:inline distT="0" distB="0" distL="0" distR="0" wp14:anchorId="2BCCFFFA" wp14:editId="7284E1F9">
                  <wp:extent cx="416966" cy="416966"/>
                  <wp:effectExtent l="0" t="0" r="2540" b="2540"/>
                  <wp:docPr id="757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560EAE3" w14:textId="77777777" w:rsidR="000841EF" w:rsidRPr="00B6123A" w:rsidRDefault="000841EF">
            <w:pPr>
              <w:pStyle w:val="TableText"/>
              <w:rPr>
                <w:rFonts w:cs="Arial"/>
              </w:rPr>
            </w:pPr>
            <w:r w:rsidRPr="00B6123A">
              <w:rPr>
                <w:rFonts w:cs="Arial"/>
              </w:rPr>
              <w:t>Commit to Customer Service</w:t>
            </w:r>
          </w:p>
        </w:tc>
        <w:tc>
          <w:tcPr>
            <w:tcW w:w="4851" w:type="dxa"/>
          </w:tcPr>
          <w:p w14:paraId="021FF104" w14:textId="77777777" w:rsidR="000841EF" w:rsidRPr="00B6123A" w:rsidRDefault="000841EF">
            <w:pPr>
              <w:pStyle w:val="TableText"/>
              <w:rPr>
                <w:rFonts w:cs="Arial"/>
              </w:rPr>
            </w:pPr>
            <w:r w:rsidRPr="00B6123A">
              <w:rPr>
                <w:rFonts w:cs="Arial"/>
              </w:rPr>
              <w:t>Provide customer-focused services in line with public sector and organisational objectives</w:t>
            </w:r>
          </w:p>
        </w:tc>
        <w:tc>
          <w:tcPr>
            <w:tcW w:w="1668" w:type="dxa"/>
          </w:tcPr>
          <w:p w14:paraId="1E6DE52C" w14:textId="0CD7C957" w:rsidR="000841EF" w:rsidRPr="00B6123A" w:rsidRDefault="004A3DB7">
            <w:pPr>
              <w:pStyle w:val="TableText"/>
              <w:rPr>
                <w:rFonts w:cs="Arial"/>
              </w:rPr>
            </w:pPr>
            <w:r>
              <w:rPr>
                <w:rFonts w:cs="Arial"/>
              </w:rPr>
              <w:t>Adept</w:t>
            </w:r>
          </w:p>
        </w:tc>
      </w:tr>
      <w:tr w:rsidR="000841EF" w:rsidRPr="00B6123A" w14:paraId="5DEDEE15" w14:textId="77777777">
        <w:trPr>
          <w:cantSplit/>
        </w:trPr>
        <w:tc>
          <w:tcPr>
            <w:tcW w:w="1276" w:type="dxa"/>
          </w:tcPr>
          <w:p w14:paraId="2FCD8158" w14:textId="77777777" w:rsidR="000841EF" w:rsidRPr="00B6123A" w:rsidRDefault="000841EF">
            <w:pPr>
              <w:rPr>
                <w:rFonts w:cs="Arial"/>
                <w:sz w:val="20"/>
              </w:rPr>
            </w:pPr>
            <w:r w:rsidRPr="00B6123A">
              <w:rPr>
                <w:rFonts w:cs="Arial"/>
                <w:noProof/>
                <w:sz w:val="20"/>
                <w:lang w:eastAsia="en-AU"/>
              </w:rPr>
              <w:lastRenderedPageBreak/>
              <w:drawing>
                <wp:inline distT="0" distB="0" distL="0" distR="0" wp14:anchorId="6EDE0A96" wp14:editId="57490384">
                  <wp:extent cx="416966" cy="416966"/>
                  <wp:effectExtent l="0" t="0" r="2540" b="2540"/>
                  <wp:docPr id="116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9E7E41B" w14:textId="77777777" w:rsidR="000841EF" w:rsidRPr="00B6123A" w:rsidRDefault="000841EF">
            <w:pPr>
              <w:pStyle w:val="TableText"/>
              <w:rPr>
                <w:rFonts w:cs="Arial"/>
              </w:rPr>
            </w:pPr>
            <w:r w:rsidRPr="00B6123A">
              <w:rPr>
                <w:rFonts w:cs="Arial"/>
              </w:rPr>
              <w:t>Deliver Results</w:t>
            </w:r>
          </w:p>
        </w:tc>
        <w:tc>
          <w:tcPr>
            <w:tcW w:w="4851" w:type="dxa"/>
          </w:tcPr>
          <w:p w14:paraId="5026E987" w14:textId="77777777" w:rsidR="000841EF" w:rsidRPr="00B6123A" w:rsidRDefault="000841EF">
            <w:pPr>
              <w:pStyle w:val="TableText"/>
              <w:rPr>
                <w:rFonts w:cs="Arial"/>
              </w:rPr>
            </w:pPr>
            <w:r w:rsidRPr="00B6123A">
              <w:rPr>
                <w:rFonts w:cs="Arial"/>
              </w:rPr>
              <w:t>Achieve results through the efficient use of resources and a commitment to quality outcomes</w:t>
            </w:r>
          </w:p>
        </w:tc>
        <w:tc>
          <w:tcPr>
            <w:tcW w:w="1668" w:type="dxa"/>
          </w:tcPr>
          <w:p w14:paraId="7FD9B47C" w14:textId="77777777" w:rsidR="000841EF" w:rsidRPr="00B6123A" w:rsidRDefault="000841EF">
            <w:pPr>
              <w:pStyle w:val="TableText"/>
              <w:rPr>
                <w:rFonts w:cs="Arial"/>
              </w:rPr>
            </w:pPr>
            <w:r w:rsidRPr="00B6123A">
              <w:rPr>
                <w:rFonts w:cs="Arial"/>
              </w:rPr>
              <w:t>Advanced</w:t>
            </w:r>
          </w:p>
        </w:tc>
      </w:tr>
      <w:tr w:rsidR="000841EF" w:rsidRPr="00B6123A" w14:paraId="28F372EF" w14:textId="77777777">
        <w:trPr>
          <w:cantSplit/>
        </w:trPr>
        <w:tc>
          <w:tcPr>
            <w:tcW w:w="1276" w:type="dxa"/>
          </w:tcPr>
          <w:p w14:paraId="0BD39158" w14:textId="77777777" w:rsidR="000841EF" w:rsidRPr="00B6123A" w:rsidRDefault="000841EF">
            <w:pPr>
              <w:rPr>
                <w:rFonts w:cs="Arial"/>
                <w:sz w:val="20"/>
              </w:rPr>
            </w:pPr>
            <w:r w:rsidRPr="00B6123A">
              <w:rPr>
                <w:rFonts w:cs="Arial"/>
                <w:noProof/>
                <w:sz w:val="20"/>
                <w:lang w:eastAsia="en-AU"/>
              </w:rPr>
              <w:drawing>
                <wp:inline distT="0" distB="0" distL="0" distR="0" wp14:anchorId="2718D5DE" wp14:editId="7ED1633C">
                  <wp:extent cx="416966" cy="416966"/>
                  <wp:effectExtent l="0" t="0" r="2540" b="2540"/>
                  <wp:docPr id="311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E7B9E28" w14:textId="77777777" w:rsidR="000841EF" w:rsidRPr="00B6123A" w:rsidRDefault="000841EF">
            <w:pPr>
              <w:pStyle w:val="TableText"/>
              <w:rPr>
                <w:rFonts w:cs="Arial"/>
              </w:rPr>
            </w:pPr>
            <w:r w:rsidRPr="00B6123A">
              <w:rPr>
                <w:rFonts w:cs="Arial"/>
              </w:rPr>
              <w:t xml:space="preserve">Plan and </w:t>
            </w:r>
            <w:proofErr w:type="gramStart"/>
            <w:r w:rsidRPr="00B6123A">
              <w:rPr>
                <w:rFonts w:cs="Arial"/>
              </w:rPr>
              <w:t>Prioritise</w:t>
            </w:r>
            <w:proofErr w:type="gramEnd"/>
          </w:p>
        </w:tc>
        <w:tc>
          <w:tcPr>
            <w:tcW w:w="4851" w:type="dxa"/>
          </w:tcPr>
          <w:p w14:paraId="776F3F6B" w14:textId="77777777" w:rsidR="000841EF" w:rsidRPr="00B6123A" w:rsidRDefault="000841EF">
            <w:pPr>
              <w:pStyle w:val="TableText"/>
              <w:rPr>
                <w:rFonts w:cs="Arial"/>
              </w:rPr>
            </w:pPr>
            <w:r w:rsidRPr="00B6123A">
              <w:rPr>
                <w:rFonts w:cs="Arial"/>
              </w:rPr>
              <w:t>Plan to achieve priority outcomes and respond flexibly to changing circumstances</w:t>
            </w:r>
          </w:p>
        </w:tc>
        <w:tc>
          <w:tcPr>
            <w:tcW w:w="1668" w:type="dxa"/>
          </w:tcPr>
          <w:p w14:paraId="01E0D261" w14:textId="77777777" w:rsidR="000841EF" w:rsidRPr="00B6123A" w:rsidRDefault="000841EF">
            <w:pPr>
              <w:pStyle w:val="TableText"/>
              <w:rPr>
                <w:rFonts w:cs="Arial"/>
              </w:rPr>
            </w:pPr>
            <w:r w:rsidRPr="00B6123A">
              <w:rPr>
                <w:rFonts w:cs="Arial"/>
              </w:rPr>
              <w:t>Advanced</w:t>
            </w:r>
          </w:p>
        </w:tc>
      </w:tr>
      <w:tr w:rsidR="000841EF" w:rsidRPr="00B6123A" w14:paraId="702F3F5E" w14:textId="77777777">
        <w:trPr>
          <w:cantSplit/>
        </w:trPr>
        <w:tc>
          <w:tcPr>
            <w:tcW w:w="1276" w:type="dxa"/>
          </w:tcPr>
          <w:p w14:paraId="1E8D0E4D" w14:textId="77777777" w:rsidR="000841EF" w:rsidRPr="00B6123A" w:rsidRDefault="000841EF">
            <w:pPr>
              <w:rPr>
                <w:rFonts w:cs="Arial"/>
                <w:sz w:val="20"/>
              </w:rPr>
            </w:pPr>
            <w:r w:rsidRPr="00B6123A">
              <w:rPr>
                <w:rFonts w:cs="Arial"/>
                <w:noProof/>
                <w:sz w:val="20"/>
                <w:lang w:eastAsia="en-AU"/>
              </w:rPr>
              <w:drawing>
                <wp:inline distT="0" distB="0" distL="0" distR="0" wp14:anchorId="41D900D7" wp14:editId="3D01FE50">
                  <wp:extent cx="416966" cy="416966"/>
                  <wp:effectExtent l="0" t="0" r="2540" b="2540"/>
                  <wp:docPr id="670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46A516D" w14:textId="77777777" w:rsidR="000841EF" w:rsidRPr="00B6123A" w:rsidRDefault="000841EF">
            <w:pPr>
              <w:pStyle w:val="TableText"/>
              <w:rPr>
                <w:rFonts w:cs="Arial"/>
              </w:rPr>
            </w:pPr>
            <w:r w:rsidRPr="00B6123A">
              <w:rPr>
                <w:rFonts w:cs="Arial"/>
              </w:rPr>
              <w:t>Demonstrate Accountability</w:t>
            </w:r>
          </w:p>
        </w:tc>
        <w:tc>
          <w:tcPr>
            <w:tcW w:w="4851" w:type="dxa"/>
          </w:tcPr>
          <w:p w14:paraId="1DC297F2" w14:textId="77777777" w:rsidR="000841EF" w:rsidRPr="00B6123A" w:rsidRDefault="000841EF">
            <w:pPr>
              <w:pStyle w:val="TableText"/>
              <w:rPr>
                <w:rFonts w:cs="Arial"/>
              </w:rPr>
            </w:pPr>
            <w:r w:rsidRPr="00B6123A">
              <w:rPr>
                <w:rFonts w:cs="Arial"/>
              </w:rPr>
              <w:t>Be proactive and responsible for own actions, and adhere to legislation, policy and guidelines</w:t>
            </w:r>
          </w:p>
        </w:tc>
        <w:tc>
          <w:tcPr>
            <w:tcW w:w="1668" w:type="dxa"/>
          </w:tcPr>
          <w:p w14:paraId="4D4BCE1E" w14:textId="77777777" w:rsidR="000841EF" w:rsidRPr="00B6123A" w:rsidRDefault="000841EF">
            <w:pPr>
              <w:pStyle w:val="TableText"/>
              <w:rPr>
                <w:rFonts w:cs="Arial"/>
              </w:rPr>
            </w:pPr>
            <w:r w:rsidRPr="00B6123A">
              <w:rPr>
                <w:rFonts w:cs="Arial"/>
              </w:rPr>
              <w:t>Advanced</w:t>
            </w:r>
          </w:p>
        </w:tc>
      </w:tr>
      <w:tr w:rsidR="000841EF" w:rsidRPr="00B6123A" w14:paraId="6986CAF2" w14:textId="77777777">
        <w:trPr>
          <w:cantSplit/>
        </w:trPr>
        <w:tc>
          <w:tcPr>
            <w:tcW w:w="1276" w:type="dxa"/>
          </w:tcPr>
          <w:p w14:paraId="5F9EFD9F" w14:textId="77777777" w:rsidR="000841EF" w:rsidRPr="00B6123A" w:rsidRDefault="000841EF">
            <w:pPr>
              <w:rPr>
                <w:rFonts w:cs="Arial"/>
                <w:sz w:val="20"/>
              </w:rPr>
            </w:pPr>
            <w:r w:rsidRPr="00B6123A">
              <w:rPr>
                <w:rFonts w:cs="Arial"/>
                <w:noProof/>
                <w:sz w:val="20"/>
                <w:lang w:eastAsia="en-AU"/>
              </w:rPr>
              <w:drawing>
                <wp:inline distT="0" distB="0" distL="0" distR="0" wp14:anchorId="10862479" wp14:editId="0531EE88">
                  <wp:extent cx="416966" cy="416966"/>
                  <wp:effectExtent l="0" t="0" r="2540" b="2540"/>
                  <wp:docPr id="506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1749BFE" w14:textId="77777777" w:rsidR="000841EF" w:rsidRPr="00B6123A" w:rsidRDefault="000841EF">
            <w:pPr>
              <w:pStyle w:val="TableText"/>
              <w:rPr>
                <w:rFonts w:cs="Arial"/>
              </w:rPr>
            </w:pPr>
            <w:r w:rsidRPr="00B6123A">
              <w:rPr>
                <w:rFonts w:cs="Arial"/>
              </w:rPr>
              <w:t>Finance</w:t>
            </w:r>
          </w:p>
        </w:tc>
        <w:tc>
          <w:tcPr>
            <w:tcW w:w="4851" w:type="dxa"/>
          </w:tcPr>
          <w:p w14:paraId="21915A4F" w14:textId="77777777" w:rsidR="000841EF" w:rsidRPr="00B6123A" w:rsidRDefault="000841EF">
            <w:pPr>
              <w:pStyle w:val="TableText"/>
              <w:rPr>
                <w:rFonts w:cs="Arial"/>
              </w:rPr>
            </w:pPr>
            <w:r w:rsidRPr="00B6123A">
              <w:rPr>
                <w:rFonts w:cs="Arial"/>
              </w:rPr>
              <w:t>Understand and apply financial processes to achieve value for money and minimise financial risk</w:t>
            </w:r>
          </w:p>
        </w:tc>
        <w:tc>
          <w:tcPr>
            <w:tcW w:w="1668" w:type="dxa"/>
          </w:tcPr>
          <w:p w14:paraId="60424610" w14:textId="77777777" w:rsidR="000841EF" w:rsidRPr="00B6123A" w:rsidRDefault="000841EF">
            <w:pPr>
              <w:pStyle w:val="TableText"/>
              <w:rPr>
                <w:rFonts w:cs="Arial"/>
              </w:rPr>
            </w:pPr>
            <w:r w:rsidRPr="00B6123A">
              <w:rPr>
                <w:rFonts w:cs="Arial"/>
              </w:rPr>
              <w:t>Advanced</w:t>
            </w:r>
          </w:p>
        </w:tc>
      </w:tr>
      <w:tr w:rsidR="000841EF" w:rsidRPr="00B6123A" w14:paraId="79438D06" w14:textId="77777777">
        <w:trPr>
          <w:cantSplit/>
        </w:trPr>
        <w:tc>
          <w:tcPr>
            <w:tcW w:w="1276" w:type="dxa"/>
          </w:tcPr>
          <w:p w14:paraId="73249EC5" w14:textId="77777777" w:rsidR="000841EF" w:rsidRPr="00B6123A" w:rsidRDefault="000841EF">
            <w:pPr>
              <w:rPr>
                <w:rFonts w:cs="Arial"/>
                <w:sz w:val="20"/>
              </w:rPr>
            </w:pPr>
            <w:r w:rsidRPr="00B6123A">
              <w:rPr>
                <w:rFonts w:cs="Arial"/>
                <w:noProof/>
                <w:sz w:val="20"/>
                <w:lang w:eastAsia="en-AU"/>
              </w:rPr>
              <w:drawing>
                <wp:inline distT="0" distB="0" distL="0" distR="0" wp14:anchorId="67989033" wp14:editId="62E0E897">
                  <wp:extent cx="416966" cy="416966"/>
                  <wp:effectExtent l="0" t="0" r="2540" b="2540"/>
                  <wp:docPr id="865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EEBEB3E" w14:textId="77777777" w:rsidR="000841EF" w:rsidRPr="00B6123A" w:rsidRDefault="000841EF">
            <w:pPr>
              <w:pStyle w:val="TableText"/>
              <w:rPr>
                <w:rFonts w:cs="Arial"/>
              </w:rPr>
            </w:pPr>
            <w:r w:rsidRPr="00B6123A">
              <w:rPr>
                <w:rFonts w:cs="Arial"/>
              </w:rPr>
              <w:t>Technology</w:t>
            </w:r>
          </w:p>
        </w:tc>
        <w:tc>
          <w:tcPr>
            <w:tcW w:w="4851" w:type="dxa"/>
          </w:tcPr>
          <w:p w14:paraId="1BAC9725" w14:textId="77777777" w:rsidR="000841EF" w:rsidRPr="00B6123A" w:rsidRDefault="000841EF">
            <w:pPr>
              <w:pStyle w:val="TableText"/>
              <w:rPr>
                <w:rFonts w:cs="Arial"/>
              </w:rPr>
            </w:pPr>
            <w:r w:rsidRPr="00B6123A">
              <w:rPr>
                <w:rFonts w:cs="Arial"/>
              </w:rPr>
              <w:t>Understand and use available technologies to maximise efficiencies and effectiveness</w:t>
            </w:r>
          </w:p>
        </w:tc>
        <w:tc>
          <w:tcPr>
            <w:tcW w:w="1668" w:type="dxa"/>
          </w:tcPr>
          <w:p w14:paraId="472F3651" w14:textId="77777777" w:rsidR="000841EF" w:rsidRPr="00B6123A" w:rsidRDefault="000841EF">
            <w:pPr>
              <w:pStyle w:val="TableText"/>
              <w:rPr>
                <w:rFonts w:cs="Arial"/>
              </w:rPr>
            </w:pPr>
            <w:r w:rsidRPr="00B6123A">
              <w:rPr>
                <w:rFonts w:cs="Arial"/>
              </w:rPr>
              <w:t>Adept</w:t>
            </w:r>
          </w:p>
        </w:tc>
      </w:tr>
      <w:tr w:rsidR="000841EF" w:rsidRPr="00B6123A" w14:paraId="574AFABC" w14:textId="77777777">
        <w:trPr>
          <w:cantSplit/>
        </w:trPr>
        <w:tc>
          <w:tcPr>
            <w:tcW w:w="1276" w:type="dxa"/>
          </w:tcPr>
          <w:p w14:paraId="2F8629F3" w14:textId="77777777" w:rsidR="000841EF" w:rsidRPr="00B6123A" w:rsidRDefault="000841EF">
            <w:pPr>
              <w:rPr>
                <w:rFonts w:cs="Arial"/>
                <w:sz w:val="20"/>
              </w:rPr>
            </w:pPr>
            <w:r w:rsidRPr="00B6123A">
              <w:rPr>
                <w:rFonts w:cs="Arial"/>
                <w:noProof/>
                <w:sz w:val="20"/>
                <w:lang w:eastAsia="en-AU"/>
              </w:rPr>
              <w:drawing>
                <wp:inline distT="0" distB="0" distL="0" distR="0" wp14:anchorId="6947D08E" wp14:editId="0318C06A">
                  <wp:extent cx="416966" cy="416966"/>
                  <wp:effectExtent l="0" t="0" r="2540" b="2540"/>
                  <wp:docPr id="224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904120A" w14:textId="77777777" w:rsidR="000841EF" w:rsidRPr="00B6123A" w:rsidRDefault="000841EF">
            <w:pPr>
              <w:pStyle w:val="TableText"/>
              <w:rPr>
                <w:rFonts w:cs="Arial"/>
              </w:rPr>
            </w:pPr>
            <w:r w:rsidRPr="00B6123A">
              <w:rPr>
                <w:rFonts w:cs="Arial"/>
              </w:rPr>
              <w:t>Procurement and Contract Management</w:t>
            </w:r>
          </w:p>
        </w:tc>
        <w:tc>
          <w:tcPr>
            <w:tcW w:w="4851" w:type="dxa"/>
          </w:tcPr>
          <w:p w14:paraId="3C34DD67" w14:textId="77777777" w:rsidR="000841EF" w:rsidRPr="00B6123A" w:rsidRDefault="000841EF">
            <w:pPr>
              <w:pStyle w:val="TableText"/>
              <w:rPr>
                <w:rFonts w:cs="Arial"/>
              </w:rPr>
            </w:pPr>
            <w:r w:rsidRPr="00B6123A">
              <w:rPr>
                <w:rFonts w:cs="Arial"/>
              </w:rPr>
              <w:t>Understand and apply procurement processes to ensure effective purchasing and contract performance</w:t>
            </w:r>
          </w:p>
        </w:tc>
        <w:tc>
          <w:tcPr>
            <w:tcW w:w="1668" w:type="dxa"/>
          </w:tcPr>
          <w:p w14:paraId="531E951A" w14:textId="4FE5A64C" w:rsidR="000841EF" w:rsidRPr="00B6123A" w:rsidRDefault="009A1848">
            <w:pPr>
              <w:pStyle w:val="TableText"/>
              <w:rPr>
                <w:rFonts w:cs="Arial"/>
              </w:rPr>
            </w:pPr>
            <w:r>
              <w:rPr>
                <w:rFonts w:cs="Arial"/>
              </w:rPr>
              <w:t>Adept</w:t>
            </w:r>
          </w:p>
        </w:tc>
      </w:tr>
      <w:tr w:rsidR="000841EF" w:rsidRPr="00B6123A" w14:paraId="56932A36" w14:textId="77777777">
        <w:trPr>
          <w:cantSplit/>
        </w:trPr>
        <w:tc>
          <w:tcPr>
            <w:tcW w:w="1276" w:type="dxa"/>
          </w:tcPr>
          <w:p w14:paraId="7281D489" w14:textId="77777777" w:rsidR="000841EF" w:rsidRPr="00B6123A" w:rsidRDefault="000841EF">
            <w:pPr>
              <w:rPr>
                <w:rFonts w:cs="Arial"/>
                <w:sz w:val="20"/>
              </w:rPr>
            </w:pPr>
            <w:r w:rsidRPr="00B6123A">
              <w:rPr>
                <w:rFonts w:cs="Arial"/>
                <w:noProof/>
                <w:sz w:val="20"/>
                <w:lang w:eastAsia="en-AU"/>
              </w:rPr>
              <w:drawing>
                <wp:inline distT="0" distB="0" distL="0" distR="0" wp14:anchorId="679A5A67" wp14:editId="278B0E98">
                  <wp:extent cx="416966" cy="416966"/>
                  <wp:effectExtent l="0" t="0" r="2540" b="2540"/>
                  <wp:docPr id="612"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9C38E97" w14:textId="77777777" w:rsidR="000841EF" w:rsidRPr="00B6123A" w:rsidRDefault="000841EF">
            <w:pPr>
              <w:pStyle w:val="TableText"/>
              <w:rPr>
                <w:rFonts w:cs="Arial"/>
              </w:rPr>
            </w:pPr>
            <w:r w:rsidRPr="00B6123A">
              <w:rPr>
                <w:rFonts w:cs="Arial"/>
              </w:rPr>
              <w:t>Optimise Business Outcomes</w:t>
            </w:r>
          </w:p>
        </w:tc>
        <w:tc>
          <w:tcPr>
            <w:tcW w:w="4851" w:type="dxa"/>
          </w:tcPr>
          <w:p w14:paraId="5E423CC0" w14:textId="77777777" w:rsidR="000841EF" w:rsidRPr="00B6123A" w:rsidRDefault="000841EF">
            <w:pPr>
              <w:pStyle w:val="TableText"/>
              <w:rPr>
                <w:rFonts w:cs="Arial"/>
              </w:rPr>
            </w:pPr>
            <w:r w:rsidRPr="00B6123A">
              <w:rPr>
                <w:rFonts w:cs="Arial"/>
              </w:rPr>
              <w:t>Manage people and resources effectively to achieve public value</w:t>
            </w:r>
          </w:p>
        </w:tc>
        <w:tc>
          <w:tcPr>
            <w:tcW w:w="1668" w:type="dxa"/>
          </w:tcPr>
          <w:p w14:paraId="2E21825E" w14:textId="77777777" w:rsidR="000841EF" w:rsidRPr="00B6123A" w:rsidRDefault="000841EF">
            <w:pPr>
              <w:pStyle w:val="TableText"/>
              <w:rPr>
                <w:rFonts w:cs="Arial"/>
              </w:rPr>
            </w:pPr>
            <w:r w:rsidRPr="00B6123A">
              <w:rPr>
                <w:rFonts w:cs="Arial"/>
              </w:rPr>
              <w:t>Advanced</w:t>
            </w:r>
          </w:p>
        </w:tc>
      </w:tr>
      <w:bookmarkEnd w:id="1"/>
      <w:bookmarkEnd w:id="2"/>
      <w:bookmarkEnd w:id="3"/>
      <w:bookmarkEnd w:id="4"/>
    </w:tbl>
    <w:p w14:paraId="66C74031" w14:textId="77777777" w:rsidR="000841EF" w:rsidRPr="00B6123A" w:rsidRDefault="000841EF" w:rsidP="000841EF">
      <w:pPr>
        <w:contextualSpacing/>
        <w:rPr>
          <w:rFonts w:cs="Arial"/>
        </w:rPr>
      </w:pPr>
    </w:p>
    <w:p w14:paraId="6653EEA2" w14:textId="77777777" w:rsidR="00205A8A" w:rsidRPr="00B6123A" w:rsidRDefault="00205A8A" w:rsidP="00205A8A">
      <w:pPr>
        <w:tabs>
          <w:tab w:val="left" w:pos="2925"/>
        </w:tabs>
        <w:rPr>
          <w:rFonts w:cs="Arial"/>
        </w:rPr>
      </w:pPr>
    </w:p>
    <w:sectPr w:rsidR="00205A8A" w:rsidRPr="00B6123A" w:rsidSect="00F16FD1">
      <w:headerReference w:type="even" r:id="rId17"/>
      <w:headerReference w:type="default" r:id="rId18"/>
      <w:footerReference w:type="even" r:id="rId19"/>
      <w:footerReference w:type="default" r:id="rId20"/>
      <w:headerReference w:type="first" r:id="rId21"/>
      <w:footerReference w:type="first" r:id="rId22"/>
      <w:pgSz w:w="12240" w:h="15840"/>
      <w:pgMar w:top="851"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19B96" w14:textId="77777777" w:rsidR="00352F11" w:rsidRDefault="00352F11" w:rsidP="00BB532F">
      <w:pPr>
        <w:spacing w:after="0" w:line="240" w:lineRule="auto"/>
      </w:pPr>
      <w:r>
        <w:separator/>
      </w:r>
    </w:p>
  </w:endnote>
  <w:endnote w:type="continuationSeparator" w:id="0">
    <w:p w14:paraId="674E5587" w14:textId="77777777" w:rsidR="00352F11" w:rsidRDefault="00352F11" w:rsidP="00BB532F">
      <w:pPr>
        <w:spacing w:after="0" w:line="240" w:lineRule="auto"/>
      </w:pPr>
      <w:r>
        <w:continuationSeparator/>
      </w:r>
    </w:p>
  </w:endnote>
  <w:endnote w:type="continuationNotice" w:id="1">
    <w:p w14:paraId="404678E8" w14:textId="77777777" w:rsidR="00352F11" w:rsidRDefault="00352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8336" w14:textId="77777777" w:rsidR="002A47EF" w:rsidRDefault="002A4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E56565" w14:paraId="0F9ED98E" w14:textId="77777777" w:rsidTr="00C03AFD">
      <w:tc>
        <w:tcPr>
          <w:tcW w:w="2250" w:type="pct"/>
          <w:vAlign w:val="center"/>
        </w:tcPr>
        <w:p w14:paraId="50CDDB30" w14:textId="2D58E6A2" w:rsidR="00E56565" w:rsidRDefault="00E56565" w:rsidP="00BF6EB4">
          <w:pPr>
            <w:pStyle w:val="Footer"/>
          </w:pPr>
          <w:r w:rsidRPr="00C03AFD">
            <w:rPr>
              <w:color w:val="928B81"/>
              <w:sz w:val="18"/>
            </w:rPr>
            <w:t>Role Description</w:t>
          </w:r>
          <w:r>
            <w:rPr>
              <w:color w:val="595959" w:themeColor="text1" w:themeTint="A6"/>
              <w:sz w:val="18"/>
            </w:rPr>
            <w:t xml:space="preserve"> </w:t>
          </w:r>
          <w:r w:rsidR="00F774B2">
            <w:rPr>
              <w:color w:val="000000" w:themeColor="text1"/>
              <w:sz w:val="18"/>
            </w:rPr>
            <w:t>Director</w:t>
          </w:r>
          <w:r w:rsidR="00DB126F">
            <w:rPr>
              <w:color w:val="000000" w:themeColor="text1"/>
              <w:sz w:val="18"/>
            </w:rPr>
            <w:t xml:space="preserve"> </w:t>
          </w:r>
          <w:r w:rsidR="00537E33" w:rsidRPr="005A4034">
            <w:rPr>
              <w:color w:val="000000" w:themeColor="text1"/>
              <w:sz w:val="18"/>
            </w:rPr>
            <w:t>Planning Portal Interface</w:t>
          </w:r>
        </w:p>
      </w:tc>
      <w:tc>
        <w:tcPr>
          <w:tcW w:w="250" w:type="pct"/>
          <w:vAlign w:val="center"/>
        </w:tcPr>
        <w:p w14:paraId="045EAEE3" w14:textId="77777777" w:rsidR="00E56565" w:rsidRPr="00C03AFD" w:rsidRDefault="00E56565"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216446">
            <w:rPr>
              <w:noProof/>
              <w:color w:val="928B81"/>
              <w:sz w:val="18"/>
              <w:lang w:eastAsia="en-AU"/>
            </w:rPr>
            <w:t>8</w:t>
          </w:r>
          <w:r w:rsidRPr="00C03AFD">
            <w:rPr>
              <w:noProof/>
              <w:color w:val="928B81"/>
              <w:sz w:val="18"/>
              <w:lang w:eastAsia="en-AU"/>
            </w:rPr>
            <w:fldChar w:fldCharType="end"/>
          </w:r>
        </w:p>
      </w:tc>
      <w:tc>
        <w:tcPr>
          <w:tcW w:w="2350" w:type="pct"/>
        </w:tcPr>
        <w:p w14:paraId="3F67E3E7" w14:textId="5F5D4CE9" w:rsidR="00E56565" w:rsidRDefault="00B6123A" w:rsidP="00C03AFD">
          <w:pPr>
            <w:pStyle w:val="Footer"/>
            <w:jc w:val="right"/>
          </w:pPr>
          <w:r>
            <w:rPr>
              <w:noProof/>
            </w:rPr>
            <w:drawing>
              <wp:inline distT="0" distB="0" distL="0" distR="0" wp14:anchorId="195C7DDC" wp14:editId="636ACD81">
                <wp:extent cx="504825" cy="53340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4825" cy="533400"/>
                        </a:xfrm>
                        <a:prstGeom prst="rect">
                          <a:avLst/>
                        </a:prstGeom>
                      </pic:spPr>
                    </pic:pic>
                  </a:graphicData>
                </a:graphic>
              </wp:inline>
            </w:drawing>
          </w:r>
        </w:p>
      </w:tc>
    </w:tr>
  </w:tbl>
  <w:p w14:paraId="5C0CDEBF" w14:textId="77777777" w:rsidR="00E56565" w:rsidRDefault="00E565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E56565" w14:paraId="0F43A387" w14:textId="77777777" w:rsidTr="0047547E">
      <w:trPr>
        <w:trHeight w:val="811"/>
      </w:trPr>
      <w:tc>
        <w:tcPr>
          <w:tcW w:w="10005" w:type="dxa"/>
          <w:vAlign w:val="bottom"/>
        </w:tcPr>
        <w:p w14:paraId="56BD51C4" w14:textId="77777777" w:rsidR="00E56565" w:rsidRPr="00051237" w:rsidRDefault="00E56565" w:rsidP="00E56565">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216446">
            <w:rPr>
              <w:noProof/>
              <w:lang w:eastAsia="en-AU"/>
            </w:rPr>
            <w:t>1</w:t>
          </w:r>
          <w:r>
            <w:rPr>
              <w:noProof/>
              <w:lang w:eastAsia="en-AU"/>
            </w:rPr>
            <w:fldChar w:fldCharType="end"/>
          </w:r>
        </w:p>
      </w:tc>
      <w:tc>
        <w:tcPr>
          <w:tcW w:w="875" w:type="dxa"/>
        </w:tcPr>
        <w:p w14:paraId="37F6B9D3" w14:textId="77777777" w:rsidR="00E56565" w:rsidRDefault="00E56565" w:rsidP="00E56565">
          <w:pPr>
            <w:pStyle w:val="Footer"/>
            <w:jc w:val="right"/>
          </w:pPr>
          <w:r>
            <w:rPr>
              <w:noProof/>
              <w:lang w:val="en-AU" w:eastAsia="en-AU"/>
            </w:rPr>
            <w:drawing>
              <wp:inline distT="0" distB="0" distL="0" distR="0" wp14:anchorId="1F0BA549" wp14:editId="1CD0A003">
                <wp:extent cx="555625" cy="5816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30E53DA6" w14:textId="77777777" w:rsidR="00E56565" w:rsidRDefault="00E56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42CE" w14:textId="77777777" w:rsidR="00352F11" w:rsidRDefault="00352F11" w:rsidP="00BB532F">
      <w:pPr>
        <w:spacing w:after="0" w:line="240" w:lineRule="auto"/>
      </w:pPr>
      <w:r>
        <w:separator/>
      </w:r>
    </w:p>
  </w:footnote>
  <w:footnote w:type="continuationSeparator" w:id="0">
    <w:p w14:paraId="092A55F5" w14:textId="77777777" w:rsidR="00352F11" w:rsidRDefault="00352F11" w:rsidP="00BB532F">
      <w:pPr>
        <w:spacing w:after="0" w:line="240" w:lineRule="auto"/>
      </w:pPr>
      <w:r>
        <w:continuationSeparator/>
      </w:r>
    </w:p>
  </w:footnote>
  <w:footnote w:type="continuationNotice" w:id="1">
    <w:p w14:paraId="2FB86043" w14:textId="77777777" w:rsidR="00352F11" w:rsidRDefault="00352F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A7462" w14:textId="45166623" w:rsidR="002A47EF" w:rsidRDefault="002A4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1D67" w14:textId="0759340B" w:rsidR="002A47EF" w:rsidRDefault="002A4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E56565" w14:paraId="5575F75F" w14:textId="77777777" w:rsidTr="009D747B">
      <w:trPr>
        <w:trHeight w:val="1337"/>
      </w:trPr>
      <w:tc>
        <w:tcPr>
          <w:tcW w:w="7038" w:type="dxa"/>
        </w:tcPr>
        <w:p w14:paraId="0B58CC03" w14:textId="47D27AB8" w:rsidR="00E56565" w:rsidRPr="001E49B2" w:rsidRDefault="00E56565" w:rsidP="007E2FB7">
          <w:pPr>
            <w:pStyle w:val="TitleSub"/>
            <w:spacing w:after="0"/>
            <w:rPr>
              <w:rFonts w:ascii="Arial" w:hAnsi="Arial" w:cs="Arial"/>
            </w:rPr>
          </w:pPr>
          <w:r w:rsidRPr="001E49B2">
            <w:rPr>
              <w:rFonts w:ascii="Arial" w:hAnsi="Arial" w:cs="Arial"/>
            </w:rPr>
            <w:t xml:space="preserve">Role Description </w:t>
          </w:r>
        </w:p>
        <w:p w14:paraId="689733BA" w14:textId="46948E3F" w:rsidR="00E56565" w:rsidRPr="001E49B2" w:rsidRDefault="00F774B2" w:rsidP="001C2248">
          <w:pPr>
            <w:pStyle w:val="TitleSub"/>
            <w:spacing w:after="0"/>
            <w:rPr>
              <w:rFonts w:ascii="Arial" w:hAnsi="Arial" w:cs="Arial"/>
              <w:b/>
            </w:rPr>
          </w:pPr>
          <w:r>
            <w:rPr>
              <w:rFonts w:ascii="Arial" w:hAnsi="Arial" w:cs="Arial"/>
              <w:b/>
            </w:rPr>
            <w:t xml:space="preserve">Director </w:t>
          </w:r>
          <w:r w:rsidR="00537E33">
            <w:rPr>
              <w:rFonts w:ascii="Arial" w:hAnsi="Arial" w:cs="Arial"/>
              <w:b/>
            </w:rPr>
            <w:t>Planning Portal Interface</w:t>
          </w:r>
        </w:p>
      </w:tc>
      <w:tc>
        <w:tcPr>
          <w:tcW w:w="3665" w:type="dxa"/>
        </w:tcPr>
        <w:p w14:paraId="0BA85FF5" w14:textId="0DBE8143" w:rsidR="00E56565" w:rsidRPr="000477E1" w:rsidRDefault="002D35B1" w:rsidP="00030565">
          <w:pPr>
            <w:jc w:val="right"/>
          </w:pPr>
          <w:r>
            <w:rPr>
              <w:rFonts w:cs="Arial"/>
              <w:noProof/>
            </w:rPr>
            <w:drawing>
              <wp:inline distT="0" distB="0" distL="0" distR="0" wp14:anchorId="60719951" wp14:editId="01139830">
                <wp:extent cx="676910" cy="719455"/>
                <wp:effectExtent l="0" t="0" r="889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719455"/>
                        </a:xfrm>
                        <a:prstGeom prst="rect">
                          <a:avLst/>
                        </a:prstGeom>
                        <a:noFill/>
                      </pic:spPr>
                    </pic:pic>
                  </a:graphicData>
                </a:graphic>
              </wp:inline>
            </w:drawing>
          </w:r>
        </w:p>
      </w:tc>
    </w:tr>
  </w:tbl>
  <w:p w14:paraId="299FC849" w14:textId="1E65DE85" w:rsidR="00E56565" w:rsidRDefault="00E56565"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hanging="361"/>
      </w:pPr>
      <w:rPr>
        <w:rFonts w:ascii="Arial" w:hAnsi="Arial"/>
        <w:b w:val="0"/>
        <w:w w:val="131"/>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7"/>
    <w:multiLevelType w:val="multilevel"/>
    <w:tmpl w:val="0000088A"/>
    <w:lvl w:ilvl="0">
      <w:numFmt w:val="bullet"/>
      <w:lvlText w:val="•"/>
      <w:lvlJc w:val="left"/>
      <w:pPr>
        <w:ind w:hanging="360"/>
      </w:pPr>
      <w:rPr>
        <w:rFonts w:ascii="Arial" w:hAnsi="Arial"/>
        <w:b w:val="0"/>
        <w:w w:val="130"/>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8"/>
    <w:multiLevelType w:val="multilevel"/>
    <w:tmpl w:val="0000088B"/>
    <w:lvl w:ilvl="0">
      <w:numFmt w:val="bullet"/>
      <w:lvlText w:val="•"/>
      <w:lvlJc w:val="left"/>
      <w:pPr>
        <w:ind w:hanging="360"/>
      </w:pPr>
      <w:rPr>
        <w:rFonts w:ascii="Arial" w:hAnsi="Arial"/>
        <w:b w:val="0"/>
        <w:w w:val="130"/>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9070494"/>
    <w:multiLevelType w:val="multilevel"/>
    <w:tmpl w:val="B0FE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796A62"/>
    <w:multiLevelType w:val="hybridMultilevel"/>
    <w:tmpl w:val="E54A07E2"/>
    <w:lvl w:ilvl="0" w:tplc="0C090001">
      <w:start w:val="1"/>
      <w:numFmt w:val="bullet"/>
      <w:lvlText w:val=""/>
      <w:lvlJc w:val="left"/>
      <w:pPr>
        <w:ind w:left="724" w:hanging="360"/>
      </w:pPr>
      <w:rPr>
        <w:rFonts w:ascii="Symbol" w:hAnsi="Symbol" w:hint="default"/>
      </w:rPr>
    </w:lvl>
    <w:lvl w:ilvl="1" w:tplc="0C090003" w:tentative="1">
      <w:start w:val="1"/>
      <w:numFmt w:val="bullet"/>
      <w:lvlText w:val="o"/>
      <w:lvlJc w:val="left"/>
      <w:pPr>
        <w:ind w:left="1444" w:hanging="360"/>
      </w:pPr>
      <w:rPr>
        <w:rFonts w:ascii="Courier New" w:hAnsi="Courier New" w:cs="Courier New" w:hint="default"/>
      </w:rPr>
    </w:lvl>
    <w:lvl w:ilvl="2" w:tplc="0C090005" w:tentative="1">
      <w:start w:val="1"/>
      <w:numFmt w:val="bullet"/>
      <w:lvlText w:val=""/>
      <w:lvlJc w:val="left"/>
      <w:pPr>
        <w:ind w:left="2164" w:hanging="360"/>
      </w:pPr>
      <w:rPr>
        <w:rFonts w:ascii="Wingdings" w:hAnsi="Wingdings" w:hint="default"/>
      </w:rPr>
    </w:lvl>
    <w:lvl w:ilvl="3" w:tplc="0C090001" w:tentative="1">
      <w:start w:val="1"/>
      <w:numFmt w:val="bullet"/>
      <w:lvlText w:val=""/>
      <w:lvlJc w:val="left"/>
      <w:pPr>
        <w:ind w:left="2884" w:hanging="360"/>
      </w:pPr>
      <w:rPr>
        <w:rFonts w:ascii="Symbol" w:hAnsi="Symbol" w:hint="default"/>
      </w:rPr>
    </w:lvl>
    <w:lvl w:ilvl="4" w:tplc="0C090003" w:tentative="1">
      <w:start w:val="1"/>
      <w:numFmt w:val="bullet"/>
      <w:lvlText w:val="o"/>
      <w:lvlJc w:val="left"/>
      <w:pPr>
        <w:ind w:left="3604" w:hanging="360"/>
      </w:pPr>
      <w:rPr>
        <w:rFonts w:ascii="Courier New" w:hAnsi="Courier New" w:cs="Courier New" w:hint="default"/>
      </w:rPr>
    </w:lvl>
    <w:lvl w:ilvl="5" w:tplc="0C090005" w:tentative="1">
      <w:start w:val="1"/>
      <w:numFmt w:val="bullet"/>
      <w:lvlText w:val=""/>
      <w:lvlJc w:val="left"/>
      <w:pPr>
        <w:ind w:left="4324" w:hanging="360"/>
      </w:pPr>
      <w:rPr>
        <w:rFonts w:ascii="Wingdings" w:hAnsi="Wingdings" w:hint="default"/>
      </w:rPr>
    </w:lvl>
    <w:lvl w:ilvl="6" w:tplc="0C090001" w:tentative="1">
      <w:start w:val="1"/>
      <w:numFmt w:val="bullet"/>
      <w:lvlText w:val=""/>
      <w:lvlJc w:val="left"/>
      <w:pPr>
        <w:ind w:left="5044" w:hanging="360"/>
      </w:pPr>
      <w:rPr>
        <w:rFonts w:ascii="Symbol" w:hAnsi="Symbol" w:hint="default"/>
      </w:rPr>
    </w:lvl>
    <w:lvl w:ilvl="7" w:tplc="0C090003" w:tentative="1">
      <w:start w:val="1"/>
      <w:numFmt w:val="bullet"/>
      <w:lvlText w:val="o"/>
      <w:lvlJc w:val="left"/>
      <w:pPr>
        <w:ind w:left="5764" w:hanging="360"/>
      </w:pPr>
      <w:rPr>
        <w:rFonts w:ascii="Courier New" w:hAnsi="Courier New" w:cs="Courier New" w:hint="default"/>
      </w:rPr>
    </w:lvl>
    <w:lvl w:ilvl="8" w:tplc="0C090005" w:tentative="1">
      <w:start w:val="1"/>
      <w:numFmt w:val="bullet"/>
      <w:lvlText w:val=""/>
      <w:lvlJc w:val="left"/>
      <w:pPr>
        <w:ind w:left="6484" w:hanging="360"/>
      </w:pPr>
      <w:rPr>
        <w:rFonts w:ascii="Wingdings" w:hAnsi="Wingdings" w:hint="default"/>
      </w:rPr>
    </w:lvl>
  </w:abstractNum>
  <w:abstractNum w:abstractNumId="6" w15:restartNumberingAfterBreak="0">
    <w:nsid w:val="12725B81"/>
    <w:multiLevelType w:val="hybridMultilevel"/>
    <w:tmpl w:val="4342A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82879"/>
    <w:multiLevelType w:val="multilevel"/>
    <w:tmpl w:val="AA6E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B005A"/>
    <w:multiLevelType w:val="multilevel"/>
    <w:tmpl w:val="746A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9C3A2E"/>
    <w:multiLevelType w:val="multilevel"/>
    <w:tmpl w:val="6712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1D7AE7"/>
    <w:multiLevelType w:val="hybridMultilevel"/>
    <w:tmpl w:val="7BBEA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030CD"/>
    <w:multiLevelType w:val="hybridMultilevel"/>
    <w:tmpl w:val="C5A838FE"/>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4" w15:restartNumberingAfterBreak="0">
    <w:nsid w:val="34850910"/>
    <w:multiLevelType w:val="multilevel"/>
    <w:tmpl w:val="A44A4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6D192B"/>
    <w:multiLevelType w:val="multilevel"/>
    <w:tmpl w:val="6BDC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3D2AD8"/>
    <w:multiLevelType w:val="multilevel"/>
    <w:tmpl w:val="D4D2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887B20"/>
    <w:multiLevelType w:val="hybridMultilevel"/>
    <w:tmpl w:val="9ACAC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D24033B"/>
    <w:multiLevelType w:val="hybridMultilevel"/>
    <w:tmpl w:val="438A7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EB2C47"/>
    <w:multiLevelType w:val="hybridMultilevel"/>
    <w:tmpl w:val="A16A0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D82425"/>
    <w:multiLevelType w:val="hybridMultilevel"/>
    <w:tmpl w:val="CD362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7B10AE"/>
    <w:multiLevelType w:val="multilevel"/>
    <w:tmpl w:val="27A0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524962">
    <w:abstractNumId w:val="0"/>
  </w:num>
  <w:num w:numId="2" w16cid:durableId="632518302">
    <w:abstractNumId w:val="7"/>
  </w:num>
  <w:num w:numId="3" w16cid:durableId="709190371">
    <w:abstractNumId w:val="9"/>
  </w:num>
  <w:num w:numId="4" w16cid:durableId="2072534517">
    <w:abstractNumId w:val="12"/>
  </w:num>
  <w:num w:numId="5" w16cid:durableId="1610891459">
    <w:abstractNumId w:val="0"/>
  </w:num>
  <w:num w:numId="6" w16cid:durableId="1790930496">
    <w:abstractNumId w:val="0"/>
  </w:num>
  <w:num w:numId="7" w16cid:durableId="2073847380">
    <w:abstractNumId w:val="0"/>
  </w:num>
  <w:num w:numId="8" w16cid:durableId="1992439564">
    <w:abstractNumId w:val="5"/>
  </w:num>
  <w:num w:numId="9" w16cid:durableId="1376464220">
    <w:abstractNumId w:val="6"/>
  </w:num>
  <w:num w:numId="10" w16cid:durableId="1095320202">
    <w:abstractNumId w:val="10"/>
  </w:num>
  <w:num w:numId="11" w16cid:durableId="109280185">
    <w:abstractNumId w:val="3"/>
  </w:num>
  <w:num w:numId="12" w16cid:durableId="1908343741">
    <w:abstractNumId w:val="2"/>
  </w:num>
  <w:num w:numId="13" w16cid:durableId="428742713">
    <w:abstractNumId w:val="1"/>
  </w:num>
  <w:num w:numId="14" w16cid:durableId="1615869751">
    <w:abstractNumId w:val="19"/>
  </w:num>
  <w:num w:numId="15" w16cid:durableId="1023362069">
    <w:abstractNumId w:val="13"/>
  </w:num>
  <w:num w:numId="16" w16cid:durableId="754546900">
    <w:abstractNumId w:val="20"/>
  </w:num>
  <w:num w:numId="17" w16cid:durableId="1893343807">
    <w:abstractNumId w:val="17"/>
  </w:num>
  <w:num w:numId="18" w16cid:durableId="74061943">
    <w:abstractNumId w:val="18"/>
  </w:num>
  <w:num w:numId="19" w16cid:durableId="1531068325">
    <w:abstractNumId w:val="14"/>
  </w:num>
  <w:num w:numId="20" w16cid:durableId="1407338842">
    <w:abstractNumId w:val="4"/>
  </w:num>
  <w:num w:numId="21" w16cid:durableId="396710381">
    <w:abstractNumId w:val="15"/>
  </w:num>
  <w:num w:numId="22" w16cid:durableId="1113749235">
    <w:abstractNumId w:val="16"/>
  </w:num>
  <w:num w:numId="23" w16cid:durableId="100996063">
    <w:abstractNumId w:val="11"/>
  </w:num>
  <w:num w:numId="24" w16cid:durableId="567883599">
    <w:abstractNumId w:val="21"/>
  </w:num>
  <w:num w:numId="25" w16cid:durableId="7478509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0620"/>
    <w:rsid w:val="00005219"/>
    <w:rsid w:val="0001016C"/>
    <w:rsid w:val="000107FB"/>
    <w:rsid w:val="00015789"/>
    <w:rsid w:val="0001706E"/>
    <w:rsid w:val="00017F42"/>
    <w:rsid w:val="00020023"/>
    <w:rsid w:val="00022223"/>
    <w:rsid w:val="00026543"/>
    <w:rsid w:val="00027E23"/>
    <w:rsid w:val="00030565"/>
    <w:rsid w:val="0003263C"/>
    <w:rsid w:val="00034C3D"/>
    <w:rsid w:val="0003516E"/>
    <w:rsid w:val="00035639"/>
    <w:rsid w:val="0003564E"/>
    <w:rsid w:val="00037FD5"/>
    <w:rsid w:val="0004172D"/>
    <w:rsid w:val="000420BA"/>
    <w:rsid w:val="000477E1"/>
    <w:rsid w:val="0005109B"/>
    <w:rsid w:val="00051D13"/>
    <w:rsid w:val="00060B58"/>
    <w:rsid w:val="00063175"/>
    <w:rsid w:val="00064257"/>
    <w:rsid w:val="000645C8"/>
    <w:rsid w:val="00067161"/>
    <w:rsid w:val="000841EF"/>
    <w:rsid w:val="0009505C"/>
    <w:rsid w:val="000A2621"/>
    <w:rsid w:val="000B23D6"/>
    <w:rsid w:val="000C176E"/>
    <w:rsid w:val="000C3CC8"/>
    <w:rsid w:val="000C4077"/>
    <w:rsid w:val="000D12B3"/>
    <w:rsid w:val="000D799A"/>
    <w:rsid w:val="000E0C2A"/>
    <w:rsid w:val="000E3210"/>
    <w:rsid w:val="000F1E9E"/>
    <w:rsid w:val="000F231F"/>
    <w:rsid w:val="00100959"/>
    <w:rsid w:val="001049EF"/>
    <w:rsid w:val="00104EC7"/>
    <w:rsid w:val="00111213"/>
    <w:rsid w:val="00113FFC"/>
    <w:rsid w:val="00125FE0"/>
    <w:rsid w:val="0012707F"/>
    <w:rsid w:val="001336E8"/>
    <w:rsid w:val="0013413E"/>
    <w:rsid w:val="00134F5E"/>
    <w:rsid w:val="00136AE1"/>
    <w:rsid w:val="00146F43"/>
    <w:rsid w:val="00151216"/>
    <w:rsid w:val="00153F10"/>
    <w:rsid w:val="00155FFA"/>
    <w:rsid w:val="001635DE"/>
    <w:rsid w:val="00165754"/>
    <w:rsid w:val="0016685F"/>
    <w:rsid w:val="001671DC"/>
    <w:rsid w:val="001705DA"/>
    <w:rsid w:val="00172956"/>
    <w:rsid w:val="00174ED3"/>
    <w:rsid w:val="00177E4E"/>
    <w:rsid w:val="0018091E"/>
    <w:rsid w:val="001815E8"/>
    <w:rsid w:val="00185ABC"/>
    <w:rsid w:val="00192CD7"/>
    <w:rsid w:val="00194A32"/>
    <w:rsid w:val="001A00F1"/>
    <w:rsid w:val="001A1AA1"/>
    <w:rsid w:val="001A1EC8"/>
    <w:rsid w:val="001A4D22"/>
    <w:rsid w:val="001A4F0B"/>
    <w:rsid w:val="001B1F0F"/>
    <w:rsid w:val="001B48DB"/>
    <w:rsid w:val="001B5A18"/>
    <w:rsid w:val="001B5DFD"/>
    <w:rsid w:val="001B75A6"/>
    <w:rsid w:val="001C0E5F"/>
    <w:rsid w:val="001C2248"/>
    <w:rsid w:val="001C40F3"/>
    <w:rsid w:val="001C5166"/>
    <w:rsid w:val="001C5A46"/>
    <w:rsid w:val="001D097C"/>
    <w:rsid w:val="001E2792"/>
    <w:rsid w:val="001E27DB"/>
    <w:rsid w:val="001E49B2"/>
    <w:rsid w:val="001F1CF0"/>
    <w:rsid w:val="001F2503"/>
    <w:rsid w:val="001F655C"/>
    <w:rsid w:val="00201E8B"/>
    <w:rsid w:val="0020495D"/>
    <w:rsid w:val="00205A8A"/>
    <w:rsid w:val="00211F68"/>
    <w:rsid w:val="0021274C"/>
    <w:rsid w:val="002157A2"/>
    <w:rsid w:val="00216446"/>
    <w:rsid w:val="0022024A"/>
    <w:rsid w:val="00227F3B"/>
    <w:rsid w:val="00237421"/>
    <w:rsid w:val="00240A8E"/>
    <w:rsid w:val="00241F5C"/>
    <w:rsid w:val="002431C8"/>
    <w:rsid w:val="00247C1F"/>
    <w:rsid w:val="002530AE"/>
    <w:rsid w:val="00263ACB"/>
    <w:rsid w:val="0027499C"/>
    <w:rsid w:val="00280B3F"/>
    <w:rsid w:val="0028314F"/>
    <w:rsid w:val="00287C54"/>
    <w:rsid w:val="002A3E8B"/>
    <w:rsid w:val="002A47EF"/>
    <w:rsid w:val="002A648F"/>
    <w:rsid w:val="002A70DE"/>
    <w:rsid w:val="002B0B83"/>
    <w:rsid w:val="002B1F76"/>
    <w:rsid w:val="002C108C"/>
    <w:rsid w:val="002C2823"/>
    <w:rsid w:val="002C2C39"/>
    <w:rsid w:val="002D33E5"/>
    <w:rsid w:val="002D35B1"/>
    <w:rsid w:val="002D36BB"/>
    <w:rsid w:val="002E3F77"/>
    <w:rsid w:val="002E7F56"/>
    <w:rsid w:val="00301747"/>
    <w:rsid w:val="00304A06"/>
    <w:rsid w:val="003064C0"/>
    <w:rsid w:val="003116FD"/>
    <w:rsid w:val="003125AD"/>
    <w:rsid w:val="003141C7"/>
    <w:rsid w:val="0032567C"/>
    <w:rsid w:val="00325E9D"/>
    <w:rsid w:val="00327F5C"/>
    <w:rsid w:val="00333BD1"/>
    <w:rsid w:val="00333E7E"/>
    <w:rsid w:val="00336652"/>
    <w:rsid w:val="00340ADC"/>
    <w:rsid w:val="00343491"/>
    <w:rsid w:val="00345199"/>
    <w:rsid w:val="00346D51"/>
    <w:rsid w:val="00351826"/>
    <w:rsid w:val="00352F11"/>
    <w:rsid w:val="003664E7"/>
    <w:rsid w:val="00366BA9"/>
    <w:rsid w:val="00372A99"/>
    <w:rsid w:val="00373737"/>
    <w:rsid w:val="0037374E"/>
    <w:rsid w:val="00375289"/>
    <w:rsid w:val="00377118"/>
    <w:rsid w:val="0038566F"/>
    <w:rsid w:val="00387E91"/>
    <w:rsid w:val="0039395B"/>
    <w:rsid w:val="003A12A0"/>
    <w:rsid w:val="003A2AFA"/>
    <w:rsid w:val="003A3538"/>
    <w:rsid w:val="003A37AB"/>
    <w:rsid w:val="003B0F42"/>
    <w:rsid w:val="003B2638"/>
    <w:rsid w:val="003B403A"/>
    <w:rsid w:val="003C00FD"/>
    <w:rsid w:val="003C031F"/>
    <w:rsid w:val="003C5EB3"/>
    <w:rsid w:val="003D0033"/>
    <w:rsid w:val="003D0FA9"/>
    <w:rsid w:val="003D5227"/>
    <w:rsid w:val="003E2663"/>
    <w:rsid w:val="003F1B92"/>
    <w:rsid w:val="003F1D8A"/>
    <w:rsid w:val="00407774"/>
    <w:rsid w:val="0041068A"/>
    <w:rsid w:val="00411F3E"/>
    <w:rsid w:val="00413B9E"/>
    <w:rsid w:val="0041525E"/>
    <w:rsid w:val="004203B4"/>
    <w:rsid w:val="00436621"/>
    <w:rsid w:val="00442732"/>
    <w:rsid w:val="00457CB2"/>
    <w:rsid w:val="00460470"/>
    <w:rsid w:val="00461537"/>
    <w:rsid w:val="00466287"/>
    <w:rsid w:val="00474BE7"/>
    <w:rsid w:val="0047547E"/>
    <w:rsid w:val="004760EA"/>
    <w:rsid w:val="004809D4"/>
    <w:rsid w:val="0048150E"/>
    <w:rsid w:val="00483CAB"/>
    <w:rsid w:val="00492AA6"/>
    <w:rsid w:val="004A3DB7"/>
    <w:rsid w:val="004B29A2"/>
    <w:rsid w:val="004B3537"/>
    <w:rsid w:val="004B53AD"/>
    <w:rsid w:val="004B6E3C"/>
    <w:rsid w:val="004C45E2"/>
    <w:rsid w:val="004C688D"/>
    <w:rsid w:val="004D0C22"/>
    <w:rsid w:val="004D27C8"/>
    <w:rsid w:val="004E351D"/>
    <w:rsid w:val="004E3BD1"/>
    <w:rsid w:val="004E44A5"/>
    <w:rsid w:val="004E474E"/>
    <w:rsid w:val="004E63B1"/>
    <w:rsid w:val="004E7F32"/>
    <w:rsid w:val="004F5821"/>
    <w:rsid w:val="004F6D96"/>
    <w:rsid w:val="005022B1"/>
    <w:rsid w:val="00502AB2"/>
    <w:rsid w:val="00502DBF"/>
    <w:rsid w:val="00503CCE"/>
    <w:rsid w:val="005061EB"/>
    <w:rsid w:val="00510AA7"/>
    <w:rsid w:val="00516EFA"/>
    <w:rsid w:val="00521D19"/>
    <w:rsid w:val="00523CFF"/>
    <w:rsid w:val="00527FCF"/>
    <w:rsid w:val="005307BA"/>
    <w:rsid w:val="00537D7B"/>
    <w:rsid w:val="00537E33"/>
    <w:rsid w:val="00542F7F"/>
    <w:rsid w:val="00544057"/>
    <w:rsid w:val="00545AC6"/>
    <w:rsid w:val="00550F93"/>
    <w:rsid w:val="00551038"/>
    <w:rsid w:val="00556DE7"/>
    <w:rsid w:val="00560346"/>
    <w:rsid w:val="00560776"/>
    <w:rsid w:val="00570F26"/>
    <w:rsid w:val="00582134"/>
    <w:rsid w:val="00586E3D"/>
    <w:rsid w:val="00586F7A"/>
    <w:rsid w:val="0059035B"/>
    <w:rsid w:val="00591807"/>
    <w:rsid w:val="00593F6F"/>
    <w:rsid w:val="005A1658"/>
    <w:rsid w:val="005A2643"/>
    <w:rsid w:val="005A4034"/>
    <w:rsid w:val="005A5AA5"/>
    <w:rsid w:val="005B10E1"/>
    <w:rsid w:val="005B5053"/>
    <w:rsid w:val="005B7BE7"/>
    <w:rsid w:val="005C7AF5"/>
    <w:rsid w:val="005D41BB"/>
    <w:rsid w:val="005D6784"/>
    <w:rsid w:val="005D69A9"/>
    <w:rsid w:val="005D71EA"/>
    <w:rsid w:val="005E0406"/>
    <w:rsid w:val="005E6C59"/>
    <w:rsid w:val="005E75FC"/>
    <w:rsid w:val="005F33D6"/>
    <w:rsid w:val="005F5FD1"/>
    <w:rsid w:val="005F6E24"/>
    <w:rsid w:val="005F747C"/>
    <w:rsid w:val="005F7EE8"/>
    <w:rsid w:val="00600E9D"/>
    <w:rsid w:val="006022B4"/>
    <w:rsid w:val="00603D53"/>
    <w:rsid w:val="00612673"/>
    <w:rsid w:val="00612A7E"/>
    <w:rsid w:val="00612AFA"/>
    <w:rsid w:val="00614552"/>
    <w:rsid w:val="00616302"/>
    <w:rsid w:val="00621D45"/>
    <w:rsid w:val="00623950"/>
    <w:rsid w:val="00623FE5"/>
    <w:rsid w:val="00626492"/>
    <w:rsid w:val="0063544E"/>
    <w:rsid w:val="00636207"/>
    <w:rsid w:val="00643BC6"/>
    <w:rsid w:val="00647626"/>
    <w:rsid w:val="0065050D"/>
    <w:rsid w:val="006538BF"/>
    <w:rsid w:val="006701A0"/>
    <w:rsid w:val="0067074F"/>
    <w:rsid w:val="00671F15"/>
    <w:rsid w:val="00674D4C"/>
    <w:rsid w:val="00683870"/>
    <w:rsid w:val="006864CA"/>
    <w:rsid w:val="006A2280"/>
    <w:rsid w:val="006A39A4"/>
    <w:rsid w:val="006A45EE"/>
    <w:rsid w:val="006A5120"/>
    <w:rsid w:val="006B723B"/>
    <w:rsid w:val="006C0CC8"/>
    <w:rsid w:val="006C2473"/>
    <w:rsid w:val="006C312A"/>
    <w:rsid w:val="006C4218"/>
    <w:rsid w:val="006C67E6"/>
    <w:rsid w:val="006D1FBC"/>
    <w:rsid w:val="006D6834"/>
    <w:rsid w:val="006E28E7"/>
    <w:rsid w:val="006F6652"/>
    <w:rsid w:val="006F7124"/>
    <w:rsid w:val="00701F8B"/>
    <w:rsid w:val="00703186"/>
    <w:rsid w:val="007041EA"/>
    <w:rsid w:val="00713746"/>
    <w:rsid w:val="00720D4A"/>
    <w:rsid w:val="00721EB5"/>
    <w:rsid w:val="007249EC"/>
    <w:rsid w:val="00735B28"/>
    <w:rsid w:val="00735E89"/>
    <w:rsid w:val="00740F9B"/>
    <w:rsid w:val="00742966"/>
    <w:rsid w:val="00747C31"/>
    <w:rsid w:val="0075027B"/>
    <w:rsid w:val="00753EEE"/>
    <w:rsid w:val="00757317"/>
    <w:rsid w:val="007602FC"/>
    <w:rsid w:val="00766AE9"/>
    <w:rsid w:val="00767553"/>
    <w:rsid w:val="007736B4"/>
    <w:rsid w:val="00773975"/>
    <w:rsid w:val="007744E0"/>
    <w:rsid w:val="00776DCB"/>
    <w:rsid w:val="00780299"/>
    <w:rsid w:val="00784247"/>
    <w:rsid w:val="007862DE"/>
    <w:rsid w:val="00786A0F"/>
    <w:rsid w:val="00792A3E"/>
    <w:rsid w:val="00794CC1"/>
    <w:rsid w:val="00794E0E"/>
    <w:rsid w:val="00795456"/>
    <w:rsid w:val="007A209B"/>
    <w:rsid w:val="007A45CF"/>
    <w:rsid w:val="007B04AA"/>
    <w:rsid w:val="007B7C1F"/>
    <w:rsid w:val="007C21C8"/>
    <w:rsid w:val="007C40BF"/>
    <w:rsid w:val="007D0E2E"/>
    <w:rsid w:val="007D301D"/>
    <w:rsid w:val="007D5578"/>
    <w:rsid w:val="007E2FB7"/>
    <w:rsid w:val="007E646A"/>
    <w:rsid w:val="007F44BB"/>
    <w:rsid w:val="00800625"/>
    <w:rsid w:val="00802A35"/>
    <w:rsid w:val="00805561"/>
    <w:rsid w:val="00806FE1"/>
    <w:rsid w:val="00807ED1"/>
    <w:rsid w:val="008120CB"/>
    <w:rsid w:val="00817B11"/>
    <w:rsid w:val="008203EE"/>
    <w:rsid w:val="0082300B"/>
    <w:rsid w:val="008267A0"/>
    <w:rsid w:val="0083547C"/>
    <w:rsid w:val="008476E6"/>
    <w:rsid w:val="008558CF"/>
    <w:rsid w:val="0085706D"/>
    <w:rsid w:val="00860904"/>
    <w:rsid w:val="008650E7"/>
    <w:rsid w:val="0086573A"/>
    <w:rsid w:val="00865751"/>
    <w:rsid w:val="008712B2"/>
    <w:rsid w:val="008747B8"/>
    <w:rsid w:val="008862BF"/>
    <w:rsid w:val="00887832"/>
    <w:rsid w:val="008A0EBB"/>
    <w:rsid w:val="008A13AC"/>
    <w:rsid w:val="008A24B4"/>
    <w:rsid w:val="008A4DDB"/>
    <w:rsid w:val="008A6914"/>
    <w:rsid w:val="008B63A7"/>
    <w:rsid w:val="008B74C1"/>
    <w:rsid w:val="008B7A9C"/>
    <w:rsid w:val="008C0B4D"/>
    <w:rsid w:val="008C37C8"/>
    <w:rsid w:val="008D2E49"/>
    <w:rsid w:val="008D364E"/>
    <w:rsid w:val="008D7319"/>
    <w:rsid w:val="008D7766"/>
    <w:rsid w:val="008E08E3"/>
    <w:rsid w:val="008E1AD9"/>
    <w:rsid w:val="008E56AF"/>
    <w:rsid w:val="008E60BB"/>
    <w:rsid w:val="008F65B5"/>
    <w:rsid w:val="008F7295"/>
    <w:rsid w:val="00902EC0"/>
    <w:rsid w:val="0090338E"/>
    <w:rsid w:val="00905F43"/>
    <w:rsid w:val="00906116"/>
    <w:rsid w:val="009077E2"/>
    <w:rsid w:val="00910F45"/>
    <w:rsid w:val="00911725"/>
    <w:rsid w:val="00927E0D"/>
    <w:rsid w:val="0093053D"/>
    <w:rsid w:val="009351E9"/>
    <w:rsid w:val="00940C04"/>
    <w:rsid w:val="00944A62"/>
    <w:rsid w:val="00946C0D"/>
    <w:rsid w:val="009536D3"/>
    <w:rsid w:val="0095475A"/>
    <w:rsid w:val="009574D7"/>
    <w:rsid w:val="00957666"/>
    <w:rsid w:val="00957FB0"/>
    <w:rsid w:val="00964A6C"/>
    <w:rsid w:val="00965AE6"/>
    <w:rsid w:val="009676C0"/>
    <w:rsid w:val="00970179"/>
    <w:rsid w:val="00977E40"/>
    <w:rsid w:val="009814E6"/>
    <w:rsid w:val="00985984"/>
    <w:rsid w:val="00987C2B"/>
    <w:rsid w:val="00994DCE"/>
    <w:rsid w:val="0099587E"/>
    <w:rsid w:val="00996946"/>
    <w:rsid w:val="009979FA"/>
    <w:rsid w:val="009A1848"/>
    <w:rsid w:val="009A2538"/>
    <w:rsid w:val="009A3960"/>
    <w:rsid w:val="009A3F2F"/>
    <w:rsid w:val="009A57B2"/>
    <w:rsid w:val="009B15A2"/>
    <w:rsid w:val="009B3103"/>
    <w:rsid w:val="009B73E3"/>
    <w:rsid w:val="009C12FA"/>
    <w:rsid w:val="009D2645"/>
    <w:rsid w:val="009D328A"/>
    <w:rsid w:val="009D3300"/>
    <w:rsid w:val="009D72FE"/>
    <w:rsid w:val="009D747B"/>
    <w:rsid w:val="009F49D2"/>
    <w:rsid w:val="00A00C30"/>
    <w:rsid w:val="00A02AEF"/>
    <w:rsid w:val="00A13AE6"/>
    <w:rsid w:val="00A14A03"/>
    <w:rsid w:val="00A2039B"/>
    <w:rsid w:val="00A2122C"/>
    <w:rsid w:val="00A22294"/>
    <w:rsid w:val="00A279B7"/>
    <w:rsid w:val="00A41E4E"/>
    <w:rsid w:val="00A42A6C"/>
    <w:rsid w:val="00A4412E"/>
    <w:rsid w:val="00A44753"/>
    <w:rsid w:val="00A44B05"/>
    <w:rsid w:val="00A46AF6"/>
    <w:rsid w:val="00A47353"/>
    <w:rsid w:val="00A56052"/>
    <w:rsid w:val="00A60EF7"/>
    <w:rsid w:val="00A70CF2"/>
    <w:rsid w:val="00A73C38"/>
    <w:rsid w:val="00A77B0C"/>
    <w:rsid w:val="00A83932"/>
    <w:rsid w:val="00A85305"/>
    <w:rsid w:val="00A854C4"/>
    <w:rsid w:val="00A8686E"/>
    <w:rsid w:val="00A86DF8"/>
    <w:rsid w:val="00A8732A"/>
    <w:rsid w:val="00A970A2"/>
    <w:rsid w:val="00AA08E7"/>
    <w:rsid w:val="00AA704A"/>
    <w:rsid w:val="00AA7610"/>
    <w:rsid w:val="00AB120A"/>
    <w:rsid w:val="00AB50E4"/>
    <w:rsid w:val="00AC1AF9"/>
    <w:rsid w:val="00AC1F91"/>
    <w:rsid w:val="00AC742D"/>
    <w:rsid w:val="00AC7DC9"/>
    <w:rsid w:val="00AD1CC4"/>
    <w:rsid w:val="00AD4D6A"/>
    <w:rsid w:val="00AE14D7"/>
    <w:rsid w:val="00AF01AC"/>
    <w:rsid w:val="00AF2BAD"/>
    <w:rsid w:val="00AF7D0C"/>
    <w:rsid w:val="00B0007F"/>
    <w:rsid w:val="00B0574B"/>
    <w:rsid w:val="00B17EA5"/>
    <w:rsid w:val="00B2037F"/>
    <w:rsid w:val="00B232DB"/>
    <w:rsid w:val="00B25232"/>
    <w:rsid w:val="00B27B48"/>
    <w:rsid w:val="00B315E3"/>
    <w:rsid w:val="00B32691"/>
    <w:rsid w:val="00B34F21"/>
    <w:rsid w:val="00B407F6"/>
    <w:rsid w:val="00B4725B"/>
    <w:rsid w:val="00B47EA8"/>
    <w:rsid w:val="00B47FDF"/>
    <w:rsid w:val="00B52903"/>
    <w:rsid w:val="00B571FD"/>
    <w:rsid w:val="00B6123A"/>
    <w:rsid w:val="00B635E3"/>
    <w:rsid w:val="00B71F91"/>
    <w:rsid w:val="00B72B4F"/>
    <w:rsid w:val="00B745D7"/>
    <w:rsid w:val="00B835C0"/>
    <w:rsid w:val="00B84689"/>
    <w:rsid w:val="00B86FFF"/>
    <w:rsid w:val="00B876AF"/>
    <w:rsid w:val="00B9061B"/>
    <w:rsid w:val="00B92557"/>
    <w:rsid w:val="00B928C5"/>
    <w:rsid w:val="00B96809"/>
    <w:rsid w:val="00B974F6"/>
    <w:rsid w:val="00B97556"/>
    <w:rsid w:val="00BA759E"/>
    <w:rsid w:val="00BB113A"/>
    <w:rsid w:val="00BB532F"/>
    <w:rsid w:val="00BC162D"/>
    <w:rsid w:val="00BC2FE4"/>
    <w:rsid w:val="00BC3745"/>
    <w:rsid w:val="00BC6BB5"/>
    <w:rsid w:val="00BC74EB"/>
    <w:rsid w:val="00BD3C35"/>
    <w:rsid w:val="00BD4DDA"/>
    <w:rsid w:val="00BE23BA"/>
    <w:rsid w:val="00BE3550"/>
    <w:rsid w:val="00BE4EAE"/>
    <w:rsid w:val="00BE67FD"/>
    <w:rsid w:val="00BF2B73"/>
    <w:rsid w:val="00BF6EB4"/>
    <w:rsid w:val="00C03AFD"/>
    <w:rsid w:val="00C0469A"/>
    <w:rsid w:val="00C061F2"/>
    <w:rsid w:val="00C065DE"/>
    <w:rsid w:val="00C0794E"/>
    <w:rsid w:val="00C159A7"/>
    <w:rsid w:val="00C2432B"/>
    <w:rsid w:val="00C2527D"/>
    <w:rsid w:val="00C271F9"/>
    <w:rsid w:val="00C27864"/>
    <w:rsid w:val="00C31C07"/>
    <w:rsid w:val="00C330B0"/>
    <w:rsid w:val="00C46C66"/>
    <w:rsid w:val="00C517B6"/>
    <w:rsid w:val="00C57AAC"/>
    <w:rsid w:val="00C614F6"/>
    <w:rsid w:val="00C63F0F"/>
    <w:rsid w:val="00C667A8"/>
    <w:rsid w:val="00C70636"/>
    <w:rsid w:val="00C70842"/>
    <w:rsid w:val="00C74FFC"/>
    <w:rsid w:val="00C85B00"/>
    <w:rsid w:val="00C86501"/>
    <w:rsid w:val="00C90D2E"/>
    <w:rsid w:val="00C92D87"/>
    <w:rsid w:val="00C93DE1"/>
    <w:rsid w:val="00C9431B"/>
    <w:rsid w:val="00C94FD8"/>
    <w:rsid w:val="00C96715"/>
    <w:rsid w:val="00CA75E8"/>
    <w:rsid w:val="00CC6C74"/>
    <w:rsid w:val="00CC76F2"/>
    <w:rsid w:val="00CD2052"/>
    <w:rsid w:val="00CD2063"/>
    <w:rsid w:val="00CD2818"/>
    <w:rsid w:val="00CD7815"/>
    <w:rsid w:val="00CE105E"/>
    <w:rsid w:val="00CE1E5E"/>
    <w:rsid w:val="00D10C56"/>
    <w:rsid w:val="00D16BA6"/>
    <w:rsid w:val="00D20D73"/>
    <w:rsid w:val="00D2233D"/>
    <w:rsid w:val="00D414CB"/>
    <w:rsid w:val="00D4277A"/>
    <w:rsid w:val="00D52AE7"/>
    <w:rsid w:val="00D55E55"/>
    <w:rsid w:val="00D663ED"/>
    <w:rsid w:val="00D66B6B"/>
    <w:rsid w:val="00D67A17"/>
    <w:rsid w:val="00D74882"/>
    <w:rsid w:val="00D759EE"/>
    <w:rsid w:val="00D9021B"/>
    <w:rsid w:val="00D91074"/>
    <w:rsid w:val="00D93FA3"/>
    <w:rsid w:val="00D94607"/>
    <w:rsid w:val="00D956AA"/>
    <w:rsid w:val="00DA0BF9"/>
    <w:rsid w:val="00DA12E7"/>
    <w:rsid w:val="00DA543F"/>
    <w:rsid w:val="00DA7818"/>
    <w:rsid w:val="00DB126F"/>
    <w:rsid w:val="00DC0173"/>
    <w:rsid w:val="00DC11D0"/>
    <w:rsid w:val="00DC11EA"/>
    <w:rsid w:val="00DC2EB0"/>
    <w:rsid w:val="00DC33B9"/>
    <w:rsid w:val="00DC4056"/>
    <w:rsid w:val="00DE2472"/>
    <w:rsid w:val="00DE58C6"/>
    <w:rsid w:val="00DE6C80"/>
    <w:rsid w:val="00DF1540"/>
    <w:rsid w:val="00DF1E64"/>
    <w:rsid w:val="00DF5EB4"/>
    <w:rsid w:val="00DF734B"/>
    <w:rsid w:val="00E17B9E"/>
    <w:rsid w:val="00E25470"/>
    <w:rsid w:val="00E25CA9"/>
    <w:rsid w:val="00E27471"/>
    <w:rsid w:val="00E3208C"/>
    <w:rsid w:val="00E33C49"/>
    <w:rsid w:val="00E36211"/>
    <w:rsid w:val="00E41096"/>
    <w:rsid w:val="00E44564"/>
    <w:rsid w:val="00E536DB"/>
    <w:rsid w:val="00E56565"/>
    <w:rsid w:val="00E629F6"/>
    <w:rsid w:val="00E6498E"/>
    <w:rsid w:val="00E72D70"/>
    <w:rsid w:val="00E80A46"/>
    <w:rsid w:val="00E81B3D"/>
    <w:rsid w:val="00E83B02"/>
    <w:rsid w:val="00E85FA0"/>
    <w:rsid w:val="00E87997"/>
    <w:rsid w:val="00E95F38"/>
    <w:rsid w:val="00E96F6F"/>
    <w:rsid w:val="00EA7A67"/>
    <w:rsid w:val="00EC0B04"/>
    <w:rsid w:val="00EC4A51"/>
    <w:rsid w:val="00EC5C1D"/>
    <w:rsid w:val="00ED0AFF"/>
    <w:rsid w:val="00ED176B"/>
    <w:rsid w:val="00EE1E77"/>
    <w:rsid w:val="00EF4957"/>
    <w:rsid w:val="00EF6630"/>
    <w:rsid w:val="00F01609"/>
    <w:rsid w:val="00F030F3"/>
    <w:rsid w:val="00F055DB"/>
    <w:rsid w:val="00F05BBF"/>
    <w:rsid w:val="00F149AD"/>
    <w:rsid w:val="00F16FD1"/>
    <w:rsid w:val="00F17ED7"/>
    <w:rsid w:val="00F30F15"/>
    <w:rsid w:val="00F31B35"/>
    <w:rsid w:val="00F339CD"/>
    <w:rsid w:val="00F33A43"/>
    <w:rsid w:val="00F35A43"/>
    <w:rsid w:val="00F37200"/>
    <w:rsid w:val="00F41650"/>
    <w:rsid w:val="00F47143"/>
    <w:rsid w:val="00F5011F"/>
    <w:rsid w:val="00F54D6D"/>
    <w:rsid w:val="00F704CE"/>
    <w:rsid w:val="00F73D2D"/>
    <w:rsid w:val="00F774B2"/>
    <w:rsid w:val="00F84D18"/>
    <w:rsid w:val="00F9569D"/>
    <w:rsid w:val="00FA1C38"/>
    <w:rsid w:val="00FB1B1A"/>
    <w:rsid w:val="00FC306C"/>
    <w:rsid w:val="00FC6457"/>
    <w:rsid w:val="00FD3076"/>
    <w:rsid w:val="00FD46BA"/>
    <w:rsid w:val="00FD5F4A"/>
    <w:rsid w:val="00FE1CBC"/>
    <w:rsid w:val="00FE2E58"/>
    <w:rsid w:val="00FE5458"/>
    <w:rsid w:val="00FF467A"/>
    <w:rsid w:val="00FF6513"/>
    <w:rsid w:val="021E619E"/>
    <w:rsid w:val="11B2EB6C"/>
    <w:rsid w:val="1F003C61"/>
    <w:rsid w:val="21D2121E"/>
    <w:rsid w:val="252E4CF2"/>
    <w:rsid w:val="32D03CAA"/>
    <w:rsid w:val="33440342"/>
    <w:rsid w:val="36496209"/>
    <w:rsid w:val="4A3C6C8A"/>
    <w:rsid w:val="5FC96931"/>
    <w:rsid w:val="72898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6E818"/>
  <w15:docId w15:val="{B24A3B98-E4DB-4AB0-A8F8-26B51CC4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74FFC"/>
  </w:style>
  <w:style w:type="paragraph" w:styleId="BodyText">
    <w:name w:val="Body Text"/>
    <w:basedOn w:val="Normal"/>
    <w:link w:val="BodyTextChar"/>
    <w:uiPriority w:val="99"/>
    <w:semiHidden/>
    <w:unhideWhenUsed/>
    <w:rsid w:val="003F1D8A"/>
    <w:pPr>
      <w:spacing w:before="100" w:beforeAutospacing="1" w:after="100" w:afterAutospacing="1" w:line="240" w:lineRule="auto"/>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uiPriority w:val="99"/>
    <w:semiHidden/>
    <w:rsid w:val="003F1D8A"/>
    <w:rPr>
      <w:rFonts w:ascii="Times New Roman" w:eastAsia="Times New Roman" w:hAnsi="Times New Roman" w:cs="Times New Roman"/>
      <w:sz w:val="24"/>
      <w:szCs w:val="24"/>
      <w:lang w:val="en-AU"/>
    </w:rPr>
  </w:style>
  <w:style w:type="paragraph" w:customStyle="1" w:styleId="TableParagraph">
    <w:name w:val="Table Paragraph"/>
    <w:basedOn w:val="Normal"/>
    <w:uiPriority w:val="1"/>
    <w:qFormat/>
    <w:rsid w:val="004E3BD1"/>
    <w:pPr>
      <w:widowControl w:val="0"/>
      <w:autoSpaceDE w:val="0"/>
      <w:autoSpaceDN w:val="0"/>
      <w:adjustRightInd w:val="0"/>
      <w:spacing w:after="0" w:line="240" w:lineRule="auto"/>
    </w:pPr>
    <w:rPr>
      <w:rFonts w:ascii="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5A5AA5"/>
    <w:rPr>
      <w:sz w:val="16"/>
      <w:szCs w:val="16"/>
    </w:rPr>
  </w:style>
  <w:style w:type="paragraph" w:styleId="CommentText">
    <w:name w:val="annotation text"/>
    <w:basedOn w:val="Normal"/>
    <w:link w:val="CommentTextChar"/>
    <w:uiPriority w:val="99"/>
    <w:unhideWhenUsed/>
    <w:rsid w:val="005A5AA5"/>
    <w:pPr>
      <w:spacing w:line="240" w:lineRule="auto"/>
    </w:pPr>
    <w:rPr>
      <w:sz w:val="20"/>
      <w:szCs w:val="20"/>
    </w:rPr>
  </w:style>
  <w:style w:type="character" w:customStyle="1" w:styleId="CommentTextChar">
    <w:name w:val="Comment Text Char"/>
    <w:basedOn w:val="DefaultParagraphFont"/>
    <w:link w:val="CommentText"/>
    <w:uiPriority w:val="99"/>
    <w:rsid w:val="005A5AA5"/>
    <w:rPr>
      <w:sz w:val="20"/>
      <w:szCs w:val="20"/>
    </w:rPr>
  </w:style>
  <w:style w:type="paragraph" w:styleId="CommentSubject">
    <w:name w:val="annotation subject"/>
    <w:basedOn w:val="CommentText"/>
    <w:next w:val="CommentText"/>
    <w:link w:val="CommentSubjectChar"/>
    <w:uiPriority w:val="99"/>
    <w:semiHidden/>
    <w:unhideWhenUsed/>
    <w:rsid w:val="005A5AA5"/>
    <w:rPr>
      <w:b/>
      <w:bCs/>
    </w:rPr>
  </w:style>
  <w:style w:type="character" w:customStyle="1" w:styleId="CommentSubjectChar">
    <w:name w:val="Comment Subject Char"/>
    <w:basedOn w:val="CommentTextChar"/>
    <w:link w:val="CommentSubject"/>
    <w:uiPriority w:val="99"/>
    <w:semiHidden/>
    <w:rsid w:val="005A5AA5"/>
    <w:rPr>
      <w:b/>
      <w:bCs/>
      <w:sz w:val="20"/>
      <w:szCs w:val="20"/>
    </w:rPr>
  </w:style>
  <w:style w:type="paragraph" w:styleId="Revision">
    <w:name w:val="Revision"/>
    <w:hidden/>
    <w:uiPriority w:val="99"/>
    <w:semiHidden/>
    <w:rsid w:val="0009505C"/>
    <w:pPr>
      <w:spacing w:after="0" w:line="240" w:lineRule="auto"/>
    </w:pPr>
  </w:style>
  <w:style w:type="paragraph" w:styleId="NormalWeb">
    <w:name w:val="Normal (Web)"/>
    <w:basedOn w:val="Normal"/>
    <w:uiPriority w:val="99"/>
    <w:unhideWhenUsed/>
    <w:rsid w:val="00795456"/>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paragraph" w:styleId="PlainText">
    <w:name w:val="Plain Text"/>
    <w:basedOn w:val="Normal"/>
    <w:link w:val="PlainTextChar"/>
    <w:uiPriority w:val="99"/>
    <w:unhideWhenUsed/>
    <w:rsid w:val="00795456"/>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795456"/>
    <w:rPr>
      <w:rFonts w:ascii="Calibri" w:eastAsiaTheme="minorHAnsi" w:hAnsi="Calibri"/>
      <w:szCs w:val="21"/>
      <w:lang w:val="en-AU"/>
    </w:rPr>
  </w:style>
  <w:style w:type="character" w:styleId="UnresolvedMention">
    <w:name w:val="Unresolved Mention"/>
    <w:basedOn w:val="DefaultParagraphFont"/>
    <w:uiPriority w:val="99"/>
    <w:semiHidden/>
    <w:unhideWhenUsed/>
    <w:rsid w:val="00F17ED7"/>
    <w:rPr>
      <w:color w:val="605E5C"/>
      <w:shd w:val="clear" w:color="auto" w:fill="E1DFDD"/>
    </w:rPr>
  </w:style>
  <w:style w:type="character" w:styleId="Emphasis">
    <w:name w:val="Emphasis"/>
    <w:basedOn w:val="DefaultParagraphFont"/>
    <w:uiPriority w:val="20"/>
    <w:qFormat/>
    <w:rsid w:val="006D68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868570411">
      <w:bodyDiv w:val="1"/>
      <w:marLeft w:val="0"/>
      <w:marRight w:val="0"/>
      <w:marTop w:val="0"/>
      <w:marBottom w:val="0"/>
      <w:divBdr>
        <w:top w:val="none" w:sz="0" w:space="0" w:color="auto"/>
        <w:left w:val="none" w:sz="0" w:space="0" w:color="auto"/>
        <w:bottom w:val="none" w:sz="0" w:space="0" w:color="auto"/>
        <w:right w:val="none" w:sz="0" w:space="0" w:color="auto"/>
      </w:divBdr>
    </w:div>
    <w:div w:id="980772945">
      <w:bodyDiv w:val="1"/>
      <w:marLeft w:val="0"/>
      <w:marRight w:val="0"/>
      <w:marTop w:val="0"/>
      <w:marBottom w:val="0"/>
      <w:divBdr>
        <w:top w:val="none" w:sz="0" w:space="0" w:color="auto"/>
        <w:left w:val="none" w:sz="0" w:space="0" w:color="auto"/>
        <w:bottom w:val="none" w:sz="0" w:space="0" w:color="auto"/>
        <w:right w:val="none" w:sz="0" w:space="0" w:color="auto"/>
      </w:divBdr>
    </w:div>
    <w:div w:id="1268585722">
      <w:bodyDiv w:val="1"/>
      <w:marLeft w:val="0"/>
      <w:marRight w:val="0"/>
      <w:marTop w:val="0"/>
      <w:marBottom w:val="0"/>
      <w:divBdr>
        <w:top w:val="none" w:sz="0" w:space="0" w:color="auto"/>
        <w:left w:val="none" w:sz="0" w:space="0" w:color="auto"/>
        <w:bottom w:val="none" w:sz="0" w:space="0" w:color="auto"/>
        <w:right w:val="none" w:sz="0" w:space="0" w:color="auto"/>
      </w:divBdr>
    </w:div>
    <w:div w:id="1531383397">
      <w:bodyDiv w:val="1"/>
      <w:marLeft w:val="0"/>
      <w:marRight w:val="0"/>
      <w:marTop w:val="0"/>
      <w:marBottom w:val="0"/>
      <w:divBdr>
        <w:top w:val="none" w:sz="0" w:space="0" w:color="auto"/>
        <w:left w:val="none" w:sz="0" w:space="0" w:color="auto"/>
        <w:bottom w:val="none" w:sz="0" w:space="0" w:color="auto"/>
        <w:right w:val="none" w:sz="0" w:space="0" w:color="auto"/>
      </w:divBdr>
    </w:div>
    <w:div w:id="179316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780939CA6524585F71588237228B1" ma:contentTypeVersion="17" ma:contentTypeDescription="Create a new document." ma:contentTypeScope="" ma:versionID="859bff12d399cb62c9817e93b4930b35">
  <xsd:schema xmlns:xsd="http://www.w3.org/2001/XMLSchema" xmlns:xs="http://www.w3.org/2001/XMLSchema" xmlns:p="http://schemas.microsoft.com/office/2006/metadata/properties" xmlns:ns2="572ce81c-0d16-4ce6-80d5-5ce47970e4d4" xmlns:ns3="c8baee5a-9499-47e2-bc95-4aa07bc2e225" targetNamespace="http://schemas.microsoft.com/office/2006/metadata/properties" ma:root="true" ma:fieldsID="5eb905dcde949c0af827c5cfa7e6175c" ns2:_="" ns3:_="">
    <xsd:import namespace="572ce81c-0d16-4ce6-80d5-5ce47970e4d4"/>
    <xsd:import namespace="c8baee5a-9499-47e2-bc95-4aa07bc2e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Cl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ce81c-0d16-4ce6-80d5-5ce47970e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lient" ma:index="23" nillable="true" ma:displayName="Client" ma:format="Dropdown" ma:internalName="Client">
      <xsd:simpleType>
        <xsd:restriction base="dms:Choice">
          <xsd:enumeration value="PDV"/>
          <xsd:enumeration value="PDNSW"/>
          <xsd:enumeration value="CDM"/>
          <xsd:enumeration value="ODS"/>
          <xsd:enumeration value="S&amp;A"/>
          <xsd:enumeration value="SOPA"/>
          <xsd:enumeration value="VNSW"/>
          <xsd:enumeration value="OSL"/>
          <xsd:enumeration value="HCCDC"/>
        </xsd:restriction>
      </xsd:simpleType>
    </xsd:element>
  </xsd:schema>
  <xsd:schema xmlns:xsd="http://www.w3.org/2001/XMLSchema" xmlns:xs="http://www.w3.org/2001/XMLSchema" xmlns:dms="http://schemas.microsoft.com/office/2006/documentManagement/types" xmlns:pc="http://schemas.microsoft.com/office/infopath/2007/PartnerControls" targetNamespace="c8baee5a-9499-47e2-bc95-4aa07bc2e2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2423854-64f9-47a4-83d7-59162a307e42}" ma:internalName="TaxCatchAll" ma:showField="CatchAllData" ma:web="c8baee5a-9499-47e2-bc95-4aa07bc2e2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8baee5a-9499-47e2-bc95-4aa07bc2e225">
      <UserInfo>
        <DisplayName/>
        <AccountId xsi:nil="true"/>
        <AccountType/>
      </UserInfo>
    </SharedWithUsers>
    <Client xmlns="572ce81c-0d16-4ce6-80d5-5ce47970e4d4" xsi:nil="true"/>
    <TaxCatchAll xmlns="c8baee5a-9499-47e2-bc95-4aa07bc2e225" xsi:nil="true"/>
    <lcf76f155ced4ddcb4097134ff3c332f xmlns="572ce81c-0d16-4ce6-80d5-5ce47970e4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397661-F464-4153-91C3-D914C1437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ce81c-0d16-4ce6-80d5-5ce47970e4d4"/>
    <ds:schemaRef ds:uri="c8baee5a-9499-47e2-bc95-4aa07bc2e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9D16A-1D0A-4FCE-8E41-723D84F95950}">
  <ds:schemaRefs>
    <ds:schemaRef ds:uri="http://schemas.openxmlformats.org/officeDocument/2006/bibliography"/>
  </ds:schemaRefs>
</ds:datastoreItem>
</file>

<file path=customXml/itemProps3.xml><?xml version="1.0" encoding="utf-8"?>
<ds:datastoreItem xmlns:ds="http://schemas.openxmlformats.org/officeDocument/2006/customXml" ds:itemID="{682136D5-C13F-4525-97D7-5EFD7AC15591}">
  <ds:schemaRefs>
    <ds:schemaRef ds:uri="http://schemas.microsoft.com/sharepoint/v3/contenttype/forms"/>
  </ds:schemaRefs>
</ds:datastoreItem>
</file>

<file path=customXml/itemProps4.xml><?xml version="1.0" encoding="utf-8"?>
<ds:datastoreItem xmlns:ds="http://schemas.openxmlformats.org/officeDocument/2006/customXml" ds:itemID="{42176662-C6F0-4737-96E3-B3877D120EFA}">
  <ds:schemaRefs>
    <ds:schemaRef ds:uri="http://schemas.microsoft.com/office/2006/metadata/properties"/>
    <ds:schemaRef ds:uri="http://schemas.microsoft.com/office/infopath/2007/PartnerControls"/>
    <ds:schemaRef ds:uri="c8baee5a-9499-47e2-bc95-4aa07bc2e225"/>
    <ds:schemaRef ds:uri="572ce81c-0d16-4ce6-80d5-5ce47970e4d4"/>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123</TotalTime>
  <Pages>9</Pages>
  <Words>2230</Words>
  <Characters>14408</Characters>
  <Application>Microsoft Office Word</Application>
  <DocSecurity>0</DocSecurity>
  <Lines>455</Lines>
  <Paragraphs>222</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16538</CharactersWithSpaces>
  <SharedDoc>false</SharedDoc>
  <HLinks>
    <vt:vector size="6" baseType="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Jo Penwill</cp:lastModifiedBy>
  <cp:revision>5</cp:revision>
  <cp:lastPrinted>2024-03-11T23:02:00Z</cp:lastPrinted>
  <dcterms:created xsi:type="dcterms:W3CDTF">2024-10-28T00:24:00Z</dcterms:created>
  <dcterms:modified xsi:type="dcterms:W3CDTF">2024-10-28T02:34:00Z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A3833058</vt:lpwstr>
  </property>
  <property fmtid="{D5CDD505-2E9C-101B-9397-08002B2CF9AE}" pid="4" name="Objective-Title">
    <vt:lpwstr>Role Description - Director Policy - FINAL</vt:lpwstr>
  </property>
  <property fmtid="{D5CDD505-2E9C-101B-9397-08002B2CF9AE}" pid="5" name="Objective-Comment">
    <vt:lpwstr/>
  </property>
  <property fmtid="{D5CDD505-2E9C-101B-9397-08002B2CF9AE}" pid="6" name="Objective-CreationStamp">
    <vt:filetime>2017-06-30T00:58:41Z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2017-10-23T04:40:15Z</vt:filetime>
  </property>
  <property fmtid="{D5CDD505-2E9C-101B-9397-08002B2CF9AE}" pid="11" name="Objective-Owner">
    <vt:lpwstr>Ken Boots</vt:lpwstr>
  </property>
  <property fmtid="{D5CDD505-2E9C-101B-9397-08002B2CF9AE}" pid="12" name="Objective-Path">
    <vt:lpwstr>Objective Global Folder:1. Planning &amp; Environment (DP&amp;E):1. Planning &amp; Environment File Plan (DP&amp;E):HUMAN RESOURCES:BRANCH MANAGEMENT:Program and Projects:Branch Management - Program and Projects - Executive Services:5. Role Descriptions DP&amp;E:</vt:lpwstr>
  </property>
  <property fmtid="{D5CDD505-2E9C-101B-9397-08002B2CF9AE}" pid="13" name="Objective-Parent">
    <vt:lpwstr>5. Role Descriptions DP&amp;E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16/15574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ContentTypeId">
    <vt:lpwstr>0x0101002E0780939CA6524585F71588237228B1</vt:lpwstr>
  </property>
  <property fmtid="{D5CDD505-2E9C-101B-9397-08002B2CF9AE}" pid="25" name="MediaServiceImageTags">
    <vt:lpwstr/>
  </property>
  <property fmtid="{D5CDD505-2E9C-101B-9397-08002B2CF9AE}" pid="26" name="Order">
    <vt:r8>6395300</vt:r8>
  </property>
  <property fmtid="{D5CDD505-2E9C-101B-9397-08002B2CF9AE}" pid="27" name="xd_Signature">
    <vt:bool>false</vt:bool>
  </property>
  <property fmtid="{D5CDD505-2E9C-101B-9397-08002B2CF9AE}" pid="28" name="xd_ProgID">
    <vt:lpwstr/>
  </property>
  <property fmtid="{D5CDD505-2E9C-101B-9397-08002B2CF9AE}" pid="29" name="ComplianceAssetId">
    <vt:lpwstr/>
  </property>
  <property fmtid="{D5CDD505-2E9C-101B-9397-08002B2CF9AE}" pid="30" name="TemplateUrl">
    <vt:lpwstr/>
  </property>
  <property fmtid="{D5CDD505-2E9C-101B-9397-08002B2CF9AE}" pid="31" name="_ExtendedDescription">
    <vt:lpwstr/>
  </property>
  <property fmtid="{D5CDD505-2E9C-101B-9397-08002B2CF9AE}" pid="32" name="TriggerFlowInfo">
    <vt:lpwstr/>
  </property>
</Properties>
</file>