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F21F81" w:rsidRPr="00DC0173" w14:paraId="6FF2FE34"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88D85A1" w14:textId="77777777" w:rsidR="00F21F81" w:rsidRPr="00DC0173" w:rsidRDefault="00F21F81" w:rsidP="00F21F81">
            <w:pPr>
              <w:pStyle w:val="TableTextWhite"/>
              <w:rPr>
                <w:b/>
              </w:rPr>
            </w:pPr>
            <w:r>
              <w:rPr>
                <w:b/>
              </w:rPr>
              <w:t>Cluster</w:t>
            </w:r>
          </w:p>
        </w:tc>
        <w:tc>
          <w:tcPr>
            <w:tcW w:w="6561" w:type="dxa"/>
          </w:tcPr>
          <w:p w14:paraId="084C3DFE" w14:textId="2BD9A03A" w:rsidR="00F21F81" w:rsidRPr="00DC0173" w:rsidRDefault="00F21F81" w:rsidP="00F21F81">
            <w:pPr>
              <w:pStyle w:val="TableTextWhite"/>
            </w:pPr>
            <w:r>
              <w:rPr>
                <w:bCs/>
              </w:rPr>
              <w:t>Climate Change, Energy, the Environment &amp; Water</w:t>
            </w:r>
          </w:p>
        </w:tc>
      </w:tr>
      <w:tr w:rsidR="00F21F81" w:rsidRPr="00DC0173" w14:paraId="7199BA76" w14:textId="77777777" w:rsidTr="008476E6">
        <w:tc>
          <w:tcPr>
            <w:tcW w:w="4026" w:type="dxa"/>
            <w:vAlign w:val="center"/>
          </w:tcPr>
          <w:p w14:paraId="580F154A" w14:textId="77777777" w:rsidR="00F21F81" w:rsidRPr="00DC0173" w:rsidRDefault="00F21F81" w:rsidP="00F21F81">
            <w:pPr>
              <w:pStyle w:val="TableTextWhite"/>
              <w:rPr>
                <w:b/>
              </w:rPr>
            </w:pPr>
            <w:r>
              <w:rPr>
                <w:b/>
              </w:rPr>
              <w:t>Agency</w:t>
            </w:r>
          </w:p>
        </w:tc>
        <w:tc>
          <w:tcPr>
            <w:tcW w:w="6561" w:type="dxa"/>
          </w:tcPr>
          <w:p w14:paraId="55B09039" w14:textId="1B69B63F" w:rsidR="00F21F81" w:rsidRPr="00DC0173" w:rsidRDefault="00F21F81" w:rsidP="00F21F81">
            <w:pPr>
              <w:pStyle w:val="TableTextWhite"/>
            </w:pPr>
            <w:r w:rsidRPr="0038189C">
              <w:rPr>
                <w:bCs/>
              </w:rPr>
              <w:t xml:space="preserve">Department of </w:t>
            </w:r>
            <w:r>
              <w:rPr>
                <w:bCs/>
              </w:rPr>
              <w:t>Climate Change, Energy, the Environment &amp; Water (DCCEEW)</w:t>
            </w:r>
          </w:p>
        </w:tc>
      </w:tr>
      <w:tr w:rsidR="009077E2" w:rsidRPr="00DC0173" w14:paraId="072EC23A" w14:textId="77777777" w:rsidTr="008476E6">
        <w:tc>
          <w:tcPr>
            <w:tcW w:w="4026" w:type="dxa"/>
            <w:vAlign w:val="center"/>
          </w:tcPr>
          <w:p w14:paraId="31934651" w14:textId="77777777" w:rsidR="009077E2" w:rsidRPr="00DC0173" w:rsidRDefault="006B1C17" w:rsidP="00DC0173">
            <w:pPr>
              <w:pStyle w:val="TableTextWhite"/>
              <w:rPr>
                <w:b/>
              </w:rPr>
            </w:pPr>
            <w:r>
              <w:rPr>
                <w:b/>
              </w:rPr>
              <w:t>Group/</w:t>
            </w:r>
            <w:r w:rsidR="00E95F38">
              <w:rPr>
                <w:b/>
              </w:rPr>
              <w:t>Division/Branch/Unit</w:t>
            </w:r>
          </w:p>
        </w:tc>
        <w:tc>
          <w:tcPr>
            <w:tcW w:w="6561" w:type="dxa"/>
          </w:tcPr>
          <w:p w14:paraId="79FD583B" w14:textId="12950BDB" w:rsidR="009077E2" w:rsidRPr="00DC0173" w:rsidRDefault="00E95F38" w:rsidP="00DC0173">
            <w:pPr>
              <w:pStyle w:val="TableTextWhite"/>
            </w:pPr>
            <w:r>
              <w:t>National Parks and Wildlife Service/Park Operations Division</w:t>
            </w:r>
          </w:p>
        </w:tc>
      </w:tr>
      <w:tr w:rsidR="009077E2" w:rsidRPr="00DC0173" w14:paraId="054B8D7E" w14:textId="77777777" w:rsidTr="008476E6">
        <w:tc>
          <w:tcPr>
            <w:tcW w:w="4026" w:type="dxa"/>
            <w:vAlign w:val="center"/>
          </w:tcPr>
          <w:p w14:paraId="27DDE90A" w14:textId="77777777" w:rsidR="009077E2" w:rsidRPr="00DC0173" w:rsidRDefault="00E95F38" w:rsidP="00DC0173">
            <w:pPr>
              <w:pStyle w:val="TableTextWhite"/>
              <w:rPr>
                <w:b/>
              </w:rPr>
            </w:pPr>
            <w:r>
              <w:rPr>
                <w:b/>
              </w:rPr>
              <w:t>Location</w:t>
            </w:r>
          </w:p>
        </w:tc>
        <w:tc>
          <w:tcPr>
            <w:tcW w:w="6561" w:type="dxa"/>
          </w:tcPr>
          <w:p w14:paraId="0741E06E" w14:textId="77777777" w:rsidR="009077E2" w:rsidRPr="00DC0173" w:rsidRDefault="00E95F38" w:rsidP="00DC0173">
            <w:pPr>
              <w:pStyle w:val="TableTextWhite"/>
            </w:pPr>
            <w:r>
              <w:t>Various</w:t>
            </w:r>
          </w:p>
        </w:tc>
      </w:tr>
      <w:tr w:rsidR="009077E2" w:rsidRPr="00DC0173" w14:paraId="1C466385" w14:textId="77777777" w:rsidTr="008476E6">
        <w:tc>
          <w:tcPr>
            <w:tcW w:w="4026" w:type="dxa"/>
            <w:vAlign w:val="center"/>
          </w:tcPr>
          <w:p w14:paraId="3E7FD0B9" w14:textId="77777777" w:rsidR="009077E2" w:rsidRPr="00DC0173" w:rsidRDefault="00E95F38" w:rsidP="00DC0173">
            <w:pPr>
              <w:pStyle w:val="TableTextWhite"/>
              <w:rPr>
                <w:b/>
              </w:rPr>
            </w:pPr>
            <w:r>
              <w:rPr>
                <w:b/>
              </w:rPr>
              <w:t>Classification/Grade/Band</w:t>
            </w:r>
          </w:p>
        </w:tc>
        <w:tc>
          <w:tcPr>
            <w:tcW w:w="6561" w:type="dxa"/>
          </w:tcPr>
          <w:p w14:paraId="48771AA7" w14:textId="77777777" w:rsidR="009077E2" w:rsidRPr="00DC0173" w:rsidRDefault="00E95F38" w:rsidP="00DC0173">
            <w:pPr>
              <w:pStyle w:val="TableTextWhite"/>
            </w:pPr>
            <w:r>
              <w:t>Clerk Grade 11/12</w:t>
            </w:r>
          </w:p>
        </w:tc>
      </w:tr>
      <w:tr w:rsidR="009077E2" w:rsidRPr="00DC0173" w14:paraId="59D3862A" w14:textId="77777777" w:rsidTr="008476E6">
        <w:tc>
          <w:tcPr>
            <w:tcW w:w="4026" w:type="dxa"/>
            <w:vAlign w:val="center"/>
          </w:tcPr>
          <w:p w14:paraId="5364998A" w14:textId="77777777" w:rsidR="009077E2" w:rsidRPr="00DC0173" w:rsidRDefault="00E95F38" w:rsidP="00DC0173">
            <w:pPr>
              <w:pStyle w:val="TableTextWhite"/>
              <w:rPr>
                <w:b/>
              </w:rPr>
            </w:pPr>
            <w:r>
              <w:rPr>
                <w:b/>
              </w:rPr>
              <w:t>Role Number</w:t>
            </w:r>
          </w:p>
        </w:tc>
        <w:tc>
          <w:tcPr>
            <w:tcW w:w="6561" w:type="dxa"/>
          </w:tcPr>
          <w:p w14:paraId="55633420" w14:textId="77777777" w:rsidR="009077E2" w:rsidRPr="00DC0173" w:rsidRDefault="00E95F38" w:rsidP="00DC0173">
            <w:pPr>
              <w:pStyle w:val="TableTextWhite"/>
            </w:pPr>
            <w:r>
              <w:t>Generic</w:t>
            </w:r>
          </w:p>
        </w:tc>
      </w:tr>
      <w:tr w:rsidR="009077E2" w:rsidRPr="00DC0173" w14:paraId="2AAB1A01" w14:textId="77777777" w:rsidTr="008476E6">
        <w:tc>
          <w:tcPr>
            <w:tcW w:w="4026" w:type="dxa"/>
            <w:vAlign w:val="center"/>
          </w:tcPr>
          <w:p w14:paraId="22CEF198" w14:textId="77777777" w:rsidR="009077E2" w:rsidRPr="00DC0173" w:rsidRDefault="00E95F38" w:rsidP="00DC0173">
            <w:pPr>
              <w:pStyle w:val="TableTextWhite"/>
              <w:rPr>
                <w:b/>
              </w:rPr>
            </w:pPr>
            <w:r>
              <w:rPr>
                <w:b/>
              </w:rPr>
              <w:t>ANZSCO Code</w:t>
            </w:r>
          </w:p>
        </w:tc>
        <w:tc>
          <w:tcPr>
            <w:tcW w:w="6561" w:type="dxa"/>
          </w:tcPr>
          <w:p w14:paraId="7817231D" w14:textId="77777777" w:rsidR="009077E2" w:rsidRPr="00DC0173" w:rsidRDefault="00E95F38" w:rsidP="00DC0173">
            <w:pPr>
              <w:pStyle w:val="TableTextWhite"/>
            </w:pPr>
            <w:r>
              <w:t>139912</w:t>
            </w:r>
          </w:p>
        </w:tc>
      </w:tr>
      <w:tr w:rsidR="009077E2" w:rsidRPr="00DC0173" w14:paraId="686E1E12" w14:textId="77777777" w:rsidTr="008476E6">
        <w:tc>
          <w:tcPr>
            <w:tcW w:w="4026" w:type="dxa"/>
            <w:vAlign w:val="center"/>
          </w:tcPr>
          <w:p w14:paraId="0111659E" w14:textId="77777777" w:rsidR="009077E2" w:rsidRPr="00DC0173" w:rsidRDefault="00E95F38" w:rsidP="00DC0173">
            <w:pPr>
              <w:pStyle w:val="TableTextWhite"/>
              <w:rPr>
                <w:b/>
              </w:rPr>
            </w:pPr>
            <w:r>
              <w:rPr>
                <w:b/>
              </w:rPr>
              <w:t>PCAT Code</w:t>
            </w:r>
          </w:p>
        </w:tc>
        <w:tc>
          <w:tcPr>
            <w:tcW w:w="6561" w:type="dxa"/>
          </w:tcPr>
          <w:p w14:paraId="13741C4B" w14:textId="77777777" w:rsidR="009077E2" w:rsidRPr="00DC0173" w:rsidRDefault="00E95F38" w:rsidP="00DC0173">
            <w:pPr>
              <w:pStyle w:val="TableTextWhite"/>
            </w:pPr>
            <w:r>
              <w:t>1119192</w:t>
            </w:r>
          </w:p>
        </w:tc>
      </w:tr>
      <w:tr w:rsidR="009077E2" w:rsidRPr="00DC0173" w14:paraId="19D40526" w14:textId="77777777" w:rsidTr="008476E6">
        <w:tc>
          <w:tcPr>
            <w:tcW w:w="4026" w:type="dxa"/>
            <w:vAlign w:val="center"/>
          </w:tcPr>
          <w:p w14:paraId="6384800D" w14:textId="77777777" w:rsidR="009077E2" w:rsidRPr="00DC0173" w:rsidRDefault="00E95F38" w:rsidP="00DC0173">
            <w:pPr>
              <w:pStyle w:val="TableTextWhite"/>
              <w:rPr>
                <w:b/>
              </w:rPr>
            </w:pPr>
            <w:r>
              <w:rPr>
                <w:b/>
              </w:rPr>
              <w:t>Date of Approval</w:t>
            </w:r>
          </w:p>
        </w:tc>
        <w:tc>
          <w:tcPr>
            <w:tcW w:w="6561" w:type="dxa"/>
          </w:tcPr>
          <w:p w14:paraId="6D315D45" w14:textId="182A2D2C" w:rsidR="009077E2" w:rsidRPr="00DC0173" w:rsidRDefault="00F21F81" w:rsidP="00DC0173">
            <w:pPr>
              <w:pStyle w:val="TableTextWhite"/>
            </w:pPr>
            <w:r>
              <w:t>July 2024</w:t>
            </w:r>
            <w:r w:rsidR="00F174E5">
              <w:t xml:space="preserve"> (</w:t>
            </w:r>
            <w:r w:rsidR="00C93DCC">
              <w:t xml:space="preserve">updated </w:t>
            </w:r>
            <w:r w:rsidR="00F174E5">
              <w:t xml:space="preserve">from March 2022; </w:t>
            </w:r>
            <w:r w:rsidR="00C93DCC">
              <w:t>April 2021</w:t>
            </w:r>
            <w:r w:rsidR="00E91135">
              <w:t xml:space="preserve">; and </w:t>
            </w:r>
            <w:r w:rsidR="00F174E5">
              <w:t>September 2017</w:t>
            </w:r>
            <w:r>
              <w:t xml:space="preserve">, </w:t>
            </w:r>
            <w:r>
              <w:t>June 2023</w:t>
            </w:r>
            <w:r w:rsidR="00F174E5">
              <w:t>)</w:t>
            </w:r>
          </w:p>
        </w:tc>
      </w:tr>
      <w:tr w:rsidR="00F21F81" w:rsidRPr="00DC0173" w14:paraId="253CFBA1" w14:textId="77777777" w:rsidTr="008476E6">
        <w:tc>
          <w:tcPr>
            <w:tcW w:w="4026" w:type="dxa"/>
            <w:vAlign w:val="center"/>
          </w:tcPr>
          <w:p w14:paraId="2C9ECD31" w14:textId="1FCC9170" w:rsidR="00F21F81" w:rsidRDefault="00F21F81" w:rsidP="00F21F81">
            <w:pPr>
              <w:pStyle w:val="TableTextWhite"/>
              <w:rPr>
                <w:b/>
              </w:rPr>
            </w:pPr>
            <w:r>
              <w:rPr>
                <w:b/>
              </w:rPr>
              <w:t>Agency Website</w:t>
            </w:r>
          </w:p>
        </w:tc>
        <w:tc>
          <w:tcPr>
            <w:tcW w:w="6561" w:type="dxa"/>
          </w:tcPr>
          <w:p w14:paraId="63328C4B" w14:textId="2E920AB5" w:rsidR="00F21F81" w:rsidRDefault="00F21F81" w:rsidP="00F21F81">
            <w:pPr>
              <w:pStyle w:val="TableTextWhite"/>
            </w:pPr>
            <w:r w:rsidRPr="00E24F8E">
              <w:rPr>
                <w:rFonts w:cs="Arial"/>
              </w:rPr>
              <w:t>www.nationalparks.nsw.gov.au &amp; www.d</w:t>
            </w:r>
            <w:r>
              <w:rPr>
                <w:rFonts w:cs="Arial"/>
              </w:rPr>
              <w:t>cce</w:t>
            </w:r>
            <w:r w:rsidRPr="00E24F8E">
              <w:rPr>
                <w:rFonts w:cs="Arial"/>
              </w:rPr>
              <w:t>e</w:t>
            </w:r>
            <w:r>
              <w:rPr>
                <w:rFonts w:cs="Arial"/>
              </w:rPr>
              <w:t>w</w:t>
            </w:r>
            <w:r w:rsidRPr="00E24F8E">
              <w:rPr>
                <w:rFonts w:cs="Arial"/>
              </w:rPr>
              <w:t>.nsw.gov.au</w:t>
            </w:r>
          </w:p>
        </w:tc>
      </w:tr>
    </w:tbl>
    <w:p w14:paraId="691E657C" w14:textId="77777777" w:rsidR="00F21F81" w:rsidRDefault="00F21F81" w:rsidP="00F21F81">
      <w:pPr>
        <w:rPr>
          <w:i/>
          <w:iCs/>
        </w:rPr>
      </w:pPr>
      <w:r>
        <w:rPr>
          <w:i/>
          <w:iCs/>
          <w:lang w:val="en-GB"/>
        </w:rPr>
        <w:t xml:space="preserve">Ensuring a sustainable NSW through climate change and energy action, water management, environment and heritage conservation and protection. </w:t>
      </w:r>
    </w:p>
    <w:p w14:paraId="4E284101" w14:textId="77777777" w:rsidR="00F21F81" w:rsidRPr="00D91467" w:rsidRDefault="00F21F81" w:rsidP="00F21F81">
      <w:pPr>
        <w:keepNext/>
        <w:spacing w:before="240" w:line="240" w:lineRule="auto"/>
        <w:outlineLvl w:val="0"/>
        <w:rPr>
          <w:rFonts w:cs="Arial"/>
          <w:b/>
          <w:bCs/>
          <w:kern w:val="32"/>
          <w:sz w:val="26"/>
          <w:szCs w:val="32"/>
        </w:rPr>
      </w:pPr>
      <w:r w:rsidRPr="00D91467">
        <w:rPr>
          <w:rFonts w:cs="Arial"/>
          <w:b/>
          <w:bCs/>
          <w:kern w:val="32"/>
          <w:sz w:val="26"/>
          <w:szCs w:val="32"/>
        </w:rPr>
        <w:t xml:space="preserve">Who we </w:t>
      </w:r>
      <w:proofErr w:type="gramStart"/>
      <w:r w:rsidRPr="00D91467">
        <w:rPr>
          <w:rFonts w:cs="Arial"/>
          <w:b/>
          <w:bCs/>
          <w:kern w:val="32"/>
          <w:sz w:val="26"/>
          <w:szCs w:val="32"/>
        </w:rPr>
        <w:t>are</w:t>
      </w:r>
      <w:proofErr w:type="gramEnd"/>
      <w:r w:rsidRPr="00D91467">
        <w:rPr>
          <w:rFonts w:cs="Arial"/>
          <w:b/>
          <w:bCs/>
          <w:kern w:val="32"/>
          <w:sz w:val="26"/>
          <w:szCs w:val="32"/>
        </w:rPr>
        <w:t xml:space="preserve"> </w:t>
      </w:r>
    </w:p>
    <w:p w14:paraId="79529FF9" w14:textId="77777777" w:rsidR="00F21F81" w:rsidRPr="00D91467" w:rsidRDefault="00F21F81" w:rsidP="00F21F81">
      <w:pPr>
        <w:rPr>
          <w:rFonts w:ascii="Calibri" w:eastAsiaTheme="minorHAnsi" w:hAnsi="Calibri" w:cs="Calibri"/>
          <w:lang w:val="en-GB"/>
        </w:rPr>
      </w:pPr>
      <w: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71D000C6" w14:textId="77777777" w:rsidR="00F21F81" w:rsidRDefault="00F21F81" w:rsidP="00F21F81">
      <w:r>
        <w:t xml:space="preserve">DCCEEW conserves and protects the state’s natural environment. It manages the NSW national park estate, including its rich and diverse biodiversity and Aboriginal cultural heritage for future generations. </w:t>
      </w:r>
    </w:p>
    <w:p w14:paraId="53BAACBB" w14:textId="77777777" w:rsidR="00F21F81" w:rsidRDefault="00F21F81" w:rsidP="00F21F81">
      <w:pPr>
        <w:rPr>
          <w:lang w:val="en-GB"/>
        </w:rPr>
      </w:pPr>
      <w:r>
        <w:t xml:space="preserve"> DCCEEW also ensures sustainable management of water resources across the state, to support the environment, </w:t>
      </w:r>
      <w:proofErr w:type="gramStart"/>
      <w:r>
        <w:t>communities</w:t>
      </w:r>
      <w:proofErr w:type="gramEnd"/>
      <w:r>
        <w:t xml:space="preserve"> and industry. </w:t>
      </w:r>
    </w:p>
    <w:p w14:paraId="3B816510" w14:textId="77777777" w:rsidR="00F21F81" w:rsidRDefault="00F21F81" w:rsidP="00F21F81">
      <w:r>
        <w:rPr>
          <w:color w:val="000000"/>
        </w:rPr>
        <w:t xml:space="preserve">We </w:t>
      </w:r>
      <w:r>
        <w:t>acknowledge the ongoing custodial responsibilities of the Aboriginal peoples of NSW to care for Country and water and are committed to establishing meaningful partnerships with Aboriginal peoples in the management of the environment.  </w:t>
      </w:r>
    </w:p>
    <w:p w14:paraId="6E0EFC90" w14:textId="77777777" w:rsidR="00F21F81" w:rsidRPr="00D91467" w:rsidRDefault="00F21F81" w:rsidP="00F21F81">
      <w:pPr>
        <w:keepNext/>
        <w:spacing w:before="240" w:line="240" w:lineRule="auto"/>
        <w:outlineLvl w:val="0"/>
        <w:rPr>
          <w:rFonts w:cs="Arial"/>
          <w:b/>
          <w:bCs/>
          <w:kern w:val="32"/>
          <w:sz w:val="26"/>
          <w:szCs w:val="32"/>
        </w:rPr>
      </w:pPr>
      <w:r w:rsidRPr="00D91467">
        <w:rPr>
          <w:rFonts w:cs="Arial"/>
          <w:b/>
          <w:bCs/>
          <w:kern w:val="32"/>
          <w:sz w:val="26"/>
          <w:szCs w:val="32"/>
        </w:rPr>
        <w:t>National Parks &amp; Wildlife Service overview</w:t>
      </w:r>
    </w:p>
    <w:p w14:paraId="3A6004F4" w14:textId="25D3AF71" w:rsidR="00F174E5" w:rsidRDefault="00F21F81" w:rsidP="00F21F81">
      <w:pPr>
        <w:rPr>
          <w:rStyle w:val="Heading1Char"/>
        </w:rPr>
      </w:pPr>
      <w:r w:rsidRPr="00DB457D">
        <w:rPr>
          <w:rStyle w:val="normaltextrun"/>
          <w:rFonts w:cs="Arial"/>
        </w:rPr>
        <w:t xml:space="preserve">National Parks &amp; Wildlife Service (NPWS) is one of the world’s oldest and most respected national parks agencies. We manage more than 890 national parks and reserves, covering over 7.5 million hectares or 9.5% of the landmass of NSW ranging from rainforests and towering eucalypt forests to rich woodlands, spectacular </w:t>
      </w:r>
      <w:proofErr w:type="gramStart"/>
      <w:r w:rsidRPr="00DB457D">
        <w:rPr>
          <w:rStyle w:val="normaltextrun"/>
          <w:rFonts w:cs="Arial"/>
        </w:rPr>
        <w:t>deserts</w:t>
      </w:r>
      <w:proofErr w:type="gramEnd"/>
      <w:r w:rsidRPr="00DB457D">
        <w:rPr>
          <w:rStyle w:val="normaltextrun"/>
          <w:rFonts w:cs="Arial"/>
        </w:rPr>
        <w:t xml:space="preserve">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 </w:t>
      </w:r>
    </w:p>
    <w:p w14:paraId="74B6580E" w14:textId="3FA8A175" w:rsidR="00037FD5" w:rsidRPr="00614552" w:rsidRDefault="00037FD5" w:rsidP="006A2280">
      <w:pPr>
        <w:tabs>
          <w:tab w:val="left" w:pos="2925"/>
        </w:tabs>
        <w:rPr>
          <w:rStyle w:val="Heading1Char"/>
        </w:rPr>
      </w:pPr>
      <w:r w:rsidRPr="00614552">
        <w:rPr>
          <w:rStyle w:val="Heading1Char"/>
        </w:rPr>
        <w:lastRenderedPageBreak/>
        <w:t>Primary purpose of the role</w:t>
      </w:r>
    </w:p>
    <w:p w14:paraId="125D01EE" w14:textId="4F7F2CD4" w:rsidR="0013413E" w:rsidRDefault="00037FD5" w:rsidP="006A2280">
      <w:pPr>
        <w:tabs>
          <w:tab w:val="left" w:pos="2925"/>
        </w:tabs>
        <w:rPr>
          <w:rFonts w:ascii="Georgia" w:hAnsi="Georgia"/>
        </w:rPr>
      </w:pPr>
      <w:r w:rsidRPr="00614552">
        <w:rPr>
          <w:rFonts w:cs="Arial"/>
        </w:rPr>
        <w:t>Lead and manage a team to implement and deliver park management programs and translate strategies into operational outcomes within a geographical area to support the achievement of NSW Government</w:t>
      </w:r>
      <w:r w:rsidR="00C961A8">
        <w:rPr>
          <w:rFonts w:cs="Arial"/>
        </w:rPr>
        <w:t xml:space="preserve"> </w:t>
      </w:r>
      <w:r w:rsidRPr="00614552">
        <w:rPr>
          <w:rFonts w:cs="Arial"/>
        </w:rPr>
        <w:t>Corporate outcomes.</w:t>
      </w:r>
    </w:p>
    <w:p w14:paraId="151FD038" w14:textId="77777777" w:rsidR="00F339CD" w:rsidRDefault="00F339CD" w:rsidP="00614552">
      <w:pPr>
        <w:pStyle w:val="Heading1"/>
      </w:pPr>
      <w:r w:rsidRPr="00A14A03">
        <w:t>Key accountabilities</w:t>
      </w:r>
    </w:p>
    <w:p w14:paraId="0083B623"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Lead and manage a multidisciplinary team to implement park management programs across pest and weed control, threatened species and environmental restoration, visitor and recreation, interpretation and education and community engagement and joint management.</w:t>
      </w:r>
    </w:p>
    <w:p w14:paraId="57EEFC42"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Lead the Area’s delivery of natural, cultural heritage and visitor experience programs in a changing environment including seeking out opportunities to enhance program delivery through community engagement and partnerships.</w:t>
      </w:r>
    </w:p>
    <w:p w14:paraId="06505BE1"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Lead the Area’s strategic management of park assets including </w:t>
      </w:r>
      <w:proofErr w:type="spellStart"/>
      <w:r w:rsidRPr="00614552">
        <w:rPr>
          <w:rFonts w:cs="Arial"/>
        </w:rPr>
        <w:t>prioritising</w:t>
      </w:r>
      <w:proofErr w:type="spellEnd"/>
      <w:r w:rsidRPr="00614552">
        <w:rPr>
          <w:rFonts w:cs="Arial"/>
        </w:rPr>
        <w:t xml:space="preserve"> investment in assets in accordance with asset condition, business relevance and staff and public safety considerations.</w:t>
      </w:r>
    </w:p>
    <w:p w14:paraId="53E174E5"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Plan for a workforce with optimal capability and flexibility to </w:t>
      </w:r>
      <w:proofErr w:type="gramStart"/>
      <w:r w:rsidRPr="00614552">
        <w:rPr>
          <w:rFonts w:cs="Arial"/>
        </w:rPr>
        <w:t>safely and effectively undertake incident planning, coordination and response functions</w:t>
      </w:r>
      <w:proofErr w:type="gramEnd"/>
      <w:r w:rsidRPr="00614552">
        <w:rPr>
          <w:rFonts w:cs="Arial"/>
        </w:rPr>
        <w:t xml:space="preserve"> in order to protect life, property and the natural, cultural and recreational values of parks and reserves.</w:t>
      </w:r>
    </w:p>
    <w:p w14:paraId="0B4E4AD7" w14:textId="5715E557"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Manage and build collaborative relationships with key stakeholders, identify opportunities and partnerships to increase community participation and engagement and to promote the products, </w:t>
      </w:r>
      <w:proofErr w:type="gramStart"/>
      <w:r w:rsidRPr="00614552">
        <w:rPr>
          <w:rFonts w:cs="Arial"/>
        </w:rPr>
        <w:t>services</w:t>
      </w:r>
      <w:proofErr w:type="gramEnd"/>
      <w:r w:rsidRPr="00614552">
        <w:rPr>
          <w:rFonts w:cs="Arial"/>
        </w:rPr>
        <w:t xml:space="preserve"> and programs of </w:t>
      </w:r>
      <w:r w:rsidR="00F21F81">
        <w:rPr>
          <w:rFonts w:cs="Arial"/>
        </w:rPr>
        <w:t>DCCEEW</w:t>
      </w:r>
      <w:r w:rsidRPr="00614552">
        <w:rPr>
          <w:rFonts w:cs="Arial"/>
        </w:rPr>
        <w:t xml:space="preserve"> and partner entities.</w:t>
      </w:r>
    </w:p>
    <w:p w14:paraId="5599BED2"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Provide expert advice on the delivery and implementation of park management programs including identify operational issues, </w:t>
      </w:r>
      <w:proofErr w:type="gramStart"/>
      <w:r w:rsidRPr="00614552">
        <w:rPr>
          <w:rFonts w:cs="Arial"/>
        </w:rPr>
        <w:t>risks</w:t>
      </w:r>
      <w:proofErr w:type="gramEnd"/>
      <w:r w:rsidRPr="00614552">
        <w:rPr>
          <w:rFonts w:cs="Arial"/>
        </w:rPr>
        <w:t xml:space="preserve"> and opportunities to inform high level decision making and planning activities within the organisation.</w:t>
      </w:r>
    </w:p>
    <w:p w14:paraId="063A5848"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Manage emerging contentious issues, incidents and risks including proactive engagement and consultation with key stakeholders, and the provision of timely, accurate advice to senior management on the application of appropriate response and risk mitigation strategies to contribute to the environmental, </w:t>
      </w:r>
      <w:proofErr w:type="gramStart"/>
      <w:r w:rsidRPr="00614552">
        <w:rPr>
          <w:rFonts w:cs="Arial"/>
        </w:rPr>
        <w:t>social</w:t>
      </w:r>
      <w:proofErr w:type="gramEnd"/>
      <w:r w:rsidRPr="00614552">
        <w:rPr>
          <w:rFonts w:cs="Arial"/>
        </w:rPr>
        <w:t xml:space="preserve"> and economic needs of the people of NSW.</w:t>
      </w:r>
    </w:p>
    <w:p w14:paraId="07597B68" w14:textId="77777777" w:rsidR="001D097C" w:rsidRPr="00614552" w:rsidRDefault="001D097C" w:rsidP="006A2280">
      <w:pPr>
        <w:tabs>
          <w:tab w:val="left" w:pos="2925"/>
        </w:tabs>
        <w:rPr>
          <w:rStyle w:val="Heading1Char"/>
        </w:rPr>
      </w:pPr>
      <w:r w:rsidRPr="00614552">
        <w:rPr>
          <w:rStyle w:val="Heading1Char"/>
        </w:rPr>
        <w:t>Key challenges</w:t>
      </w:r>
    </w:p>
    <w:p w14:paraId="0EDFEF92"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Build confidence within the community by proactively communicating with all key stakeholders and effectively deliver business and operational plan actions and priorities within the context of local challenges.</w:t>
      </w:r>
    </w:p>
    <w:p w14:paraId="3FF65CA7"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Make effective and relevant program management decisions that consider local conditions, available resources, approval requirements and competing priorities, whilst responding appropriately to the media and public scrutiny and ensuring respect for cultural sensitivities.</w:t>
      </w:r>
    </w:p>
    <w:p w14:paraId="694D3760"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Maintain contemporary knowledge of natural and cultural heritage conservation and the delivery of visitor experiences and effectively applying this consistent with relevant policies, and procedures, while managing stakeholder opinions and increased expectations.</w:t>
      </w:r>
    </w:p>
    <w:p w14:paraId="52524D5E"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64AD4C6"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A6EF3C7" w14:textId="77777777" w:rsidR="00BB532F" w:rsidRPr="00C978B9" w:rsidRDefault="00BB532F" w:rsidP="00BD7BA7">
            <w:pPr>
              <w:pStyle w:val="TableTextWhite0"/>
            </w:pPr>
            <w:r w:rsidRPr="00C978B9">
              <w:t>Who</w:t>
            </w:r>
          </w:p>
        </w:tc>
        <w:tc>
          <w:tcPr>
            <w:tcW w:w="6986" w:type="dxa"/>
          </w:tcPr>
          <w:p w14:paraId="4D8AF0F5" w14:textId="77777777" w:rsidR="00BB532F" w:rsidRPr="00C978B9" w:rsidRDefault="00022223" w:rsidP="00022223">
            <w:pPr>
              <w:pStyle w:val="TableTextWhite0"/>
            </w:pPr>
            <w:r>
              <w:t xml:space="preserve">       </w:t>
            </w:r>
            <w:r w:rsidR="00BB532F" w:rsidRPr="00C978B9">
              <w:t>Why</w:t>
            </w:r>
          </w:p>
        </w:tc>
      </w:tr>
      <w:tr w:rsidR="00BB532F" w:rsidRPr="00A8245E" w14:paraId="3B9F15C1" w14:textId="77777777" w:rsidTr="00CE105E">
        <w:tc>
          <w:tcPr>
            <w:tcW w:w="3601" w:type="dxa"/>
            <w:shd w:val="clear" w:color="auto" w:fill="BCBEC0"/>
          </w:tcPr>
          <w:p w14:paraId="5FD18DBD"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05377563" w14:textId="77777777" w:rsidR="00BB532F" w:rsidRPr="00A8245E" w:rsidRDefault="00BB532F" w:rsidP="00BD7BA7">
            <w:pPr>
              <w:pStyle w:val="TableText"/>
              <w:keepNext/>
              <w:rPr>
                <w:b/>
              </w:rPr>
            </w:pPr>
          </w:p>
        </w:tc>
      </w:tr>
      <w:tr w:rsidR="00BB532F" w:rsidRPr="00C978B9" w14:paraId="1997066D" w14:textId="77777777" w:rsidTr="00CE105E">
        <w:tc>
          <w:tcPr>
            <w:tcW w:w="3601" w:type="dxa"/>
            <w:tcBorders>
              <w:top w:val="single" w:sz="8" w:space="0" w:color="auto"/>
              <w:bottom w:val="single" w:sz="8" w:space="0" w:color="BCBEC0"/>
            </w:tcBorders>
          </w:tcPr>
          <w:p w14:paraId="683064F9" w14:textId="77777777" w:rsidR="00BB532F" w:rsidRDefault="001336E8" w:rsidP="002B1F76">
            <w:pPr>
              <w:pStyle w:val="TableText"/>
            </w:pPr>
            <w:r>
              <w:t>Director/Supervisor</w:t>
            </w:r>
          </w:p>
          <w:p w14:paraId="12E43556" w14:textId="77777777" w:rsidR="00F174E5" w:rsidRDefault="00F174E5" w:rsidP="00F174E5"/>
          <w:p w14:paraId="61126F31" w14:textId="239E81BF" w:rsidR="00F174E5" w:rsidRPr="00F174E5" w:rsidRDefault="00F174E5" w:rsidP="00F174E5">
            <w:pPr>
              <w:jc w:val="center"/>
            </w:pPr>
          </w:p>
        </w:tc>
        <w:tc>
          <w:tcPr>
            <w:tcW w:w="6986" w:type="dxa"/>
            <w:tcBorders>
              <w:top w:val="single" w:sz="8" w:space="0" w:color="auto"/>
              <w:bottom w:val="single" w:sz="8" w:space="0" w:color="BCBEC0"/>
            </w:tcBorders>
          </w:tcPr>
          <w:p w14:paraId="1B40A217" w14:textId="77777777" w:rsidR="00BB532F" w:rsidRPr="00A15CDB" w:rsidRDefault="001336E8" w:rsidP="00022223">
            <w:pPr>
              <w:pStyle w:val="TableText"/>
              <w:numPr>
                <w:ilvl w:val="0"/>
                <w:numId w:val="3"/>
              </w:numPr>
            </w:pPr>
            <w:r>
              <w:t>Receive broad guidance, provide expert advice, consult and negotiate on key operational priorities and exchange information.</w:t>
            </w:r>
          </w:p>
        </w:tc>
      </w:tr>
      <w:tr w:rsidR="00BB532F" w:rsidRPr="00C978B9" w14:paraId="48C9349B" w14:textId="77777777" w:rsidTr="00CE105E">
        <w:tc>
          <w:tcPr>
            <w:tcW w:w="3601" w:type="dxa"/>
            <w:tcBorders>
              <w:top w:val="single" w:sz="8" w:space="0" w:color="auto"/>
              <w:bottom w:val="single" w:sz="8" w:space="0" w:color="BCBEC0"/>
            </w:tcBorders>
          </w:tcPr>
          <w:p w14:paraId="51DE54AB" w14:textId="77777777" w:rsidR="00BB532F" w:rsidRPr="00A15CDB" w:rsidRDefault="001336E8" w:rsidP="002B1F76">
            <w:pPr>
              <w:pStyle w:val="TableText"/>
            </w:pPr>
            <w:r>
              <w:lastRenderedPageBreak/>
              <w:t>Team</w:t>
            </w:r>
          </w:p>
        </w:tc>
        <w:tc>
          <w:tcPr>
            <w:tcW w:w="6986" w:type="dxa"/>
            <w:tcBorders>
              <w:top w:val="single" w:sz="8" w:space="0" w:color="auto"/>
              <w:bottom w:val="single" w:sz="8" w:space="0" w:color="BCBEC0"/>
            </w:tcBorders>
          </w:tcPr>
          <w:p w14:paraId="5963127D" w14:textId="77777777" w:rsidR="00BB532F" w:rsidRPr="00A15CDB" w:rsidRDefault="001336E8" w:rsidP="00022223">
            <w:pPr>
              <w:pStyle w:val="TableText"/>
              <w:numPr>
                <w:ilvl w:val="0"/>
                <w:numId w:val="3"/>
              </w:numPr>
            </w:pPr>
            <w:r>
              <w:t>Provide guidance and leadership, exchange information and promote their ongoing professional development.</w:t>
            </w:r>
          </w:p>
        </w:tc>
      </w:tr>
      <w:tr w:rsidR="00BB532F" w:rsidRPr="00C978B9" w14:paraId="09D95F98" w14:textId="77777777" w:rsidTr="00CE105E">
        <w:tc>
          <w:tcPr>
            <w:tcW w:w="3601" w:type="dxa"/>
            <w:tcBorders>
              <w:top w:val="single" w:sz="8" w:space="0" w:color="auto"/>
              <w:bottom w:val="single" w:sz="8" w:space="0" w:color="BCBEC0"/>
            </w:tcBorders>
          </w:tcPr>
          <w:p w14:paraId="69F3E710" w14:textId="77777777" w:rsidR="00BB532F" w:rsidRPr="00A15CDB" w:rsidRDefault="001336E8" w:rsidP="002B1F76">
            <w:pPr>
              <w:pStyle w:val="TableText"/>
            </w:pPr>
            <w:r>
              <w:t>NPWS Divisions/Branches</w:t>
            </w:r>
          </w:p>
        </w:tc>
        <w:tc>
          <w:tcPr>
            <w:tcW w:w="6986" w:type="dxa"/>
            <w:tcBorders>
              <w:top w:val="single" w:sz="8" w:space="0" w:color="auto"/>
              <w:bottom w:val="single" w:sz="8" w:space="0" w:color="BCBEC0"/>
            </w:tcBorders>
          </w:tcPr>
          <w:p w14:paraId="4CF438F6" w14:textId="77777777" w:rsidR="00BB532F" w:rsidRPr="00A15CDB" w:rsidRDefault="001336E8" w:rsidP="00022223">
            <w:pPr>
              <w:pStyle w:val="TableText"/>
              <w:numPr>
                <w:ilvl w:val="0"/>
                <w:numId w:val="3"/>
              </w:numPr>
            </w:pPr>
            <w:r>
              <w:t>Collaborate and consult with staff on cross branch/divisional programs and projects, exchange information.</w:t>
            </w:r>
          </w:p>
          <w:p w14:paraId="503A21A3" w14:textId="77777777" w:rsidR="00BB532F" w:rsidRPr="00A15CDB" w:rsidRDefault="001336E8" w:rsidP="00022223">
            <w:pPr>
              <w:pStyle w:val="TableText"/>
              <w:numPr>
                <w:ilvl w:val="0"/>
                <w:numId w:val="3"/>
              </w:numPr>
            </w:pPr>
            <w:r>
              <w:t>Maintain and develop relationships with geographically dispersed staff.</w:t>
            </w:r>
          </w:p>
          <w:p w14:paraId="6129561C" w14:textId="77777777" w:rsidR="00BB532F" w:rsidRPr="00A15CDB" w:rsidRDefault="001336E8" w:rsidP="00022223">
            <w:pPr>
              <w:pStyle w:val="TableText"/>
              <w:numPr>
                <w:ilvl w:val="0"/>
                <w:numId w:val="3"/>
              </w:numPr>
            </w:pPr>
            <w:r>
              <w:t>Share knowledge and resources to ensure a consistent approach to managing and delivering work.</w:t>
            </w:r>
          </w:p>
        </w:tc>
      </w:tr>
      <w:tr w:rsidR="00BB532F" w:rsidRPr="00A8245E" w14:paraId="23914022" w14:textId="77777777" w:rsidTr="00CE105E">
        <w:tc>
          <w:tcPr>
            <w:tcW w:w="3601" w:type="dxa"/>
            <w:shd w:val="clear" w:color="auto" w:fill="BCBEC0"/>
          </w:tcPr>
          <w:p w14:paraId="73350183"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538800BD" w14:textId="77777777" w:rsidR="00BB532F" w:rsidRPr="00A8245E" w:rsidRDefault="00BB532F" w:rsidP="00BD7BA7">
            <w:pPr>
              <w:pStyle w:val="TableText"/>
              <w:keepNext/>
              <w:rPr>
                <w:b/>
              </w:rPr>
            </w:pPr>
          </w:p>
        </w:tc>
      </w:tr>
      <w:tr w:rsidR="00BB532F" w:rsidRPr="00C978B9" w14:paraId="00612F3B" w14:textId="77777777" w:rsidTr="00CE105E">
        <w:tc>
          <w:tcPr>
            <w:tcW w:w="3601" w:type="dxa"/>
            <w:tcBorders>
              <w:top w:val="single" w:sz="8" w:space="0" w:color="auto"/>
              <w:bottom w:val="single" w:sz="8" w:space="0" w:color="BCBEC0"/>
            </w:tcBorders>
          </w:tcPr>
          <w:p w14:paraId="16561A4B" w14:textId="77777777" w:rsidR="00BB532F" w:rsidRPr="00A15CDB" w:rsidRDefault="001336E8" w:rsidP="002B1F76">
            <w:pPr>
              <w:pStyle w:val="TableText"/>
            </w:pPr>
            <w:r>
              <w:t>Stakeholders/clients</w:t>
            </w:r>
          </w:p>
        </w:tc>
        <w:tc>
          <w:tcPr>
            <w:tcW w:w="6986" w:type="dxa"/>
            <w:tcBorders>
              <w:top w:val="single" w:sz="8" w:space="0" w:color="auto"/>
              <w:bottom w:val="single" w:sz="8" w:space="0" w:color="BCBEC0"/>
            </w:tcBorders>
          </w:tcPr>
          <w:p w14:paraId="003B5CBB" w14:textId="77777777" w:rsidR="00BB532F" w:rsidRPr="00A15CDB" w:rsidRDefault="001336E8" w:rsidP="00022223">
            <w:pPr>
              <w:pStyle w:val="TableText"/>
              <w:numPr>
                <w:ilvl w:val="0"/>
                <w:numId w:val="3"/>
              </w:numPr>
            </w:pPr>
            <w:r>
              <w:t>Develop and maintain effective relationships with stakeholders and explore collaborative opportunities and other partnerships to increase community participation and engagement and promote the products, services and programs of NPWS.</w:t>
            </w:r>
          </w:p>
        </w:tc>
      </w:tr>
      <w:tr w:rsidR="00BB532F" w:rsidRPr="00C978B9" w14:paraId="310C77A3" w14:textId="77777777" w:rsidTr="00CE105E">
        <w:tc>
          <w:tcPr>
            <w:tcW w:w="3601" w:type="dxa"/>
            <w:tcBorders>
              <w:top w:val="single" w:sz="8" w:space="0" w:color="auto"/>
              <w:bottom w:val="single" w:sz="8" w:space="0" w:color="BCBEC0"/>
            </w:tcBorders>
          </w:tcPr>
          <w:p w14:paraId="2B5D8DE1" w14:textId="77777777" w:rsidR="00BB532F" w:rsidRPr="00A15CDB" w:rsidRDefault="001336E8" w:rsidP="002B1F76">
            <w:pPr>
              <w:pStyle w:val="TableText"/>
            </w:pPr>
            <w:r>
              <w:t>Local community</w:t>
            </w:r>
          </w:p>
        </w:tc>
        <w:tc>
          <w:tcPr>
            <w:tcW w:w="6986" w:type="dxa"/>
            <w:tcBorders>
              <w:top w:val="single" w:sz="8" w:space="0" w:color="auto"/>
              <w:bottom w:val="single" w:sz="8" w:space="0" w:color="BCBEC0"/>
            </w:tcBorders>
          </w:tcPr>
          <w:p w14:paraId="3F18AF5E" w14:textId="77777777" w:rsidR="00BB532F" w:rsidRPr="00A15CDB" w:rsidRDefault="001336E8" w:rsidP="00022223">
            <w:pPr>
              <w:pStyle w:val="TableText"/>
              <w:numPr>
                <w:ilvl w:val="0"/>
                <w:numId w:val="3"/>
              </w:numPr>
            </w:pPr>
            <w:r>
              <w:t>Consult and collaborate on local environmental and related issues, provide advice and exchange information.</w:t>
            </w:r>
          </w:p>
        </w:tc>
      </w:tr>
    </w:tbl>
    <w:p w14:paraId="46567923" w14:textId="77777777" w:rsidR="00BB532F" w:rsidRDefault="00BB532F"/>
    <w:p w14:paraId="7E721425" w14:textId="77777777" w:rsidR="00603D53" w:rsidRDefault="00603D53" w:rsidP="00614552">
      <w:pPr>
        <w:pStyle w:val="Heading1"/>
        <w:rPr>
          <w:sz w:val="28"/>
        </w:rPr>
      </w:pPr>
      <w:r w:rsidRPr="00614552">
        <w:t>Role dimensions</w:t>
      </w:r>
    </w:p>
    <w:p w14:paraId="797BC6E0" w14:textId="77777777" w:rsidR="00603D53" w:rsidRPr="00614552" w:rsidRDefault="00603D53" w:rsidP="00614552">
      <w:pPr>
        <w:pStyle w:val="Heading2"/>
      </w:pPr>
      <w:r w:rsidRPr="00614552">
        <w:t>Decision making</w:t>
      </w:r>
    </w:p>
    <w:p w14:paraId="1C896DE6" w14:textId="77777777" w:rsidR="006B1C17" w:rsidRDefault="00603D53">
      <w:pPr>
        <w:rPr>
          <w:rFonts w:cs="Arial"/>
          <w:szCs w:val="26"/>
        </w:rPr>
      </w:pPr>
      <w:r w:rsidRPr="00603D53">
        <w:rPr>
          <w:rFonts w:cs="Arial"/>
          <w:szCs w:val="26"/>
        </w:rPr>
        <w:t xml:space="preserve">The Manager (Area) operates with a high level of autonomy and is expected to determine key operational objectives in consultation with the Director. It is responsible for the </w:t>
      </w:r>
      <w:proofErr w:type="gramStart"/>
      <w:r w:rsidRPr="00603D53">
        <w:rPr>
          <w:rFonts w:cs="Arial"/>
          <w:szCs w:val="26"/>
        </w:rPr>
        <w:t>day to day</w:t>
      </w:r>
      <w:proofErr w:type="gramEnd"/>
      <w:r w:rsidRPr="00603D53">
        <w:rPr>
          <w:rFonts w:cs="Arial"/>
          <w:szCs w:val="26"/>
        </w:rPr>
        <w:t xml:space="preserve"> management of staff, including assigning work and reviewing performance objectives.  </w:t>
      </w:r>
    </w:p>
    <w:p w14:paraId="5F49C108" w14:textId="77777777" w:rsidR="006B1C17" w:rsidRDefault="00603D53">
      <w:pPr>
        <w:rPr>
          <w:rFonts w:cs="Arial"/>
          <w:szCs w:val="26"/>
        </w:rPr>
      </w:pPr>
      <w:r w:rsidRPr="00603D53">
        <w:rPr>
          <w:rFonts w:cs="Arial"/>
          <w:szCs w:val="26"/>
        </w:rPr>
        <w:t xml:space="preserve">The role is required to exercise authority and make independent decisions, whilst ensuring it collaborates with stakeholders to gather a diverse range of information and views prior to making decisions. The role is fully and individually accountable for the quality, integrity and validity of advice provided, and for the successful delivery of projects/programs on time and within budget. </w:t>
      </w:r>
    </w:p>
    <w:p w14:paraId="2B7F3DC1" w14:textId="77777777" w:rsidR="00603D53" w:rsidRPr="00603D53" w:rsidRDefault="00603D53">
      <w:pPr>
        <w:rPr>
          <w:rFonts w:cs="Arial"/>
          <w:szCs w:val="26"/>
        </w:rPr>
      </w:pPr>
      <w:r w:rsidRPr="00603D53">
        <w:rPr>
          <w:rFonts w:cs="Arial"/>
          <w:szCs w:val="26"/>
        </w:rPr>
        <w:t>The Manager (Area) consults with the Director on issues that are controversial, sensitive, may have adverse ramifications or cause significant variations to projects and programs.</w:t>
      </w:r>
    </w:p>
    <w:p w14:paraId="4B70D387" w14:textId="77777777" w:rsidR="00603D53" w:rsidRPr="00614552" w:rsidRDefault="00603D53" w:rsidP="00614552">
      <w:pPr>
        <w:pStyle w:val="Heading2"/>
      </w:pPr>
      <w:r w:rsidRPr="00614552">
        <w:t>Reporting line</w:t>
      </w:r>
    </w:p>
    <w:p w14:paraId="426FC7A5" w14:textId="77777777" w:rsidR="00603D53" w:rsidRPr="00603D53" w:rsidRDefault="00603D53">
      <w:pPr>
        <w:rPr>
          <w:rFonts w:cs="Arial"/>
          <w:szCs w:val="26"/>
        </w:rPr>
      </w:pPr>
      <w:r w:rsidRPr="00603D53">
        <w:rPr>
          <w:rFonts w:cs="Arial"/>
          <w:szCs w:val="26"/>
        </w:rPr>
        <w:t>The role reports to the allocated Branch Director.</w:t>
      </w:r>
    </w:p>
    <w:p w14:paraId="554AEA78" w14:textId="77777777" w:rsidR="00603D53" w:rsidRPr="00614552" w:rsidRDefault="00603D53" w:rsidP="00614552">
      <w:pPr>
        <w:pStyle w:val="Heading2"/>
      </w:pPr>
      <w:r w:rsidRPr="00614552">
        <w:t>Direct reports</w:t>
      </w:r>
    </w:p>
    <w:p w14:paraId="3611DC27" w14:textId="77777777" w:rsidR="00603D53" w:rsidRPr="00603D53" w:rsidRDefault="00603D53">
      <w:pPr>
        <w:rPr>
          <w:rFonts w:cs="Arial"/>
          <w:szCs w:val="26"/>
        </w:rPr>
      </w:pPr>
      <w:r w:rsidRPr="00603D53">
        <w:rPr>
          <w:rFonts w:cs="Arial"/>
          <w:szCs w:val="26"/>
        </w:rPr>
        <w:t>There are between four (4) to seven (7) direct reports.</w:t>
      </w:r>
    </w:p>
    <w:p w14:paraId="6637A6D9" w14:textId="77777777" w:rsidR="00603D53" w:rsidRPr="00614552" w:rsidRDefault="00603D53" w:rsidP="00614552">
      <w:pPr>
        <w:pStyle w:val="Heading2"/>
      </w:pPr>
      <w:r w:rsidRPr="00614552">
        <w:t>Budget/Expenditure</w:t>
      </w:r>
    </w:p>
    <w:p w14:paraId="0008B524" w14:textId="77777777" w:rsidR="00603D53" w:rsidRPr="00603D53" w:rsidRDefault="00603D53">
      <w:pPr>
        <w:rPr>
          <w:rFonts w:cs="Arial"/>
          <w:szCs w:val="26"/>
        </w:rPr>
      </w:pPr>
      <w:r w:rsidRPr="00603D53">
        <w:rPr>
          <w:rFonts w:cs="Arial"/>
          <w:szCs w:val="26"/>
        </w:rPr>
        <w:t>TBC</w:t>
      </w:r>
    </w:p>
    <w:p w14:paraId="6919E58A" w14:textId="108AB312" w:rsidR="00205A8A" w:rsidRDefault="00205A8A" w:rsidP="00205A8A">
      <w:pPr>
        <w:tabs>
          <w:tab w:val="left" w:pos="2925"/>
        </w:tabs>
        <w:rPr>
          <w:rStyle w:val="Heading1Char"/>
        </w:rPr>
      </w:pPr>
      <w:r w:rsidRPr="00614552">
        <w:rPr>
          <w:rStyle w:val="Heading1Char"/>
        </w:rPr>
        <w:t>Essential requirements</w:t>
      </w:r>
    </w:p>
    <w:p w14:paraId="4C4AB52D" w14:textId="77777777" w:rsidR="00837820" w:rsidRPr="00F86843" w:rsidRDefault="00837820" w:rsidP="00837820">
      <w:pPr>
        <w:pStyle w:val="ListParagraph"/>
        <w:numPr>
          <w:ilvl w:val="0"/>
          <w:numId w:val="4"/>
        </w:numPr>
        <w:tabs>
          <w:tab w:val="left" w:pos="2925"/>
        </w:tabs>
        <w:rPr>
          <w:rFonts w:ascii="Georgia" w:hAnsi="Georgia"/>
        </w:rPr>
      </w:pPr>
      <w:r w:rsidRPr="00F86843">
        <w:rPr>
          <w:rFonts w:cs="Arial"/>
        </w:rPr>
        <w:t xml:space="preserve">Extensive experience managing diverse, </w:t>
      </w:r>
      <w:proofErr w:type="gramStart"/>
      <w:r w:rsidRPr="00F86843">
        <w:rPr>
          <w:rFonts w:cs="Arial"/>
        </w:rPr>
        <w:t>dispersed</w:t>
      </w:r>
      <w:proofErr w:type="gramEnd"/>
      <w:r w:rsidRPr="00F86843">
        <w:rPr>
          <w:rFonts w:cs="Arial"/>
        </w:rPr>
        <w:t xml:space="preserve"> and multi-disciplinary teams in a dynamic and changing environment.</w:t>
      </w:r>
    </w:p>
    <w:p w14:paraId="69155237" w14:textId="77777777" w:rsidR="00837820" w:rsidRPr="00F86843" w:rsidRDefault="00837820" w:rsidP="00837820">
      <w:pPr>
        <w:pStyle w:val="ListParagraph"/>
        <w:numPr>
          <w:ilvl w:val="0"/>
          <w:numId w:val="4"/>
        </w:numPr>
        <w:tabs>
          <w:tab w:val="left" w:pos="2925"/>
        </w:tabs>
        <w:rPr>
          <w:rFonts w:cs="Arial"/>
        </w:rPr>
      </w:pPr>
      <w:r w:rsidRPr="00F86843">
        <w:rPr>
          <w:rFonts w:cs="Arial"/>
        </w:rPr>
        <w:lastRenderedPageBreak/>
        <w:t xml:space="preserve">Demonstrated ability to plan and deliver a diverse range of park management operations and visitor services aligned to strategic </w:t>
      </w:r>
      <w:proofErr w:type="spellStart"/>
      <w:r w:rsidRPr="00F86843">
        <w:rPr>
          <w:rFonts w:cs="Arial"/>
        </w:rPr>
        <w:t>organisational</w:t>
      </w:r>
      <w:proofErr w:type="spellEnd"/>
      <w:r w:rsidRPr="00F86843">
        <w:rPr>
          <w:rFonts w:cs="Arial"/>
        </w:rPr>
        <w:t xml:space="preserve"> outcomes and competence in incident management planning and control.</w:t>
      </w:r>
    </w:p>
    <w:p w14:paraId="72000422" w14:textId="77777777" w:rsidR="00837820" w:rsidRPr="00F86843" w:rsidRDefault="00837820" w:rsidP="00837820">
      <w:pPr>
        <w:pStyle w:val="ListParagraph"/>
        <w:numPr>
          <w:ilvl w:val="0"/>
          <w:numId w:val="4"/>
        </w:numPr>
        <w:tabs>
          <w:tab w:val="left" w:pos="2925"/>
        </w:tabs>
        <w:rPr>
          <w:rFonts w:ascii="Georgia" w:hAnsi="Georgia"/>
        </w:rPr>
      </w:pPr>
      <w:r w:rsidRPr="00F86843">
        <w:rPr>
          <w:rFonts w:cs="Arial"/>
        </w:rPr>
        <w:t xml:space="preserve">Extensive experience and proven ability to exercise sound judgement in working in a senior function including the provision of advice on management of various issues and provision of </w:t>
      </w:r>
      <w:proofErr w:type="gramStart"/>
      <w:r w:rsidRPr="00F86843">
        <w:rPr>
          <w:rFonts w:cs="Arial"/>
        </w:rPr>
        <w:t>high level</w:t>
      </w:r>
      <w:proofErr w:type="gramEnd"/>
      <w:r w:rsidRPr="00F86843">
        <w:rPr>
          <w:rFonts w:cs="Arial"/>
        </w:rPr>
        <w:t xml:space="preserve"> support.</w:t>
      </w:r>
    </w:p>
    <w:p w14:paraId="05AB8BBC" w14:textId="77777777" w:rsidR="00837820" w:rsidRPr="00F86843" w:rsidRDefault="00837820" w:rsidP="00837820">
      <w:pPr>
        <w:pStyle w:val="ListParagraph"/>
        <w:numPr>
          <w:ilvl w:val="0"/>
          <w:numId w:val="4"/>
        </w:numPr>
        <w:tabs>
          <w:tab w:val="left" w:pos="2925"/>
        </w:tabs>
        <w:rPr>
          <w:rFonts w:cs="Arial"/>
        </w:rPr>
      </w:pPr>
      <w:r w:rsidRPr="00F86843">
        <w:rPr>
          <w:rFonts w:cs="Arial"/>
        </w:rPr>
        <w:t>Proven ability to work in collaboration with local communities and key stakeholders.</w:t>
      </w:r>
    </w:p>
    <w:p w14:paraId="211C56AF" w14:textId="77777777" w:rsidR="00837820" w:rsidRDefault="00837820" w:rsidP="00837820">
      <w:pPr>
        <w:pStyle w:val="ListParagraph"/>
        <w:numPr>
          <w:ilvl w:val="0"/>
          <w:numId w:val="4"/>
        </w:numPr>
        <w:tabs>
          <w:tab w:val="left" w:pos="2925"/>
        </w:tabs>
        <w:rPr>
          <w:rFonts w:cs="Arial"/>
        </w:rPr>
      </w:pPr>
      <w:r w:rsidRPr="00F86843">
        <w:rPr>
          <w:rFonts w:cs="Arial"/>
        </w:rPr>
        <w:t>Demonstrated ability to work with Aboriginal communities to deliver cultural and environmental outcomes; and/or demonstrated ability in working with Aboriginal boards and committees under joint management arrangements.</w:t>
      </w:r>
    </w:p>
    <w:p w14:paraId="1EC0B0C4" w14:textId="3141DDBB" w:rsidR="00BE3FAF" w:rsidRPr="00C93DCC" w:rsidRDefault="00BE3FAF" w:rsidP="00F86843">
      <w:pPr>
        <w:pStyle w:val="ListParagraph"/>
        <w:numPr>
          <w:ilvl w:val="0"/>
          <w:numId w:val="4"/>
        </w:numPr>
        <w:tabs>
          <w:tab w:val="left" w:pos="2925"/>
        </w:tabs>
        <w:rPr>
          <w:rFonts w:cs="Arial"/>
        </w:rPr>
      </w:pPr>
      <w:r>
        <w:t xml:space="preserve">Current NSW Driver’s </w:t>
      </w:r>
      <w:proofErr w:type="spellStart"/>
      <w:r>
        <w:t>Licence</w:t>
      </w:r>
      <w:proofErr w:type="spellEnd"/>
      <w:r w:rsidR="00F174E5">
        <w:t>.</w:t>
      </w:r>
    </w:p>
    <w:p w14:paraId="2D7A179D" w14:textId="77777777" w:rsidR="00C93DCC" w:rsidRPr="00C978B9" w:rsidRDefault="00C93DCC" w:rsidP="00C93DCC">
      <w:pPr>
        <w:pStyle w:val="Heading1"/>
      </w:pPr>
      <w:r w:rsidRPr="00C978B9">
        <w:t>Capabilities for the role</w:t>
      </w:r>
    </w:p>
    <w:p w14:paraId="3FE8BC2D" w14:textId="77777777" w:rsidR="00C93DCC" w:rsidRPr="00175AAF" w:rsidRDefault="00C93DCC" w:rsidP="00C93DCC">
      <w:r w:rsidRPr="00C93DCC">
        <w:t xml:space="preserve">The </w:t>
      </w:r>
      <w:hyperlink r:id="rId11" w:history="1">
        <w:r w:rsidRPr="00C93DCC">
          <w:rPr>
            <w:rStyle w:val="Hyperlink"/>
            <w:sz w:val="22"/>
          </w:rPr>
          <w:t>NSW public sector capability framework</w:t>
        </w:r>
      </w:hyperlink>
      <w:r w:rsidRPr="00C93DCC">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E87D187" w14:textId="77777777" w:rsidR="00C93DCC" w:rsidRPr="00175AAF" w:rsidRDefault="00C93DCC" w:rsidP="00C93DCC">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B7E1750" w14:textId="77777777" w:rsidR="00C93DCC" w:rsidRPr="00C978B9" w:rsidRDefault="00C93DCC" w:rsidP="00C93DCC">
      <w:pPr>
        <w:pStyle w:val="Heading1"/>
      </w:pPr>
      <w:r w:rsidRPr="00C978B9">
        <w:t xml:space="preserve">Focus </w:t>
      </w:r>
      <w:r>
        <w:t>c</w:t>
      </w:r>
      <w:r w:rsidRPr="00C978B9">
        <w:t>apabilities</w:t>
      </w:r>
    </w:p>
    <w:p w14:paraId="4F5127C9" w14:textId="77777777" w:rsidR="00C93DCC" w:rsidRDefault="00C93DCC" w:rsidP="00C93DCC">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7702E0C" w14:textId="77777777" w:rsidR="00C93DCC" w:rsidRDefault="00C93DCC" w:rsidP="00C93DCC">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6556EFA9" w14:textId="77777777" w:rsidR="00C93DCC" w:rsidRPr="00BB12E9" w:rsidRDefault="00C93DCC" w:rsidP="00C93DCC">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93DCC" w:rsidRPr="00803E47" w14:paraId="35EED198" w14:textId="77777777" w:rsidTr="002A4A9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335118B" w14:textId="77777777" w:rsidR="00C93DCC" w:rsidRPr="00803E47" w:rsidRDefault="00C93DCC" w:rsidP="002A4A94">
            <w:pPr>
              <w:pStyle w:val="TableTextWhite0"/>
              <w:keepNext/>
              <w:jc w:val="both"/>
            </w:pPr>
            <w:r w:rsidRPr="00051E80">
              <w:rPr>
                <w:sz w:val="24"/>
                <w:szCs w:val="24"/>
              </w:rPr>
              <w:t>FOCUS CAPABILITIES</w:t>
            </w:r>
          </w:p>
        </w:tc>
      </w:tr>
      <w:tr w:rsidR="00C93DCC" w:rsidRPr="00C978B9" w14:paraId="7D80BF90" w14:textId="77777777" w:rsidTr="002A4A9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5EB94BA" w14:textId="77777777" w:rsidR="00C93DCC" w:rsidRPr="00C978B9" w:rsidRDefault="00C93DCC" w:rsidP="002A4A94">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9B57B9C" w14:textId="77777777" w:rsidR="00C93DCC" w:rsidRPr="00C978B9" w:rsidRDefault="00C93DCC" w:rsidP="002A4A9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253F9EC" w14:textId="77777777" w:rsidR="00C93DCC" w:rsidRDefault="00C93DCC" w:rsidP="002A4A94">
            <w:pPr>
              <w:pStyle w:val="TableText"/>
              <w:keepNext/>
              <w:rPr>
                <w:b/>
              </w:rPr>
            </w:pPr>
          </w:p>
        </w:tc>
        <w:tc>
          <w:tcPr>
            <w:tcW w:w="4770" w:type="dxa"/>
            <w:tcBorders>
              <w:bottom w:val="single" w:sz="12" w:space="0" w:color="auto"/>
            </w:tcBorders>
            <w:shd w:val="clear" w:color="auto" w:fill="BCBEC0"/>
          </w:tcPr>
          <w:p w14:paraId="0AA79BF1" w14:textId="77777777" w:rsidR="00C93DCC" w:rsidRDefault="00C93DCC" w:rsidP="002A4A94">
            <w:pPr>
              <w:pStyle w:val="TableText"/>
              <w:keepNext/>
              <w:rPr>
                <w:b/>
              </w:rPr>
            </w:pPr>
            <w:r>
              <w:rPr>
                <w:b/>
              </w:rPr>
              <w:t>Behavioural indicators</w:t>
            </w:r>
          </w:p>
        </w:tc>
        <w:tc>
          <w:tcPr>
            <w:tcW w:w="1606" w:type="dxa"/>
            <w:tcBorders>
              <w:bottom w:val="single" w:sz="12" w:space="0" w:color="auto"/>
            </w:tcBorders>
            <w:shd w:val="clear" w:color="auto" w:fill="BCBEC0"/>
          </w:tcPr>
          <w:p w14:paraId="5B1631C8" w14:textId="77777777" w:rsidR="00C93DCC" w:rsidRDefault="00C93DCC" w:rsidP="002A4A94">
            <w:pPr>
              <w:pStyle w:val="TableText"/>
              <w:keepNext/>
              <w:jc w:val="both"/>
              <w:rPr>
                <w:b/>
              </w:rPr>
            </w:pPr>
            <w:r>
              <w:rPr>
                <w:b/>
              </w:rPr>
              <w:t xml:space="preserve">Level </w:t>
            </w:r>
          </w:p>
        </w:tc>
      </w:tr>
      <w:tr w:rsidR="00C93DCC" w:rsidRPr="00C978B9" w14:paraId="24C7BD06" w14:textId="77777777" w:rsidTr="002A4A94">
        <w:tc>
          <w:tcPr>
            <w:tcW w:w="1406" w:type="dxa"/>
            <w:vMerge w:val="restart"/>
            <w:tcBorders>
              <w:bottom w:val="single" w:sz="4" w:space="0" w:color="BCBEC0"/>
            </w:tcBorders>
          </w:tcPr>
          <w:p w14:paraId="4F41E575" w14:textId="77777777" w:rsidR="00C93DCC" w:rsidRPr="00C978B9" w:rsidRDefault="00C93DCC" w:rsidP="002A4A94">
            <w:pPr>
              <w:keepNext/>
            </w:pPr>
            <w:r w:rsidRPr="00C978B9">
              <w:rPr>
                <w:noProof/>
                <w:lang w:eastAsia="en-AU"/>
              </w:rPr>
              <w:drawing>
                <wp:inline distT="0" distB="0" distL="0" distR="0" wp14:anchorId="27672717" wp14:editId="3B53552D">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E0C93F2" w14:textId="77777777" w:rsidR="00C93DCC" w:rsidRPr="00A8226F" w:rsidRDefault="00C93DCC" w:rsidP="002A4A94">
            <w:pPr>
              <w:pStyle w:val="TableText"/>
              <w:keepNext/>
              <w:rPr>
                <w:b/>
              </w:rPr>
            </w:pPr>
            <w:r>
              <w:rPr>
                <w:b/>
              </w:rPr>
              <w:t>Act with Integrity</w:t>
            </w:r>
          </w:p>
          <w:p w14:paraId="3394679B" w14:textId="77777777" w:rsidR="00C93DCC" w:rsidRPr="00AA57E3" w:rsidRDefault="00C93DCC" w:rsidP="002A4A94">
            <w:pPr>
              <w:pStyle w:val="TableText"/>
              <w:keepNext/>
            </w:pPr>
            <w:r>
              <w:t>Be ethical and professional, and uphold and promote the public sector values</w:t>
            </w:r>
          </w:p>
        </w:tc>
        <w:tc>
          <w:tcPr>
            <w:tcW w:w="4770" w:type="dxa"/>
            <w:tcBorders>
              <w:bottom w:val="single" w:sz="4" w:space="0" w:color="BCBEC0"/>
            </w:tcBorders>
          </w:tcPr>
          <w:p w14:paraId="5F578417" w14:textId="77777777" w:rsidR="00C93DCC" w:rsidRPr="00AA57E3" w:rsidRDefault="00C93DCC" w:rsidP="00C93DCC">
            <w:pPr>
              <w:pStyle w:val="TableBullet"/>
              <w:tabs>
                <w:tab w:val="clear" w:pos="284"/>
                <w:tab w:val="num" w:pos="360"/>
              </w:tabs>
              <w:ind w:left="360" w:hanging="360"/>
            </w:pPr>
            <w:r>
              <w:t>Model the highest standards of ethical and professional behaviour and reinforce their use</w:t>
            </w:r>
          </w:p>
          <w:p w14:paraId="3B735DF1" w14:textId="77777777" w:rsidR="00C93DCC" w:rsidRPr="00AA57E3" w:rsidRDefault="00C93DCC" w:rsidP="00C93DCC">
            <w:pPr>
              <w:pStyle w:val="TableBullet"/>
              <w:tabs>
                <w:tab w:val="clear" w:pos="284"/>
                <w:tab w:val="num" w:pos="360"/>
              </w:tabs>
              <w:ind w:left="360" w:hanging="360"/>
            </w:pPr>
            <w:r>
              <w:t xml:space="preserve">Represent the organisation in an honest, ethical and professional way and set an example for others to </w:t>
            </w:r>
            <w:proofErr w:type="gramStart"/>
            <w:r>
              <w:t>follow</w:t>
            </w:r>
            <w:proofErr w:type="gramEnd"/>
          </w:p>
          <w:p w14:paraId="53E7BC7E" w14:textId="77777777" w:rsidR="00C93DCC" w:rsidRPr="00AA57E3" w:rsidRDefault="00C93DCC" w:rsidP="00C93DCC">
            <w:pPr>
              <w:pStyle w:val="TableBullet"/>
              <w:tabs>
                <w:tab w:val="clear" w:pos="284"/>
                <w:tab w:val="num" w:pos="360"/>
              </w:tabs>
              <w:ind w:left="360" w:hanging="360"/>
            </w:pPr>
            <w:r>
              <w:t>Promote a culture of integrity and professionalism within the organisation and in dealings external to government</w:t>
            </w:r>
          </w:p>
          <w:p w14:paraId="7C3714B9" w14:textId="77777777" w:rsidR="00C93DCC" w:rsidRPr="00AA57E3" w:rsidRDefault="00C93DCC" w:rsidP="00C93DCC">
            <w:pPr>
              <w:pStyle w:val="TableBullet"/>
              <w:tabs>
                <w:tab w:val="clear" w:pos="284"/>
                <w:tab w:val="num" w:pos="360"/>
              </w:tabs>
              <w:ind w:left="360" w:hanging="360"/>
            </w:pPr>
            <w:r>
              <w:t>Monitor ethical practices, standards and systems and reinforce their use</w:t>
            </w:r>
          </w:p>
          <w:p w14:paraId="6822ED13" w14:textId="77777777" w:rsidR="00C93DCC" w:rsidRPr="00AA57E3" w:rsidRDefault="00C93DCC" w:rsidP="00C93DCC">
            <w:pPr>
              <w:pStyle w:val="TableBullet"/>
              <w:tabs>
                <w:tab w:val="clear" w:pos="284"/>
                <w:tab w:val="num" w:pos="360"/>
              </w:tabs>
              <w:ind w:left="360" w:hanging="360"/>
            </w:pPr>
            <w:r>
              <w:t>Act promptly on reported breaches of legislation, policies and guidelines</w:t>
            </w:r>
          </w:p>
        </w:tc>
        <w:tc>
          <w:tcPr>
            <w:tcW w:w="1606" w:type="dxa"/>
            <w:tcBorders>
              <w:bottom w:val="single" w:sz="4" w:space="0" w:color="BCBEC0"/>
            </w:tcBorders>
          </w:tcPr>
          <w:p w14:paraId="1EEDD316" w14:textId="77777777" w:rsidR="00C93DCC" w:rsidRDefault="00C93DCC" w:rsidP="002A4A94">
            <w:pPr>
              <w:pStyle w:val="TableBullet"/>
              <w:numPr>
                <w:ilvl w:val="0"/>
                <w:numId w:val="0"/>
              </w:numPr>
              <w:jc w:val="both"/>
            </w:pPr>
            <w:r>
              <w:t>Advanced</w:t>
            </w:r>
          </w:p>
        </w:tc>
      </w:tr>
      <w:tr w:rsidR="00C93DCC" w:rsidRPr="00C978B9" w14:paraId="673D2731" w14:textId="77777777" w:rsidTr="002A4A94">
        <w:tc>
          <w:tcPr>
            <w:tcW w:w="1406" w:type="dxa"/>
            <w:vMerge w:val="restart"/>
            <w:tcBorders>
              <w:bottom w:val="single" w:sz="4" w:space="0" w:color="BCBEC0"/>
            </w:tcBorders>
          </w:tcPr>
          <w:p w14:paraId="1DAB5457" w14:textId="77777777" w:rsidR="00C93DCC" w:rsidRPr="00C978B9" w:rsidRDefault="00C93DCC" w:rsidP="002A4A94">
            <w:pPr>
              <w:keepNext/>
            </w:pPr>
            <w:r w:rsidRPr="00C978B9">
              <w:rPr>
                <w:noProof/>
                <w:lang w:eastAsia="en-AU"/>
              </w:rPr>
              <w:drawing>
                <wp:inline distT="0" distB="0" distL="0" distR="0" wp14:anchorId="06F7858E" wp14:editId="60CB42C5">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0CF5A2E" w14:textId="77777777" w:rsidR="00C93DCC" w:rsidRPr="00A8226F" w:rsidRDefault="00C93DCC" w:rsidP="002A4A94">
            <w:pPr>
              <w:pStyle w:val="TableText"/>
              <w:keepNext/>
              <w:rPr>
                <w:b/>
              </w:rPr>
            </w:pPr>
            <w:r>
              <w:rPr>
                <w:b/>
              </w:rPr>
              <w:t>Influence and Negotiate</w:t>
            </w:r>
          </w:p>
          <w:p w14:paraId="3DC388FA" w14:textId="77777777" w:rsidR="00C93DCC" w:rsidRPr="00AA57E3" w:rsidRDefault="00C93DCC" w:rsidP="002A4A94">
            <w:pPr>
              <w:pStyle w:val="TableText"/>
              <w:keepNext/>
            </w:pPr>
            <w:r>
              <w:t>Gain consensus and commitment from others, and resolve issues and conflicts</w:t>
            </w:r>
          </w:p>
        </w:tc>
        <w:tc>
          <w:tcPr>
            <w:tcW w:w="4770" w:type="dxa"/>
            <w:tcBorders>
              <w:bottom w:val="single" w:sz="4" w:space="0" w:color="BCBEC0"/>
            </w:tcBorders>
          </w:tcPr>
          <w:p w14:paraId="116AB8BD" w14:textId="77777777" w:rsidR="00C93DCC" w:rsidRPr="00AA57E3" w:rsidRDefault="00C93DCC" w:rsidP="00C93DCC">
            <w:pPr>
              <w:pStyle w:val="TableBullet"/>
              <w:tabs>
                <w:tab w:val="clear" w:pos="284"/>
                <w:tab w:val="num" w:pos="360"/>
              </w:tabs>
              <w:ind w:left="360" w:hanging="360"/>
            </w:pPr>
            <w:r>
              <w:t>Influence others with a fair and considered approach and present persuasive counter-</w:t>
            </w:r>
            <w:proofErr w:type="gramStart"/>
            <w:r>
              <w:t>arguments</w:t>
            </w:r>
            <w:proofErr w:type="gramEnd"/>
          </w:p>
          <w:p w14:paraId="463DDCF0" w14:textId="77777777" w:rsidR="00C93DCC" w:rsidRPr="00AA57E3" w:rsidRDefault="00C93DCC" w:rsidP="00C93DCC">
            <w:pPr>
              <w:pStyle w:val="TableBullet"/>
              <w:tabs>
                <w:tab w:val="clear" w:pos="284"/>
                <w:tab w:val="num" w:pos="360"/>
              </w:tabs>
              <w:ind w:left="360" w:hanging="360"/>
            </w:pPr>
            <w:r>
              <w:t>Work towards mutually beneficial ‘win-win’ outcomes</w:t>
            </w:r>
          </w:p>
          <w:p w14:paraId="4E51B875" w14:textId="77777777" w:rsidR="00C93DCC" w:rsidRPr="00AA57E3" w:rsidRDefault="00C93DCC" w:rsidP="00C93DCC">
            <w:pPr>
              <w:pStyle w:val="TableBullet"/>
              <w:tabs>
                <w:tab w:val="clear" w:pos="284"/>
                <w:tab w:val="num" w:pos="360"/>
              </w:tabs>
              <w:ind w:left="360" w:hanging="360"/>
            </w:pPr>
            <w:r>
              <w:lastRenderedPageBreak/>
              <w:t>Show sensitivity and understanding in resolving acute and complex conflicts and differences</w:t>
            </w:r>
          </w:p>
          <w:p w14:paraId="301E2F1B" w14:textId="77777777" w:rsidR="00C93DCC" w:rsidRPr="00AA57E3" w:rsidRDefault="00C93DCC" w:rsidP="00C93DCC">
            <w:pPr>
              <w:pStyle w:val="TableBullet"/>
              <w:tabs>
                <w:tab w:val="clear" w:pos="284"/>
                <w:tab w:val="num" w:pos="360"/>
              </w:tabs>
              <w:ind w:left="360" w:hanging="360"/>
            </w:pPr>
            <w:r>
              <w:t>Identify key stakeholders and gain their support in advance</w:t>
            </w:r>
          </w:p>
          <w:p w14:paraId="1101E70B" w14:textId="77777777" w:rsidR="00C93DCC" w:rsidRPr="00AA57E3" w:rsidRDefault="00C93DCC" w:rsidP="00C93DCC">
            <w:pPr>
              <w:pStyle w:val="TableBullet"/>
              <w:tabs>
                <w:tab w:val="clear" w:pos="284"/>
                <w:tab w:val="num" w:pos="360"/>
              </w:tabs>
              <w:ind w:left="360" w:hanging="360"/>
            </w:pPr>
            <w:r>
              <w:t>Establish a clear negotiation position based on research, a firm grasp of key issues, likely arguments, points of difference and areas for compromise</w:t>
            </w:r>
          </w:p>
          <w:p w14:paraId="1109485F" w14:textId="77777777" w:rsidR="00C93DCC" w:rsidRPr="00AA57E3" w:rsidRDefault="00C93DCC" w:rsidP="00C93DCC">
            <w:pPr>
              <w:pStyle w:val="TableBullet"/>
              <w:tabs>
                <w:tab w:val="clear" w:pos="284"/>
                <w:tab w:val="num" w:pos="360"/>
              </w:tabs>
              <w:ind w:left="360" w:hanging="360"/>
            </w:pPr>
            <w:r>
              <w:t>Anticipate and minimise conflict within the organisation and with external stakeholders</w:t>
            </w:r>
          </w:p>
        </w:tc>
        <w:tc>
          <w:tcPr>
            <w:tcW w:w="1606" w:type="dxa"/>
            <w:tcBorders>
              <w:bottom w:val="single" w:sz="4" w:space="0" w:color="BCBEC0"/>
            </w:tcBorders>
          </w:tcPr>
          <w:p w14:paraId="2C2A20E8" w14:textId="77777777" w:rsidR="00C93DCC" w:rsidRDefault="00C93DCC" w:rsidP="002A4A94">
            <w:pPr>
              <w:pStyle w:val="TableBullet"/>
              <w:numPr>
                <w:ilvl w:val="0"/>
                <w:numId w:val="0"/>
              </w:numPr>
              <w:jc w:val="both"/>
            </w:pPr>
            <w:r>
              <w:lastRenderedPageBreak/>
              <w:t>Advanced</w:t>
            </w:r>
          </w:p>
        </w:tc>
      </w:tr>
      <w:tr w:rsidR="00C93DCC" w:rsidRPr="00C978B9" w14:paraId="53F60046" w14:textId="77777777" w:rsidTr="002A4A94">
        <w:tc>
          <w:tcPr>
            <w:tcW w:w="1406" w:type="dxa"/>
            <w:vMerge w:val="restart"/>
            <w:tcBorders>
              <w:bottom w:val="single" w:sz="4" w:space="0" w:color="BCBEC0"/>
            </w:tcBorders>
          </w:tcPr>
          <w:p w14:paraId="30156482" w14:textId="77777777" w:rsidR="00C93DCC" w:rsidRPr="00C978B9" w:rsidRDefault="00C93DCC" w:rsidP="002A4A94">
            <w:pPr>
              <w:keepNext/>
            </w:pPr>
            <w:r w:rsidRPr="00C978B9">
              <w:rPr>
                <w:noProof/>
                <w:lang w:eastAsia="en-AU"/>
              </w:rPr>
              <w:drawing>
                <wp:inline distT="0" distB="0" distL="0" distR="0" wp14:anchorId="70CD6385" wp14:editId="126FCAFF">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FBDA3AC" w14:textId="77777777" w:rsidR="00C93DCC" w:rsidRPr="00A8226F" w:rsidRDefault="00C93DCC" w:rsidP="002A4A94">
            <w:pPr>
              <w:pStyle w:val="TableText"/>
              <w:keepNext/>
              <w:rPr>
                <w:b/>
              </w:rPr>
            </w:pPr>
            <w:r>
              <w:rPr>
                <w:b/>
              </w:rPr>
              <w:t>Think and Solve Problems</w:t>
            </w:r>
          </w:p>
          <w:p w14:paraId="693CCC28" w14:textId="77777777" w:rsidR="00C93DCC" w:rsidRPr="00AA57E3" w:rsidRDefault="00C93DCC" w:rsidP="002A4A94">
            <w:pPr>
              <w:pStyle w:val="TableText"/>
              <w:keepNext/>
            </w:pPr>
            <w:r>
              <w:t>Think, analyse and consider the broader context to develop practical solutions</w:t>
            </w:r>
          </w:p>
        </w:tc>
        <w:tc>
          <w:tcPr>
            <w:tcW w:w="4770" w:type="dxa"/>
            <w:tcBorders>
              <w:bottom w:val="single" w:sz="4" w:space="0" w:color="BCBEC0"/>
            </w:tcBorders>
          </w:tcPr>
          <w:p w14:paraId="5C711018" w14:textId="77777777" w:rsidR="00C93DCC" w:rsidRPr="00AA57E3" w:rsidRDefault="00C93DCC" w:rsidP="00C93DCC">
            <w:pPr>
              <w:pStyle w:val="TableBullet"/>
              <w:tabs>
                <w:tab w:val="clear" w:pos="284"/>
                <w:tab w:val="num" w:pos="360"/>
              </w:tabs>
              <w:ind w:left="360" w:hanging="360"/>
            </w:pPr>
            <w:r>
              <w:t>Undertake objective, critical analysis to draw accurate conclusions that recognise and manage contextual issues</w:t>
            </w:r>
          </w:p>
          <w:p w14:paraId="78834254" w14:textId="77777777" w:rsidR="00C93DCC" w:rsidRPr="00AA57E3" w:rsidRDefault="00C93DCC" w:rsidP="00C93DCC">
            <w:pPr>
              <w:pStyle w:val="TableBullet"/>
              <w:tabs>
                <w:tab w:val="clear" w:pos="284"/>
                <w:tab w:val="num" w:pos="360"/>
              </w:tabs>
              <w:ind w:left="360" w:hanging="360"/>
            </w:pPr>
            <w:r>
              <w:t>Work through issues, weigh up alternatives and identify the most effective solutions in collaboration with others</w:t>
            </w:r>
          </w:p>
          <w:p w14:paraId="5E949A02" w14:textId="77777777" w:rsidR="00C93DCC" w:rsidRPr="00AA57E3" w:rsidRDefault="00C93DCC" w:rsidP="00C93DCC">
            <w:pPr>
              <w:pStyle w:val="TableBullet"/>
              <w:tabs>
                <w:tab w:val="clear" w:pos="284"/>
                <w:tab w:val="num" w:pos="360"/>
              </w:tabs>
              <w:ind w:left="360" w:hanging="360"/>
            </w:pPr>
            <w:r>
              <w:t>Take account of the wider business context when considering options to resolve issues</w:t>
            </w:r>
          </w:p>
          <w:p w14:paraId="05E5248F" w14:textId="77777777" w:rsidR="00C93DCC" w:rsidRPr="00AA57E3" w:rsidRDefault="00C93DCC" w:rsidP="00C93DCC">
            <w:pPr>
              <w:pStyle w:val="TableBullet"/>
              <w:tabs>
                <w:tab w:val="clear" w:pos="284"/>
                <w:tab w:val="num" w:pos="360"/>
              </w:tabs>
              <w:ind w:left="360" w:hanging="360"/>
            </w:pPr>
            <w:r>
              <w:t xml:space="preserve">Explore a range of possibilities and creative alternatives to contribute to system, process and business </w:t>
            </w:r>
            <w:proofErr w:type="gramStart"/>
            <w:r>
              <w:t>improvements</w:t>
            </w:r>
            <w:proofErr w:type="gramEnd"/>
          </w:p>
          <w:p w14:paraId="42B82FA8" w14:textId="77777777" w:rsidR="00C93DCC" w:rsidRPr="00AA57E3" w:rsidRDefault="00C93DCC" w:rsidP="00C93DCC">
            <w:pPr>
              <w:pStyle w:val="TableBullet"/>
              <w:tabs>
                <w:tab w:val="clear" w:pos="284"/>
                <w:tab w:val="num" w:pos="360"/>
              </w:tabs>
              <w:ind w:left="360" w:hanging="360"/>
            </w:pPr>
            <w:r>
              <w:t>Implement systems and processes that are underpinned by high-quality research and analysis</w:t>
            </w:r>
          </w:p>
          <w:p w14:paraId="2F09123B" w14:textId="77777777" w:rsidR="00C93DCC" w:rsidRPr="00AA57E3" w:rsidRDefault="00C93DCC" w:rsidP="00C93DCC">
            <w:pPr>
              <w:pStyle w:val="TableBullet"/>
              <w:tabs>
                <w:tab w:val="clear" w:pos="284"/>
                <w:tab w:val="num" w:pos="360"/>
              </w:tabs>
              <w:ind w:left="360" w:hanging="360"/>
            </w:pPr>
            <w:r>
              <w:t>Look for opportunities to design innovative solutions to meet user needs and service demands</w:t>
            </w:r>
          </w:p>
          <w:p w14:paraId="0A0D1EE1" w14:textId="77777777" w:rsidR="00C93DCC" w:rsidRPr="00AA57E3" w:rsidRDefault="00C93DCC" w:rsidP="00C93DCC">
            <w:pPr>
              <w:pStyle w:val="TableBullet"/>
              <w:tabs>
                <w:tab w:val="clear" w:pos="284"/>
                <w:tab w:val="num" w:pos="360"/>
              </w:tabs>
              <w:ind w:left="360" w:hanging="360"/>
            </w:pPr>
            <w:r>
              <w:t>Evaluate the performance and effectiveness of services, policies and programs against clear criteria</w:t>
            </w:r>
          </w:p>
        </w:tc>
        <w:tc>
          <w:tcPr>
            <w:tcW w:w="1606" w:type="dxa"/>
            <w:tcBorders>
              <w:bottom w:val="single" w:sz="4" w:space="0" w:color="BCBEC0"/>
            </w:tcBorders>
          </w:tcPr>
          <w:p w14:paraId="34664F1E" w14:textId="77777777" w:rsidR="00C93DCC" w:rsidRDefault="00C93DCC" w:rsidP="002A4A94">
            <w:pPr>
              <w:pStyle w:val="TableBullet"/>
              <w:numPr>
                <w:ilvl w:val="0"/>
                <w:numId w:val="0"/>
              </w:numPr>
              <w:jc w:val="both"/>
            </w:pPr>
            <w:r>
              <w:t>Advanced</w:t>
            </w:r>
          </w:p>
        </w:tc>
      </w:tr>
      <w:tr w:rsidR="00C93DCC" w:rsidRPr="00C978B9" w14:paraId="7D9B60C5" w14:textId="77777777" w:rsidTr="002A4A94">
        <w:tc>
          <w:tcPr>
            <w:tcW w:w="1406" w:type="dxa"/>
            <w:vMerge w:val="restart"/>
            <w:tcBorders>
              <w:bottom w:val="single" w:sz="4" w:space="0" w:color="BCBEC0"/>
            </w:tcBorders>
          </w:tcPr>
          <w:p w14:paraId="1F75571F" w14:textId="77777777" w:rsidR="00C93DCC" w:rsidRPr="00C978B9" w:rsidRDefault="00C93DCC" w:rsidP="002A4A94">
            <w:pPr>
              <w:keepNext/>
            </w:pPr>
            <w:r w:rsidRPr="00C978B9">
              <w:rPr>
                <w:noProof/>
                <w:lang w:eastAsia="en-AU"/>
              </w:rPr>
              <w:drawing>
                <wp:inline distT="0" distB="0" distL="0" distR="0" wp14:anchorId="65CB5ED8" wp14:editId="460265E0">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39C03FE" w14:textId="77777777" w:rsidR="00C93DCC" w:rsidRPr="00A8226F" w:rsidRDefault="00C93DCC" w:rsidP="002A4A94">
            <w:pPr>
              <w:pStyle w:val="TableText"/>
              <w:keepNext/>
              <w:rPr>
                <w:b/>
              </w:rPr>
            </w:pPr>
            <w:r>
              <w:rPr>
                <w:b/>
              </w:rPr>
              <w:t>Finance</w:t>
            </w:r>
          </w:p>
          <w:p w14:paraId="43522F45" w14:textId="77777777" w:rsidR="00C93DCC" w:rsidRPr="00AA57E3" w:rsidRDefault="00C93DCC" w:rsidP="002A4A94">
            <w:pPr>
              <w:pStyle w:val="TableText"/>
              <w:keepNext/>
            </w:pPr>
            <w:r>
              <w:t>Understand and apply financial processes to achieve value for money and minimise financial risk</w:t>
            </w:r>
          </w:p>
        </w:tc>
        <w:tc>
          <w:tcPr>
            <w:tcW w:w="4770" w:type="dxa"/>
            <w:tcBorders>
              <w:bottom w:val="single" w:sz="4" w:space="0" w:color="BCBEC0"/>
            </w:tcBorders>
          </w:tcPr>
          <w:p w14:paraId="42EC379E" w14:textId="77777777" w:rsidR="00C93DCC" w:rsidRPr="00AA57E3" w:rsidRDefault="00C93DCC" w:rsidP="00C93DCC">
            <w:pPr>
              <w:pStyle w:val="TableBullet"/>
              <w:tabs>
                <w:tab w:val="clear" w:pos="284"/>
                <w:tab w:val="num" w:pos="360"/>
              </w:tabs>
              <w:ind w:left="360" w:hanging="360"/>
            </w:pPr>
            <w:r>
              <w:t>Understand core financial terminology, policies and processes, and display knowledge of relevant recurrent and capital financial measures</w:t>
            </w:r>
          </w:p>
          <w:p w14:paraId="7B1E8229" w14:textId="77777777" w:rsidR="00C93DCC" w:rsidRPr="00AA57E3" w:rsidRDefault="00C93DCC" w:rsidP="00C93DCC">
            <w:pPr>
              <w:pStyle w:val="TableBullet"/>
              <w:tabs>
                <w:tab w:val="clear" w:pos="284"/>
                <w:tab w:val="num" w:pos="360"/>
              </w:tabs>
              <w:ind w:left="360" w:hanging="360"/>
            </w:pPr>
            <w:r>
              <w:t>Understand the impacts of funding allocations on business planning and budgets</w:t>
            </w:r>
          </w:p>
          <w:p w14:paraId="5C744FF6" w14:textId="77777777" w:rsidR="00C93DCC" w:rsidRPr="00AA57E3" w:rsidRDefault="00C93DCC" w:rsidP="00C93DCC">
            <w:pPr>
              <w:pStyle w:val="TableBullet"/>
              <w:tabs>
                <w:tab w:val="clear" w:pos="284"/>
                <w:tab w:val="num" w:pos="360"/>
              </w:tabs>
              <w:ind w:left="360" w:hanging="360"/>
            </w:pPr>
            <w:r>
              <w:t>Identify discrepancies or variances in financial and budget reports, and take corrective action</w:t>
            </w:r>
          </w:p>
          <w:p w14:paraId="752C6DF3" w14:textId="77777777" w:rsidR="00C93DCC" w:rsidRPr="00AA57E3" w:rsidRDefault="00C93DCC" w:rsidP="00C93DCC">
            <w:pPr>
              <w:pStyle w:val="TableBullet"/>
              <w:tabs>
                <w:tab w:val="clear" w:pos="284"/>
                <w:tab w:val="num" w:pos="360"/>
              </w:tabs>
              <w:ind w:left="360" w:hanging="360"/>
            </w:pPr>
            <w:r>
              <w:t>Know when to seek specialist advice and support and establish the relevant relationships</w:t>
            </w:r>
          </w:p>
          <w:p w14:paraId="4482FE76" w14:textId="77777777" w:rsidR="00C93DCC" w:rsidRPr="00AA57E3" w:rsidRDefault="00C93DCC" w:rsidP="00C93DCC">
            <w:pPr>
              <w:pStyle w:val="TableBullet"/>
              <w:tabs>
                <w:tab w:val="clear" w:pos="284"/>
                <w:tab w:val="num" w:pos="360"/>
              </w:tabs>
              <w:ind w:left="360" w:hanging="360"/>
            </w:pPr>
            <w:r>
              <w:t>Make decisions and prepare business cases, paying due regard to financial considerations</w:t>
            </w:r>
          </w:p>
        </w:tc>
        <w:tc>
          <w:tcPr>
            <w:tcW w:w="1606" w:type="dxa"/>
            <w:tcBorders>
              <w:bottom w:val="single" w:sz="4" w:space="0" w:color="BCBEC0"/>
            </w:tcBorders>
          </w:tcPr>
          <w:p w14:paraId="7068C005" w14:textId="77777777" w:rsidR="00C93DCC" w:rsidRDefault="00C93DCC" w:rsidP="002A4A94">
            <w:pPr>
              <w:pStyle w:val="TableBullet"/>
              <w:numPr>
                <w:ilvl w:val="0"/>
                <w:numId w:val="0"/>
              </w:numPr>
              <w:jc w:val="both"/>
            </w:pPr>
            <w:r>
              <w:t>Adept</w:t>
            </w:r>
          </w:p>
        </w:tc>
      </w:tr>
      <w:tr w:rsidR="00C93DCC" w:rsidRPr="00C978B9" w14:paraId="175AEEF3" w14:textId="77777777" w:rsidTr="002A4A94">
        <w:tc>
          <w:tcPr>
            <w:tcW w:w="1406" w:type="dxa"/>
            <w:vMerge w:val="restart"/>
            <w:tcBorders>
              <w:bottom w:val="single" w:sz="4" w:space="0" w:color="BCBEC0"/>
            </w:tcBorders>
          </w:tcPr>
          <w:p w14:paraId="4CDC6791" w14:textId="77777777" w:rsidR="00C93DCC" w:rsidRPr="00C978B9" w:rsidRDefault="00C93DCC" w:rsidP="002A4A94">
            <w:pPr>
              <w:keepNext/>
            </w:pPr>
            <w:r w:rsidRPr="00C978B9">
              <w:rPr>
                <w:noProof/>
                <w:lang w:eastAsia="en-AU"/>
              </w:rPr>
              <w:drawing>
                <wp:inline distT="0" distB="0" distL="0" distR="0" wp14:anchorId="650B214F" wp14:editId="7709B2DB">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E7E0536" w14:textId="77777777" w:rsidR="00C93DCC" w:rsidRPr="00A8226F" w:rsidRDefault="00C93DCC" w:rsidP="002A4A94">
            <w:pPr>
              <w:pStyle w:val="TableText"/>
              <w:keepNext/>
              <w:rPr>
                <w:b/>
              </w:rPr>
            </w:pPr>
            <w:r>
              <w:rPr>
                <w:b/>
              </w:rPr>
              <w:t>Manage and Develop People</w:t>
            </w:r>
          </w:p>
          <w:p w14:paraId="039AB2CD" w14:textId="77777777" w:rsidR="00C93DCC" w:rsidRPr="00AA57E3" w:rsidRDefault="00C93DCC" w:rsidP="002A4A94">
            <w:pPr>
              <w:pStyle w:val="TableText"/>
              <w:keepNext/>
            </w:pPr>
            <w:r>
              <w:t>Engage and motivate staff, and develop capability and potential in others</w:t>
            </w:r>
          </w:p>
        </w:tc>
        <w:tc>
          <w:tcPr>
            <w:tcW w:w="4770" w:type="dxa"/>
            <w:tcBorders>
              <w:bottom w:val="single" w:sz="4" w:space="0" w:color="BCBEC0"/>
            </w:tcBorders>
          </w:tcPr>
          <w:p w14:paraId="60CA0F34" w14:textId="77777777" w:rsidR="00C93DCC" w:rsidRPr="00AA57E3" w:rsidRDefault="00C93DCC" w:rsidP="00C93DCC">
            <w:pPr>
              <w:pStyle w:val="TableBullet"/>
              <w:tabs>
                <w:tab w:val="clear" w:pos="284"/>
                <w:tab w:val="num" w:pos="360"/>
              </w:tabs>
              <w:ind w:left="360" w:hanging="360"/>
            </w:pPr>
            <w:r>
              <w:t>Refine roles and responsibilities over time to achieve better business outcomes</w:t>
            </w:r>
          </w:p>
          <w:p w14:paraId="42B62897" w14:textId="77777777" w:rsidR="00C93DCC" w:rsidRPr="00AA57E3" w:rsidRDefault="00C93DCC" w:rsidP="00C93DCC">
            <w:pPr>
              <w:pStyle w:val="TableBullet"/>
              <w:tabs>
                <w:tab w:val="clear" w:pos="284"/>
                <w:tab w:val="num" w:pos="360"/>
              </w:tabs>
              <w:ind w:left="360" w:hanging="360"/>
            </w:pPr>
            <w:r>
              <w:t xml:space="preserve">Recognise talent, develop team capability and undertake succession </w:t>
            </w:r>
            <w:proofErr w:type="gramStart"/>
            <w:r>
              <w:t>planning</w:t>
            </w:r>
            <w:proofErr w:type="gramEnd"/>
          </w:p>
          <w:p w14:paraId="613FF581" w14:textId="77777777" w:rsidR="00C93DCC" w:rsidRPr="00AA57E3" w:rsidRDefault="00C93DCC" w:rsidP="00C93DCC">
            <w:pPr>
              <w:pStyle w:val="TableBullet"/>
              <w:tabs>
                <w:tab w:val="clear" w:pos="284"/>
                <w:tab w:val="num" w:pos="360"/>
              </w:tabs>
              <w:ind w:left="360" w:hanging="360"/>
            </w:pPr>
            <w:r>
              <w:lastRenderedPageBreak/>
              <w:t>Coach and mentor staff and encourage professional development and continuous learning</w:t>
            </w:r>
          </w:p>
          <w:p w14:paraId="6DBA4F18" w14:textId="77777777" w:rsidR="00C93DCC" w:rsidRPr="00AA57E3" w:rsidRDefault="00C93DCC" w:rsidP="00C93DCC">
            <w:pPr>
              <w:pStyle w:val="TableBullet"/>
              <w:tabs>
                <w:tab w:val="clear" w:pos="284"/>
                <w:tab w:val="num" w:pos="360"/>
              </w:tabs>
              <w:ind w:left="360" w:hanging="360"/>
            </w:pPr>
            <w:r>
              <w:t>Prioritise addressing and resolving team and individual performance issues and ensure that this approach is cascaded throughout the organisation</w:t>
            </w:r>
          </w:p>
          <w:p w14:paraId="1F7947E1" w14:textId="77777777" w:rsidR="00C93DCC" w:rsidRPr="00AA57E3" w:rsidRDefault="00C93DCC" w:rsidP="00C93DCC">
            <w:pPr>
              <w:pStyle w:val="TableBullet"/>
              <w:tabs>
                <w:tab w:val="clear" w:pos="284"/>
                <w:tab w:val="num" w:pos="360"/>
              </w:tabs>
              <w:ind w:left="360" w:hanging="360"/>
            </w:pPr>
            <w:r>
              <w:t>Implement performance development frameworks to align workforce capability with the organisation’s current and future priorities and objectives</w:t>
            </w:r>
          </w:p>
        </w:tc>
        <w:tc>
          <w:tcPr>
            <w:tcW w:w="1606" w:type="dxa"/>
            <w:tcBorders>
              <w:bottom w:val="single" w:sz="4" w:space="0" w:color="BCBEC0"/>
            </w:tcBorders>
          </w:tcPr>
          <w:p w14:paraId="0AC73578" w14:textId="77777777" w:rsidR="00C93DCC" w:rsidRDefault="00C93DCC" w:rsidP="002A4A94">
            <w:pPr>
              <w:pStyle w:val="TableBullet"/>
              <w:numPr>
                <w:ilvl w:val="0"/>
                <w:numId w:val="0"/>
              </w:numPr>
              <w:jc w:val="both"/>
            </w:pPr>
            <w:r>
              <w:lastRenderedPageBreak/>
              <w:t>Advanced</w:t>
            </w:r>
          </w:p>
        </w:tc>
      </w:tr>
      <w:tr w:rsidR="00C93DCC" w:rsidRPr="00C978B9" w14:paraId="5A754255" w14:textId="77777777" w:rsidTr="002A4A94">
        <w:tc>
          <w:tcPr>
            <w:tcW w:w="1406" w:type="dxa"/>
            <w:vMerge/>
            <w:tcBorders>
              <w:bottom w:val="single" w:sz="4" w:space="0" w:color="BCBEC0"/>
            </w:tcBorders>
          </w:tcPr>
          <w:p w14:paraId="168D9627" w14:textId="77777777" w:rsidR="00C93DCC" w:rsidRDefault="00C93DCC" w:rsidP="002A4A94">
            <w:pPr>
              <w:keepNext/>
              <w:rPr>
                <w:noProof/>
                <w:lang w:eastAsia="en-AU"/>
              </w:rPr>
            </w:pPr>
          </w:p>
        </w:tc>
        <w:tc>
          <w:tcPr>
            <w:tcW w:w="2971" w:type="dxa"/>
            <w:gridSpan w:val="2"/>
            <w:tcBorders>
              <w:bottom w:val="single" w:sz="4" w:space="0" w:color="BCBEC0"/>
            </w:tcBorders>
          </w:tcPr>
          <w:p w14:paraId="50C620A5" w14:textId="77777777" w:rsidR="00C93DCC" w:rsidRPr="00A8226F" w:rsidRDefault="00C93DCC" w:rsidP="002A4A94">
            <w:pPr>
              <w:pStyle w:val="TableText"/>
              <w:keepNext/>
              <w:rPr>
                <w:b/>
              </w:rPr>
            </w:pPr>
            <w:r>
              <w:rPr>
                <w:b/>
              </w:rPr>
              <w:t>Manage Reform and Change</w:t>
            </w:r>
          </w:p>
          <w:p w14:paraId="5BDF48E9" w14:textId="77777777" w:rsidR="00C93DCC" w:rsidRPr="00A8226F" w:rsidRDefault="00C93DCC" w:rsidP="002A4A94">
            <w:pPr>
              <w:pStyle w:val="TableText"/>
              <w:keepNext/>
              <w:rPr>
                <w:b/>
              </w:rPr>
            </w:pPr>
            <w:r>
              <w:t>Support, promote and champion change, and assist others to engage with change</w:t>
            </w:r>
          </w:p>
        </w:tc>
        <w:tc>
          <w:tcPr>
            <w:tcW w:w="4770" w:type="dxa"/>
            <w:tcBorders>
              <w:bottom w:val="single" w:sz="4" w:space="0" w:color="BCBEC0"/>
            </w:tcBorders>
          </w:tcPr>
          <w:p w14:paraId="45178212" w14:textId="77777777" w:rsidR="00C93DCC" w:rsidRDefault="00C93DCC" w:rsidP="00C93DCC">
            <w:pPr>
              <w:pStyle w:val="TableBullet"/>
              <w:tabs>
                <w:tab w:val="clear" w:pos="284"/>
                <w:tab w:val="num" w:pos="360"/>
              </w:tabs>
              <w:ind w:left="360" w:hanging="360"/>
            </w:pPr>
            <w:r>
              <w:t>Promote change processes and communicate change initiatives across the team or unit</w:t>
            </w:r>
          </w:p>
          <w:p w14:paraId="31E5D7B0" w14:textId="77777777" w:rsidR="00C93DCC" w:rsidRDefault="00C93DCC" w:rsidP="00C93DCC">
            <w:pPr>
              <w:pStyle w:val="TableBullet"/>
              <w:tabs>
                <w:tab w:val="clear" w:pos="284"/>
                <w:tab w:val="num" w:pos="360"/>
              </w:tabs>
              <w:ind w:left="360" w:hanging="360"/>
            </w:pPr>
            <w:r>
              <w:t>Accommodate changing priorities and respond flexibly to uncertainty and ambiguity</w:t>
            </w:r>
          </w:p>
          <w:p w14:paraId="59904B09" w14:textId="77777777" w:rsidR="00C93DCC" w:rsidRDefault="00C93DCC" w:rsidP="00C93DCC">
            <w:pPr>
              <w:pStyle w:val="TableBullet"/>
              <w:tabs>
                <w:tab w:val="clear" w:pos="284"/>
                <w:tab w:val="num" w:pos="360"/>
              </w:tabs>
              <w:ind w:left="360" w:hanging="360"/>
            </w:pPr>
            <w:r>
              <w:t>Support others in managing uncertainty and change</w:t>
            </w:r>
          </w:p>
        </w:tc>
        <w:tc>
          <w:tcPr>
            <w:tcW w:w="1606" w:type="dxa"/>
            <w:tcBorders>
              <w:bottom w:val="single" w:sz="4" w:space="0" w:color="BCBEC0"/>
            </w:tcBorders>
          </w:tcPr>
          <w:p w14:paraId="0F9B78C8" w14:textId="77777777" w:rsidR="00C93DCC" w:rsidRDefault="00C93DCC" w:rsidP="002A4A94">
            <w:pPr>
              <w:pStyle w:val="TableBullet"/>
              <w:numPr>
                <w:ilvl w:val="0"/>
                <w:numId w:val="0"/>
              </w:numPr>
              <w:jc w:val="both"/>
            </w:pPr>
            <w:r>
              <w:t>Intermediate</w:t>
            </w:r>
          </w:p>
        </w:tc>
      </w:tr>
    </w:tbl>
    <w:p w14:paraId="5F7EA120" w14:textId="77777777" w:rsidR="00C93DCC" w:rsidRDefault="00C93DCC" w:rsidP="00090771">
      <w:pPr>
        <w:spacing w:after="0"/>
      </w:pPr>
    </w:p>
    <w:p w14:paraId="17F83832" w14:textId="77777777" w:rsidR="00C93DCC" w:rsidRDefault="00C93DCC" w:rsidP="00090771">
      <w:pPr>
        <w:pStyle w:val="Heading1"/>
        <w:spacing w:after="0"/>
      </w:pPr>
      <w:r>
        <w:t>Complementary capabilities</w:t>
      </w:r>
    </w:p>
    <w:p w14:paraId="28909B66" w14:textId="77777777" w:rsidR="00C93DCC" w:rsidRPr="003927AE" w:rsidRDefault="00C93DCC" w:rsidP="00C93DCC">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EA66B99" w14:textId="77777777" w:rsidR="00C93DCC" w:rsidRDefault="00C93DCC" w:rsidP="00C93DCC">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17ABABA" w14:textId="77777777" w:rsidR="00C93DCC" w:rsidRDefault="00C93DCC" w:rsidP="00C93DCC">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93DCC" w:rsidRPr="00803E47" w14:paraId="6F1D0C0A" w14:textId="77777777" w:rsidTr="002A4A94">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C5A4BDC" w14:textId="77777777" w:rsidR="00C93DCC" w:rsidRPr="00803E47" w:rsidRDefault="00C93DCC" w:rsidP="002A4A94">
            <w:pPr>
              <w:pStyle w:val="TableTextWhite0"/>
              <w:keepNext/>
              <w:jc w:val="both"/>
            </w:pPr>
            <w:r>
              <w:rPr>
                <w:sz w:val="24"/>
                <w:szCs w:val="24"/>
              </w:rPr>
              <w:t>COMPLEMENTARY</w:t>
            </w:r>
            <w:r w:rsidRPr="00051E80">
              <w:rPr>
                <w:sz w:val="24"/>
                <w:szCs w:val="24"/>
              </w:rPr>
              <w:t xml:space="preserve"> CAPABILITIES</w:t>
            </w:r>
          </w:p>
        </w:tc>
      </w:tr>
      <w:tr w:rsidR="00C93DCC" w:rsidRPr="00C978B9" w14:paraId="791CA8EC" w14:textId="77777777" w:rsidTr="002A4A94">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863C2A9" w14:textId="77777777" w:rsidR="00C93DCC" w:rsidRPr="00C978B9" w:rsidRDefault="00C93DCC" w:rsidP="002A4A94">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62F9DF2" w14:textId="77777777" w:rsidR="00C93DCC" w:rsidRPr="00C978B9" w:rsidRDefault="00C93DCC" w:rsidP="002A4A94">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BCB0A81" w14:textId="77777777" w:rsidR="00C93DCC" w:rsidRDefault="00C93DCC" w:rsidP="002A4A94">
            <w:pPr>
              <w:pStyle w:val="TableText"/>
              <w:keepNext/>
              <w:rPr>
                <w:b/>
              </w:rPr>
            </w:pPr>
          </w:p>
        </w:tc>
        <w:tc>
          <w:tcPr>
            <w:tcW w:w="4770" w:type="dxa"/>
            <w:tcBorders>
              <w:bottom w:val="single" w:sz="12" w:space="0" w:color="auto"/>
            </w:tcBorders>
            <w:shd w:val="clear" w:color="auto" w:fill="BCBEC0"/>
          </w:tcPr>
          <w:p w14:paraId="175EDC8B" w14:textId="77777777" w:rsidR="00C93DCC" w:rsidRDefault="00C93DCC" w:rsidP="002A4A94">
            <w:pPr>
              <w:pStyle w:val="TableText"/>
              <w:keepNext/>
              <w:rPr>
                <w:b/>
              </w:rPr>
            </w:pPr>
            <w:r>
              <w:rPr>
                <w:b/>
              </w:rPr>
              <w:t>Description</w:t>
            </w:r>
          </w:p>
        </w:tc>
        <w:tc>
          <w:tcPr>
            <w:tcW w:w="1606" w:type="dxa"/>
            <w:tcBorders>
              <w:bottom w:val="single" w:sz="12" w:space="0" w:color="auto"/>
            </w:tcBorders>
            <w:shd w:val="clear" w:color="auto" w:fill="BCBEC0"/>
          </w:tcPr>
          <w:p w14:paraId="2D3F86A1" w14:textId="77777777" w:rsidR="00C93DCC" w:rsidRDefault="00C93DCC" w:rsidP="002A4A94">
            <w:pPr>
              <w:pStyle w:val="TableText"/>
              <w:keepNext/>
              <w:jc w:val="both"/>
              <w:rPr>
                <w:b/>
              </w:rPr>
            </w:pPr>
            <w:r>
              <w:rPr>
                <w:b/>
              </w:rPr>
              <w:t xml:space="preserve">Level </w:t>
            </w:r>
          </w:p>
        </w:tc>
      </w:tr>
      <w:tr w:rsidR="00C93DCC" w:rsidRPr="00C978B9" w14:paraId="0F64326E" w14:textId="77777777" w:rsidTr="002A4A94">
        <w:tc>
          <w:tcPr>
            <w:tcW w:w="1406" w:type="dxa"/>
            <w:vMerge w:val="restart"/>
            <w:tcBorders>
              <w:bottom w:val="single" w:sz="4" w:space="0" w:color="BCBEC0"/>
            </w:tcBorders>
          </w:tcPr>
          <w:p w14:paraId="5B896F27" w14:textId="77777777" w:rsidR="00C93DCC" w:rsidRPr="00C978B9" w:rsidRDefault="00C93DCC" w:rsidP="002A4A94">
            <w:pPr>
              <w:keepNext/>
            </w:pPr>
            <w:r w:rsidRPr="00C978B9">
              <w:rPr>
                <w:noProof/>
                <w:lang w:eastAsia="en-AU"/>
              </w:rPr>
              <w:drawing>
                <wp:inline distT="0" distB="0" distL="0" distR="0" wp14:anchorId="4A1F6F9F" wp14:editId="330A0E8A">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27A0A1A" w14:textId="77777777" w:rsidR="00C93DCC" w:rsidRPr="00AA57E3" w:rsidRDefault="00C93DCC" w:rsidP="002A4A94">
            <w:r>
              <w:t>Display Resilience and Courage</w:t>
            </w:r>
          </w:p>
        </w:tc>
        <w:tc>
          <w:tcPr>
            <w:tcW w:w="4770" w:type="dxa"/>
            <w:tcBorders>
              <w:bottom w:val="single" w:sz="4" w:space="0" w:color="BCBEC0"/>
            </w:tcBorders>
          </w:tcPr>
          <w:p w14:paraId="5EE2669A" w14:textId="77777777" w:rsidR="00C93DCC" w:rsidRPr="00AA57E3" w:rsidRDefault="00C93DCC" w:rsidP="002A4A94">
            <w:r>
              <w:t>Be open and honest, prepared to express your views, and willing to accept and commit to change</w:t>
            </w:r>
          </w:p>
        </w:tc>
        <w:tc>
          <w:tcPr>
            <w:tcW w:w="1606" w:type="dxa"/>
            <w:tcBorders>
              <w:bottom w:val="single" w:sz="4" w:space="0" w:color="BCBEC0"/>
            </w:tcBorders>
          </w:tcPr>
          <w:p w14:paraId="2E871603" w14:textId="77777777" w:rsidR="00C93DCC" w:rsidRDefault="00C93DCC" w:rsidP="002A4A94">
            <w:pPr>
              <w:pStyle w:val="TableBullet"/>
              <w:numPr>
                <w:ilvl w:val="0"/>
                <w:numId w:val="0"/>
              </w:numPr>
              <w:jc w:val="both"/>
            </w:pPr>
            <w:r>
              <w:t>Adept</w:t>
            </w:r>
          </w:p>
        </w:tc>
      </w:tr>
      <w:tr w:rsidR="00C93DCC" w:rsidRPr="00C978B9" w14:paraId="2560A4F0" w14:textId="77777777" w:rsidTr="002A4A94">
        <w:tc>
          <w:tcPr>
            <w:tcW w:w="1406" w:type="dxa"/>
            <w:vMerge/>
            <w:tcBorders>
              <w:bottom w:val="single" w:sz="4" w:space="0" w:color="BCBEC0"/>
            </w:tcBorders>
          </w:tcPr>
          <w:p w14:paraId="11EF686D" w14:textId="77777777" w:rsidR="00C93DCC" w:rsidRDefault="00C93DCC" w:rsidP="002A4A94">
            <w:pPr>
              <w:keepNext/>
              <w:rPr>
                <w:noProof/>
                <w:lang w:eastAsia="en-AU"/>
              </w:rPr>
            </w:pPr>
          </w:p>
        </w:tc>
        <w:tc>
          <w:tcPr>
            <w:tcW w:w="2971" w:type="dxa"/>
            <w:gridSpan w:val="2"/>
            <w:tcBorders>
              <w:bottom w:val="single" w:sz="4" w:space="0" w:color="BCBEC0"/>
            </w:tcBorders>
          </w:tcPr>
          <w:p w14:paraId="2885D57F" w14:textId="77777777" w:rsidR="00C93DCC" w:rsidRPr="00A8226F" w:rsidRDefault="00C93DCC" w:rsidP="002A4A94">
            <w:r>
              <w:t>Manage Self</w:t>
            </w:r>
          </w:p>
        </w:tc>
        <w:tc>
          <w:tcPr>
            <w:tcW w:w="4770" w:type="dxa"/>
            <w:tcBorders>
              <w:bottom w:val="single" w:sz="4" w:space="0" w:color="BCBEC0"/>
            </w:tcBorders>
          </w:tcPr>
          <w:p w14:paraId="315C2FF2" w14:textId="77777777" w:rsidR="00C93DCC" w:rsidRDefault="00C93DCC" w:rsidP="002A4A94">
            <w:r>
              <w:t>Show drive and motivation, an ability to self-reflect and a commitment to learning</w:t>
            </w:r>
          </w:p>
        </w:tc>
        <w:tc>
          <w:tcPr>
            <w:tcW w:w="1606" w:type="dxa"/>
            <w:tcBorders>
              <w:bottom w:val="single" w:sz="4" w:space="0" w:color="BCBEC0"/>
            </w:tcBorders>
          </w:tcPr>
          <w:p w14:paraId="38A82357" w14:textId="77777777" w:rsidR="00C93DCC" w:rsidRDefault="00C93DCC" w:rsidP="002A4A94">
            <w:pPr>
              <w:pStyle w:val="TableBullet"/>
              <w:numPr>
                <w:ilvl w:val="0"/>
                <w:numId w:val="0"/>
              </w:numPr>
              <w:jc w:val="both"/>
            </w:pPr>
            <w:r>
              <w:t>Adept</w:t>
            </w:r>
          </w:p>
        </w:tc>
      </w:tr>
      <w:tr w:rsidR="00C93DCC" w:rsidRPr="00C978B9" w14:paraId="6C9F3F85" w14:textId="77777777" w:rsidTr="002A4A94">
        <w:tc>
          <w:tcPr>
            <w:tcW w:w="1406" w:type="dxa"/>
            <w:vMerge/>
            <w:tcBorders>
              <w:bottom w:val="single" w:sz="4" w:space="0" w:color="BCBEC0"/>
            </w:tcBorders>
          </w:tcPr>
          <w:p w14:paraId="07A446FC" w14:textId="77777777" w:rsidR="00C93DCC" w:rsidRDefault="00C93DCC" w:rsidP="002A4A94">
            <w:pPr>
              <w:keepNext/>
              <w:rPr>
                <w:noProof/>
                <w:lang w:eastAsia="en-AU"/>
              </w:rPr>
            </w:pPr>
          </w:p>
        </w:tc>
        <w:tc>
          <w:tcPr>
            <w:tcW w:w="2971" w:type="dxa"/>
            <w:gridSpan w:val="2"/>
            <w:tcBorders>
              <w:bottom w:val="single" w:sz="4" w:space="0" w:color="BCBEC0"/>
            </w:tcBorders>
          </w:tcPr>
          <w:p w14:paraId="4443E313" w14:textId="77777777" w:rsidR="00C93DCC" w:rsidRPr="00A8226F" w:rsidRDefault="00C93DCC" w:rsidP="002A4A94">
            <w:r>
              <w:t>Value Diversity and Inclusion</w:t>
            </w:r>
          </w:p>
        </w:tc>
        <w:tc>
          <w:tcPr>
            <w:tcW w:w="4770" w:type="dxa"/>
            <w:tcBorders>
              <w:bottom w:val="single" w:sz="4" w:space="0" w:color="BCBEC0"/>
            </w:tcBorders>
          </w:tcPr>
          <w:p w14:paraId="7B6B2C36" w14:textId="77777777" w:rsidR="00C93DCC" w:rsidRDefault="00C93DCC" w:rsidP="002A4A94">
            <w:r>
              <w:t>Demonstrate inclusive behaviour and show respect for diverse backgrounds, experiences and perspectives</w:t>
            </w:r>
          </w:p>
        </w:tc>
        <w:tc>
          <w:tcPr>
            <w:tcW w:w="1606" w:type="dxa"/>
            <w:tcBorders>
              <w:bottom w:val="single" w:sz="4" w:space="0" w:color="BCBEC0"/>
            </w:tcBorders>
          </w:tcPr>
          <w:p w14:paraId="598C0B6D" w14:textId="77777777" w:rsidR="00C93DCC" w:rsidRDefault="00C93DCC" w:rsidP="002A4A94">
            <w:pPr>
              <w:pStyle w:val="TableBullet"/>
              <w:numPr>
                <w:ilvl w:val="0"/>
                <w:numId w:val="0"/>
              </w:numPr>
              <w:jc w:val="both"/>
            </w:pPr>
            <w:r>
              <w:t>Adept</w:t>
            </w:r>
          </w:p>
        </w:tc>
      </w:tr>
      <w:tr w:rsidR="00C93DCC" w:rsidRPr="00C978B9" w14:paraId="54A069C4" w14:textId="77777777" w:rsidTr="002A4A94">
        <w:tc>
          <w:tcPr>
            <w:tcW w:w="1406" w:type="dxa"/>
            <w:vMerge w:val="restart"/>
            <w:tcBorders>
              <w:bottom w:val="single" w:sz="4" w:space="0" w:color="BCBEC0"/>
            </w:tcBorders>
          </w:tcPr>
          <w:p w14:paraId="3454B2E0" w14:textId="77777777" w:rsidR="00C93DCC" w:rsidRPr="00C978B9" w:rsidRDefault="00C93DCC" w:rsidP="002A4A94">
            <w:pPr>
              <w:keepNext/>
            </w:pPr>
            <w:r w:rsidRPr="00C978B9">
              <w:rPr>
                <w:noProof/>
                <w:lang w:eastAsia="en-AU"/>
              </w:rPr>
              <w:drawing>
                <wp:inline distT="0" distB="0" distL="0" distR="0" wp14:anchorId="23DC8D91" wp14:editId="5F2FA773">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05F0209" w14:textId="77777777" w:rsidR="00C93DCC" w:rsidRPr="00AA57E3" w:rsidRDefault="00C93DCC" w:rsidP="002A4A94">
            <w:r>
              <w:t>Communicate Effectively</w:t>
            </w:r>
          </w:p>
        </w:tc>
        <w:tc>
          <w:tcPr>
            <w:tcW w:w="4770" w:type="dxa"/>
            <w:tcBorders>
              <w:bottom w:val="single" w:sz="4" w:space="0" w:color="BCBEC0"/>
            </w:tcBorders>
          </w:tcPr>
          <w:p w14:paraId="47DDD1C2" w14:textId="77777777" w:rsidR="00C93DCC" w:rsidRPr="00AA57E3" w:rsidRDefault="00C93DCC" w:rsidP="002A4A94">
            <w:r>
              <w:t>Communicate clearly, actively listen to others, and respond with understanding and respect</w:t>
            </w:r>
          </w:p>
        </w:tc>
        <w:tc>
          <w:tcPr>
            <w:tcW w:w="1606" w:type="dxa"/>
            <w:tcBorders>
              <w:bottom w:val="single" w:sz="4" w:space="0" w:color="BCBEC0"/>
            </w:tcBorders>
          </w:tcPr>
          <w:p w14:paraId="23C4EC0D" w14:textId="77777777" w:rsidR="00C93DCC" w:rsidRDefault="00C93DCC" w:rsidP="002A4A94">
            <w:pPr>
              <w:pStyle w:val="TableBullet"/>
              <w:numPr>
                <w:ilvl w:val="0"/>
                <w:numId w:val="0"/>
              </w:numPr>
              <w:jc w:val="both"/>
            </w:pPr>
            <w:r>
              <w:t>Advanced</w:t>
            </w:r>
          </w:p>
        </w:tc>
      </w:tr>
      <w:tr w:rsidR="00C93DCC" w:rsidRPr="00C978B9" w14:paraId="3FF997B7" w14:textId="77777777" w:rsidTr="002A4A94">
        <w:tc>
          <w:tcPr>
            <w:tcW w:w="1406" w:type="dxa"/>
            <w:vMerge/>
            <w:tcBorders>
              <w:bottom w:val="single" w:sz="4" w:space="0" w:color="BCBEC0"/>
            </w:tcBorders>
          </w:tcPr>
          <w:p w14:paraId="29066324" w14:textId="77777777" w:rsidR="00C93DCC" w:rsidRDefault="00C93DCC" w:rsidP="002A4A94">
            <w:pPr>
              <w:keepNext/>
              <w:rPr>
                <w:noProof/>
                <w:lang w:eastAsia="en-AU"/>
              </w:rPr>
            </w:pPr>
          </w:p>
        </w:tc>
        <w:tc>
          <w:tcPr>
            <w:tcW w:w="2971" w:type="dxa"/>
            <w:gridSpan w:val="2"/>
            <w:tcBorders>
              <w:bottom w:val="single" w:sz="4" w:space="0" w:color="BCBEC0"/>
            </w:tcBorders>
          </w:tcPr>
          <w:p w14:paraId="751614DF" w14:textId="77777777" w:rsidR="00C93DCC" w:rsidRPr="00A8226F" w:rsidRDefault="00C93DCC" w:rsidP="002A4A94">
            <w:r>
              <w:t>Commit to Customer Service</w:t>
            </w:r>
          </w:p>
        </w:tc>
        <w:tc>
          <w:tcPr>
            <w:tcW w:w="4770" w:type="dxa"/>
            <w:tcBorders>
              <w:bottom w:val="single" w:sz="4" w:space="0" w:color="BCBEC0"/>
            </w:tcBorders>
          </w:tcPr>
          <w:p w14:paraId="6B2BA313" w14:textId="77777777" w:rsidR="00C93DCC" w:rsidRDefault="00C93DCC" w:rsidP="002A4A94">
            <w:r>
              <w:t>Provide customer-focused services in line with public sector and organisational objectives</w:t>
            </w:r>
          </w:p>
        </w:tc>
        <w:tc>
          <w:tcPr>
            <w:tcW w:w="1606" w:type="dxa"/>
            <w:tcBorders>
              <w:bottom w:val="single" w:sz="4" w:space="0" w:color="BCBEC0"/>
            </w:tcBorders>
          </w:tcPr>
          <w:p w14:paraId="041BF7AF" w14:textId="77777777" w:rsidR="00C93DCC" w:rsidRDefault="00C93DCC" w:rsidP="002A4A94">
            <w:pPr>
              <w:pStyle w:val="TableBullet"/>
              <w:numPr>
                <w:ilvl w:val="0"/>
                <w:numId w:val="0"/>
              </w:numPr>
              <w:jc w:val="both"/>
            </w:pPr>
            <w:r>
              <w:t>Adept</w:t>
            </w:r>
          </w:p>
        </w:tc>
      </w:tr>
      <w:tr w:rsidR="00C93DCC" w:rsidRPr="00C978B9" w14:paraId="4DA71B83" w14:textId="77777777" w:rsidTr="002A4A94">
        <w:tc>
          <w:tcPr>
            <w:tcW w:w="1406" w:type="dxa"/>
            <w:vMerge/>
            <w:tcBorders>
              <w:bottom w:val="single" w:sz="4" w:space="0" w:color="BCBEC0"/>
            </w:tcBorders>
          </w:tcPr>
          <w:p w14:paraId="653E2896" w14:textId="77777777" w:rsidR="00C93DCC" w:rsidRDefault="00C93DCC" w:rsidP="002A4A94">
            <w:pPr>
              <w:keepNext/>
              <w:rPr>
                <w:noProof/>
                <w:lang w:eastAsia="en-AU"/>
              </w:rPr>
            </w:pPr>
          </w:p>
        </w:tc>
        <w:tc>
          <w:tcPr>
            <w:tcW w:w="2971" w:type="dxa"/>
            <w:gridSpan w:val="2"/>
            <w:tcBorders>
              <w:bottom w:val="single" w:sz="4" w:space="0" w:color="BCBEC0"/>
            </w:tcBorders>
          </w:tcPr>
          <w:p w14:paraId="1CA7EBEB" w14:textId="77777777" w:rsidR="00C93DCC" w:rsidRPr="00A8226F" w:rsidRDefault="00C93DCC" w:rsidP="002A4A94">
            <w:r>
              <w:t>Work Collaboratively</w:t>
            </w:r>
          </w:p>
        </w:tc>
        <w:tc>
          <w:tcPr>
            <w:tcW w:w="4770" w:type="dxa"/>
            <w:tcBorders>
              <w:bottom w:val="single" w:sz="4" w:space="0" w:color="BCBEC0"/>
            </w:tcBorders>
          </w:tcPr>
          <w:p w14:paraId="71125FA6" w14:textId="77777777" w:rsidR="00C93DCC" w:rsidRDefault="00C93DCC" w:rsidP="002A4A94">
            <w:r>
              <w:t>Collaborate with others and value their contribution</w:t>
            </w:r>
          </w:p>
        </w:tc>
        <w:tc>
          <w:tcPr>
            <w:tcW w:w="1606" w:type="dxa"/>
            <w:tcBorders>
              <w:bottom w:val="single" w:sz="4" w:space="0" w:color="BCBEC0"/>
            </w:tcBorders>
          </w:tcPr>
          <w:p w14:paraId="68EC55DE" w14:textId="77777777" w:rsidR="00C93DCC" w:rsidRDefault="00C93DCC" w:rsidP="002A4A94">
            <w:pPr>
              <w:pStyle w:val="TableBullet"/>
              <w:numPr>
                <w:ilvl w:val="0"/>
                <w:numId w:val="0"/>
              </w:numPr>
              <w:jc w:val="both"/>
            </w:pPr>
            <w:r>
              <w:t>Adept</w:t>
            </w:r>
          </w:p>
        </w:tc>
      </w:tr>
      <w:tr w:rsidR="00C93DCC" w:rsidRPr="00C978B9" w14:paraId="0DF206BD" w14:textId="77777777" w:rsidTr="002A4A94">
        <w:tc>
          <w:tcPr>
            <w:tcW w:w="1406" w:type="dxa"/>
            <w:vMerge w:val="restart"/>
            <w:tcBorders>
              <w:bottom w:val="single" w:sz="4" w:space="0" w:color="BCBEC0"/>
            </w:tcBorders>
          </w:tcPr>
          <w:p w14:paraId="1ED73FB7" w14:textId="77777777" w:rsidR="00C93DCC" w:rsidRPr="00C978B9" w:rsidRDefault="00C93DCC" w:rsidP="002A4A94">
            <w:pPr>
              <w:keepNext/>
            </w:pPr>
            <w:r w:rsidRPr="00C978B9">
              <w:rPr>
                <w:noProof/>
                <w:lang w:eastAsia="en-AU"/>
              </w:rPr>
              <w:drawing>
                <wp:inline distT="0" distB="0" distL="0" distR="0" wp14:anchorId="4237D453" wp14:editId="72D93D0E">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2B42220" w14:textId="77777777" w:rsidR="00C93DCC" w:rsidRPr="00AA57E3" w:rsidRDefault="00C93DCC" w:rsidP="002A4A94">
            <w:r>
              <w:t>Deliver Results</w:t>
            </w:r>
          </w:p>
        </w:tc>
        <w:tc>
          <w:tcPr>
            <w:tcW w:w="4770" w:type="dxa"/>
            <w:tcBorders>
              <w:bottom w:val="single" w:sz="4" w:space="0" w:color="BCBEC0"/>
            </w:tcBorders>
          </w:tcPr>
          <w:p w14:paraId="138E0CE1" w14:textId="77777777" w:rsidR="00C93DCC" w:rsidRPr="00AA57E3" w:rsidRDefault="00C93DCC" w:rsidP="002A4A94">
            <w:r>
              <w:t>Achieve results through the efficient use of resources and a commitment to quality outcomes</w:t>
            </w:r>
          </w:p>
        </w:tc>
        <w:tc>
          <w:tcPr>
            <w:tcW w:w="1606" w:type="dxa"/>
            <w:tcBorders>
              <w:bottom w:val="single" w:sz="4" w:space="0" w:color="BCBEC0"/>
            </w:tcBorders>
          </w:tcPr>
          <w:p w14:paraId="4B90D2C1" w14:textId="77777777" w:rsidR="00C93DCC" w:rsidRDefault="00C93DCC" w:rsidP="002A4A94">
            <w:pPr>
              <w:pStyle w:val="TableBullet"/>
              <w:numPr>
                <w:ilvl w:val="0"/>
                <w:numId w:val="0"/>
              </w:numPr>
              <w:jc w:val="both"/>
            </w:pPr>
            <w:r>
              <w:t>Adept</w:t>
            </w:r>
          </w:p>
        </w:tc>
      </w:tr>
      <w:tr w:rsidR="00C93DCC" w:rsidRPr="00C978B9" w14:paraId="0CE1C468" w14:textId="77777777" w:rsidTr="002A4A94">
        <w:tc>
          <w:tcPr>
            <w:tcW w:w="1406" w:type="dxa"/>
            <w:vMerge/>
            <w:tcBorders>
              <w:bottom w:val="single" w:sz="4" w:space="0" w:color="BCBEC0"/>
            </w:tcBorders>
          </w:tcPr>
          <w:p w14:paraId="18F94539" w14:textId="77777777" w:rsidR="00C93DCC" w:rsidRDefault="00C93DCC" w:rsidP="002A4A94">
            <w:pPr>
              <w:keepNext/>
              <w:rPr>
                <w:noProof/>
                <w:lang w:eastAsia="en-AU"/>
              </w:rPr>
            </w:pPr>
          </w:p>
        </w:tc>
        <w:tc>
          <w:tcPr>
            <w:tcW w:w="2971" w:type="dxa"/>
            <w:gridSpan w:val="2"/>
            <w:tcBorders>
              <w:bottom w:val="single" w:sz="4" w:space="0" w:color="BCBEC0"/>
            </w:tcBorders>
          </w:tcPr>
          <w:p w14:paraId="2DE156E7" w14:textId="77777777" w:rsidR="00C93DCC" w:rsidRPr="00A8226F" w:rsidRDefault="00C93DCC" w:rsidP="002A4A94">
            <w:r>
              <w:t>Plan and Prioritise</w:t>
            </w:r>
          </w:p>
        </w:tc>
        <w:tc>
          <w:tcPr>
            <w:tcW w:w="4770" w:type="dxa"/>
            <w:tcBorders>
              <w:bottom w:val="single" w:sz="4" w:space="0" w:color="BCBEC0"/>
            </w:tcBorders>
          </w:tcPr>
          <w:p w14:paraId="38CFA26D" w14:textId="77777777" w:rsidR="00C93DCC" w:rsidRDefault="00C93DCC" w:rsidP="002A4A94">
            <w:r>
              <w:t>Plan to achieve priority outcomes and respond flexibly to changing circumstances</w:t>
            </w:r>
          </w:p>
        </w:tc>
        <w:tc>
          <w:tcPr>
            <w:tcW w:w="1606" w:type="dxa"/>
            <w:tcBorders>
              <w:bottom w:val="single" w:sz="4" w:space="0" w:color="BCBEC0"/>
            </w:tcBorders>
          </w:tcPr>
          <w:p w14:paraId="10970685" w14:textId="77777777" w:rsidR="00C93DCC" w:rsidRDefault="00C93DCC" w:rsidP="002A4A94">
            <w:pPr>
              <w:pStyle w:val="TableBullet"/>
              <w:numPr>
                <w:ilvl w:val="0"/>
                <w:numId w:val="0"/>
              </w:numPr>
              <w:jc w:val="both"/>
            </w:pPr>
            <w:r>
              <w:t>Adept</w:t>
            </w:r>
          </w:p>
        </w:tc>
      </w:tr>
      <w:tr w:rsidR="00C93DCC" w:rsidRPr="00C978B9" w14:paraId="6944AE28" w14:textId="77777777" w:rsidTr="002A4A94">
        <w:tc>
          <w:tcPr>
            <w:tcW w:w="1406" w:type="dxa"/>
            <w:vMerge/>
            <w:tcBorders>
              <w:bottom w:val="single" w:sz="4" w:space="0" w:color="BCBEC0"/>
            </w:tcBorders>
          </w:tcPr>
          <w:p w14:paraId="4C388413" w14:textId="77777777" w:rsidR="00C93DCC" w:rsidRDefault="00C93DCC" w:rsidP="002A4A94">
            <w:pPr>
              <w:keepNext/>
              <w:rPr>
                <w:noProof/>
                <w:lang w:eastAsia="en-AU"/>
              </w:rPr>
            </w:pPr>
          </w:p>
        </w:tc>
        <w:tc>
          <w:tcPr>
            <w:tcW w:w="2971" w:type="dxa"/>
            <w:gridSpan w:val="2"/>
            <w:tcBorders>
              <w:bottom w:val="single" w:sz="4" w:space="0" w:color="BCBEC0"/>
            </w:tcBorders>
          </w:tcPr>
          <w:p w14:paraId="2F2FB2E2" w14:textId="77777777" w:rsidR="00C93DCC" w:rsidRPr="00A8226F" w:rsidRDefault="00C93DCC" w:rsidP="002A4A94">
            <w:r>
              <w:t>Demonstrate Accountability</w:t>
            </w:r>
          </w:p>
        </w:tc>
        <w:tc>
          <w:tcPr>
            <w:tcW w:w="4770" w:type="dxa"/>
            <w:tcBorders>
              <w:bottom w:val="single" w:sz="4" w:space="0" w:color="BCBEC0"/>
            </w:tcBorders>
          </w:tcPr>
          <w:p w14:paraId="53EE43BE" w14:textId="77777777" w:rsidR="00C93DCC" w:rsidRDefault="00C93DCC" w:rsidP="002A4A94">
            <w:r>
              <w:t>Be proactive and responsible for own actions, and adhere to legislation, policy and guidelines</w:t>
            </w:r>
          </w:p>
        </w:tc>
        <w:tc>
          <w:tcPr>
            <w:tcW w:w="1606" w:type="dxa"/>
            <w:tcBorders>
              <w:bottom w:val="single" w:sz="4" w:space="0" w:color="BCBEC0"/>
            </w:tcBorders>
          </w:tcPr>
          <w:p w14:paraId="76A9C057" w14:textId="77777777" w:rsidR="00C93DCC" w:rsidRDefault="00C93DCC" w:rsidP="002A4A94">
            <w:pPr>
              <w:pStyle w:val="TableBullet"/>
              <w:numPr>
                <w:ilvl w:val="0"/>
                <w:numId w:val="0"/>
              </w:numPr>
              <w:jc w:val="both"/>
            </w:pPr>
            <w:r>
              <w:t>Adept</w:t>
            </w:r>
          </w:p>
        </w:tc>
      </w:tr>
      <w:tr w:rsidR="00C93DCC" w:rsidRPr="00C978B9" w14:paraId="41CEEBC6" w14:textId="77777777" w:rsidTr="002A4A94">
        <w:tc>
          <w:tcPr>
            <w:tcW w:w="1406" w:type="dxa"/>
            <w:vMerge w:val="restart"/>
            <w:tcBorders>
              <w:bottom w:val="single" w:sz="4" w:space="0" w:color="BCBEC0"/>
            </w:tcBorders>
          </w:tcPr>
          <w:p w14:paraId="0ADA2BBF" w14:textId="77777777" w:rsidR="00C93DCC" w:rsidRPr="00C978B9" w:rsidRDefault="00C93DCC" w:rsidP="002A4A94">
            <w:pPr>
              <w:keepNext/>
            </w:pPr>
            <w:r w:rsidRPr="00C978B9">
              <w:rPr>
                <w:noProof/>
                <w:lang w:eastAsia="en-AU"/>
              </w:rPr>
              <w:lastRenderedPageBreak/>
              <w:drawing>
                <wp:inline distT="0" distB="0" distL="0" distR="0" wp14:anchorId="1308382D" wp14:editId="3D5FD404">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ECCF17C" w14:textId="77777777" w:rsidR="00C93DCC" w:rsidRPr="00AA57E3" w:rsidRDefault="00C93DCC" w:rsidP="002A4A94">
            <w:r>
              <w:t>Technology</w:t>
            </w:r>
          </w:p>
        </w:tc>
        <w:tc>
          <w:tcPr>
            <w:tcW w:w="4770" w:type="dxa"/>
            <w:tcBorders>
              <w:bottom w:val="single" w:sz="4" w:space="0" w:color="BCBEC0"/>
            </w:tcBorders>
          </w:tcPr>
          <w:p w14:paraId="47591D9A" w14:textId="77777777" w:rsidR="00C93DCC" w:rsidRPr="00AA57E3" w:rsidRDefault="00C93DCC" w:rsidP="002A4A94">
            <w:r>
              <w:t>Understand and use available technologies to maximise efficiencies and effectiveness</w:t>
            </w:r>
          </w:p>
        </w:tc>
        <w:tc>
          <w:tcPr>
            <w:tcW w:w="1606" w:type="dxa"/>
            <w:tcBorders>
              <w:bottom w:val="single" w:sz="4" w:space="0" w:color="BCBEC0"/>
            </w:tcBorders>
          </w:tcPr>
          <w:p w14:paraId="40D18B04" w14:textId="77777777" w:rsidR="00C93DCC" w:rsidRDefault="00C93DCC" w:rsidP="002A4A94">
            <w:pPr>
              <w:pStyle w:val="TableBullet"/>
              <w:numPr>
                <w:ilvl w:val="0"/>
                <w:numId w:val="0"/>
              </w:numPr>
              <w:jc w:val="both"/>
            </w:pPr>
            <w:r>
              <w:t>Intermediate</w:t>
            </w:r>
          </w:p>
        </w:tc>
      </w:tr>
      <w:tr w:rsidR="00C93DCC" w:rsidRPr="00C978B9" w14:paraId="631A9B93" w14:textId="77777777" w:rsidTr="002A4A94">
        <w:tc>
          <w:tcPr>
            <w:tcW w:w="1406" w:type="dxa"/>
            <w:vMerge/>
            <w:tcBorders>
              <w:bottom w:val="single" w:sz="4" w:space="0" w:color="BCBEC0"/>
            </w:tcBorders>
          </w:tcPr>
          <w:p w14:paraId="3A37E42C" w14:textId="77777777" w:rsidR="00C93DCC" w:rsidRDefault="00C93DCC" w:rsidP="002A4A94">
            <w:pPr>
              <w:keepNext/>
              <w:rPr>
                <w:noProof/>
                <w:lang w:eastAsia="en-AU"/>
              </w:rPr>
            </w:pPr>
          </w:p>
        </w:tc>
        <w:tc>
          <w:tcPr>
            <w:tcW w:w="2971" w:type="dxa"/>
            <w:gridSpan w:val="2"/>
            <w:tcBorders>
              <w:bottom w:val="single" w:sz="4" w:space="0" w:color="BCBEC0"/>
            </w:tcBorders>
          </w:tcPr>
          <w:p w14:paraId="0D392C47" w14:textId="77777777" w:rsidR="00C93DCC" w:rsidRPr="00A8226F" w:rsidRDefault="00C93DCC" w:rsidP="002A4A94">
            <w:r>
              <w:t>Procurement and Contract Management</w:t>
            </w:r>
          </w:p>
        </w:tc>
        <w:tc>
          <w:tcPr>
            <w:tcW w:w="4770" w:type="dxa"/>
            <w:tcBorders>
              <w:bottom w:val="single" w:sz="4" w:space="0" w:color="BCBEC0"/>
            </w:tcBorders>
          </w:tcPr>
          <w:p w14:paraId="65644D6C" w14:textId="77777777" w:rsidR="00C93DCC" w:rsidRDefault="00C93DCC" w:rsidP="002A4A94">
            <w:r>
              <w:t>Understand and apply procurement processes to ensure effective purchasing and contract performance</w:t>
            </w:r>
          </w:p>
        </w:tc>
        <w:tc>
          <w:tcPr>
            <w:tcW w:w="1606" w:type="dxa"/>
            <w:tcBorders>
              <w:bottom w:val="single" w:sz="4" w:space="0" w:color="BCBEC0"/>
            </w:tcBorders>
          </w:tcPr>
          <w:p w14:paraId="53FB19D3" w14:textId="77777777" w:rsidR="00C93DCC" w:rsidRDefault="00C93DCC" w:rsidP="002A4A94">
            <w:pPr>
              <w:pStyle w:val="TableBullet"/>
              <w:numPr>
                <w:ilvl w:val="0"/>
                <w:numId w:val="0"/>
              </w:numPr>
              <w:jc w:val="both"/>
            </w:pPr>
            <w:r>
              <w:t>Adept</w:t>
            </w:r>
          </w:p>
        </w:tc>
      </w:tr>
      <w:tr w:rsidR="00C93DCC" w:rsidRPr="00C978B9" w14:paraId="71969D23" w14:textId="77777777" w:rsidTr="002A4A94">
        <w:tc>
          <w:tcPr>
            <w:tcW w:w="1406" w:type="dxa"/>
            <w:vMerge/>
            <w:tcBorders>
              <w:bottom w:val="single" w:sz="4" w:space="0" w:color="BCBEC0"/>
            </w:tcBorders>
          </w:tcPr>
          <w:p w14:paraId="0ECF5423" w14:textId="77777777" w:rsidR="00C93DCC" w:rsidRDefault="00C93DCC" w:rsidP="002A4A94">
            <w:pPr>
              <w:keepNext/>
              <w:rPr>
                <w:noProof/>
                <w:lang w:eastAsia="en-AU"/>
              </w:rPr>
            </w:pPr>
          </w:p>
        </w:tc>
        <w:tc>
          <w:tcPr>
            <w:tcW w:w="2971" w:type="dxa"/>
            <w:gridSpan w:val="2"/>
            <w:tcBorders>
              <w:bottom w:val="single" w:sz="4" w:space="0" w:color="BCBEC0"/>
            </w:tcBorders>
          </w:tcPr>
          <w:p w14:paraId="42DB6E40" w14:textId="77777777" w:rsidR="00C93DCC" w:rsidRPr="00A8226F" w:rsidRDefault="00C93DCC" w:rsidP="002A4A94">
            <w:r>
              <w:t>Project Management</w:t>
            </w:r>
          </w:p>
        </w:tc>
        <w:tc>
          <w:tcPr>
            <w:tcW w:w="4770" w:type="dxa"/>
            <w:tcBorders>
              <w:bottom w:val="single" w:sz="4" w:space="0" w:color="BCBEC0"/>
            </w:tcBorders>
          </w:tcPr>
          <w:p w14:paraId="7721552E" w14:textId="77777777" w:rsidR="00C93DCC" w:rsidRDefault="00C93DCC" w:rsidP="002A4A94">
            <w:r>
              <w:t>Understand and apply effective planning, coordination and control methods</w:t>
            </w:r>
          </w:p>
        </w:tc>
        <w:tc>
          <w:tcPr>
            <w:tcW w:w="1606" w:type="dxa"/>
            <w:tcBorders>
              <w:bottom w:val="single" w:sz="4" w:space="0" w:color="BCBEC0"/>
            </w:tcBorders>
          </w:tcPr>
          <w:p w14:paraId="54CDADEF" w14:textId="77777777" w:rsidR="00C93DCC" w:rsidRDefault="00C93DCC" w:rsidP="002A4A94">
            <w:pPr>
              <w:pStyle w:val="TableBullet"/>
              <w:numPr>
                <w:ilvl w:val="0"/>
                <w:numId w:val="0"/>
              </w:numPr>
              <w:jc w:val="both"/>
            </w:pPr>
            <w:r>
              <w:t>Adept</w:t>
            </w:r>
          </w:p>
        </w:tc>
      </w:tr>
      <w:tr w:rsidR="00C93DCC" w:rsidRPr="00C978B9" w14:paraId="645A2DFB" w14:textId="77777777" w:rsidTr="002A4A94">
        <w:tc>
          <w:tcPr>
            <w:tcW w:w="1406" w:type="dxa"/>
            <w:vMerge w:val="restart"/>
            <w:tcBorders>
              <w:bottom w:val="single" w:sz="4" w:space="0" w:color="BCBEC0"/>
            </w:tcBorders>
          </w:tcPr>
          <w:p w14:paraId="3A173676" w14:textId="77777777" w:rsidR="00C93DCC" w:rsidRPr="00C978B9" w:rsidRDefault="00C93DCC" w:rsidP="002A4A94">
            <w:pPr>
              <w:keepNext/>
            </w:pPr>
            <w:r w:rsidRPr="00C978B9">
              <w:rPr>
                <w:noProof/>
                <w:lang w:eastAsia="en-AU"/>
              </w:rPr>
              <w:drawing>
                <wp:inline distT="0" distB="0" distL="0" distR="0" wp14:anchorId="205563BD" wp14:editId="06E00BAD">
                  <wp:extent cx="847725" cy="847725"/>
                  <wp:effectExtent l="0" t="0" r="9525" b="9525"/>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27911254" w14:textId="77777777" w:rsidR="00C93DCC" w:rsidRPr="00AA57E3" w:rsidRDefault="00C93DCC" w:rsidP="002A4A94">
            <w:r>
              <w:t>Inspire Direction and Purpose</w:t>
            </w:r>
          </w:p>
        </w:tc>
        <w:tc>
          <w:tcPr>
            <w:tcW w:w="4770" w:type="dxa"/>
            <w:tcBorders>
              <w:bottom w:val="single" w:sz="4" w:space="0" w:color="BCBEC0"/>
            </w:tcBorders>
          </w:tcPr>
          <w:p w14:paraId="0378E29B" w14:textId="77777777" w:rsidR="00C93DCC" w:rsidRPr="00AA57E3" w:rsidRDefault="00C93DCC" w:rsidP="002A4A94">
            <w:r>
              <w:t>Communicate goals, priorities and vision, and recognise achievements</w:t>
            </w:r>
          </w:p>
        </w:tc>
        <w:tc>
          <w:tcPr>
            <w:tcW w:w="1606" w:type="dxa"/>
            <w:tcBorders>
              <w:bottom w:val="single" w:sz="4" w:space="0" w:color="BCBEC0"/>
            </w:tcBorders>
          </w:tcPr>
          <w:p w14:paraId="4F9A0FBA" w14:textId="77777777" w:rsidR="00C93DCC" w:rsidRDefault="00C93DCC" w:rsidP="002A4A94">
            <w:pPr>
              <w:pStyle w:val="TableBullet"/>
              <w:numPr>
                <w:ilvl w:val="0"/>
                <w:numId w:val="0"/>
              </w:numPr>
              <w:jc w:val="both"/>
            </w:pPr>
            <w:r>
              <w:t>Advanced</w:t>
            </w:r>
          </w:p>
        </w:tc>
      </w:tr>
      <w:tr w:rsidR="00C93DCC" w:rsidRPr="00C978B9" w14:paraId="22C55EE7" w14:textId="77777777" w:rsidTr="002A4A94">
        <w:tc>
          <w:tcPr>
            <w:tcW w:w="1406" w:type="dxa"/>
            <w:vMerge/>
            <w:tcBorders>
              <w:bottom w:val="single" w:sz="4" w:space="0" w:color="BCBEC0"/>
            </w:tcBorders>
          </w:tcPr>
          <w:p w14:paraId="72A2E719" w14:textId="77777777" w:rsidR="00C93DCC" w:rsidRDefault="00C93DCC" w:rsidP="002A4A94">
            <w:pPr>
              <w:keepNext/>
              <w:rPr>
                <w:noProof/>
                <w:lang w:eastAsia="en-AU"/>
              </w:rPr>
            </w:pPr>
          </w:p>
        </w:tc>
        <w:tc>
          <w:tcPr>
            <w:tcW w:w="2971" w:type="dxa"/>
            <w:gridSpan w:val="2"/>
            <w:tcBorders>
              <w:bottom w:val="single" w:sz="4" w:space="0" w:color="BCBEC0"/>
            </w:tcBorders>
          </w:tcPr>
          <w:p w14:paraId="6E88A004" w14:textId="77777777" w:rsidR="00C93DCC" w:rsidRPr="00A8226F" w:rsidRDefault="00C93DCC" w:rsidP="002A4A94">
            <w:r>
              <w:t>Optimise Business Outcomes</w:t>
            </w:r>
          </w:p>
        </w:tc>
        <w:tc>
          <w:tcPr>
            <w:tcW w:w="4770" w:type="dxa"/>
            <w:tcBorders>
              <w:bottom w:val="single" w:sz="4" w:space="0" w:color="BCBEC0"/>
            </w:tcBorders>
          </w:tcPr>
          <w:p w14:paraId="0A6FB610" w14:textId="77777777" w:rsidR="00C93DCC" w:rsidRDefault="00C93DCC" w:rsidP="002A4A94">
            <w:r>
              <w:t>Manage people and resources effectively to achieve public value</w:t>
            </w:r>
          </w:p>
        </w:tc>
        <w:tc>
          <w:tcPr>
            <w:tcW w:w="1606" w:type="dxa"/>
            <w:tcBorders>
              <w:bottom w:val="single" w:sz="4" w:space="0" w:color="BCBEC0"/>
            </w:tcBorders>
          </w:tcPr>
          <w:p w14:paraId="7AA839FB" w14:textId="77777777" w:rsidR="00C93DCC" w:rsidRDefault="00C93DCC" w:rsidP="002A4A94">
            <w:pPr>
              <w:pStyle w:val="TableBullet"/>
              <w:numPr>
                <w:ilvl w:val="0"/>
                <w:numId w:val="0"/>
              </w:numPr>
              <w:jc w:val="both"/>
            </w:pPr>
            <w:r>
              <w:t>Adept</w:t>
            </w:r>
          </w:p>
        </w:tc>
      </w:tr>
    </w:tbl>
    <w:p w14:paraId="05032960" w14:textId="77777777" w:rsidR="00C93DCC" w:rsidRPr="00C93DCC" w:rsidRDefault="00C93DCC" w:rsidP="00C93DCC">
      <w:pPr>
        <w:tabs>
          <w:tab w:val="left" w:pos="2925"/>
        </w:tabs>
        <w:rPr>
          <w:rFonts w:cs="Arial"/>
        </w:rPr>
      </w:pPr>
    </w:p>
    <w:sectPr w:rsidR="00C93DCC" w:rsidRPr="00C93DCC"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C133" w14:textId="77777777" w:rsidR="007C2B3F" w:rsidRDefault="007C2B3F" w:rsidP="00BB532F">
      <w:pPr>
        <w:spacing w:after="0" w:line="240" w:lineRule="auto"/>
      </w:pPr>
      <w:r>
        <w:separator/>
      </w:r>
    </w:p>
  </w:endnote>
  <w:endnote w:type="continuationSeparator" w:id="0">
    <w:p w14:paraId="47DF434B" w14:textId="77777777" w:rsidR="007C2B3F" w:rsidRDefault="007C2B3F"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93DCC" w14:paraId="4C9DEF92" w14:textId="77777777" w:rsidTr="002A4A94">
      <w:tc>
        <w:tcPr>
          <w:tcW w:w="2250" w:type="pct"/>
          <w:vAlign w:val="center"/>
        </w:tcPr>
        <w:p w14:paraId="2362A830" w14:textId="0C659CED" w:rsidR="00C93DCC" w:rsidRDefault="00C93DCC" w:rsidP="00C93DCC">
          <w:pPr>
            <w:pStyle w:val="Footer"/>
          </w:pPr>
          <w:r w:rsidRPr="00C03AFD">
            <w:rPr>
              <w:color w:val="928B81"/>
              <w:sz w:val="18"/>
            </w:rPr>
            <w:t>Role Description</w:t>
          </w:r>
          <w:r>
            <w:rPr>
              <w:color w:val="928B81"/>
              <w:sz w:val="18"/>
            </w:rPr>
            <w:t xml:space="preserve"> </w:t>
          </w:r>
          <w:r w:rsidRPr="00443BCB">
            <w:rPr>
              <w:b/>
              <w:color w:val="928B81"/>
              <w:sz w:val="18"/>
            </w:rPr>
            <w:t>Manager Area</w:t>
          </w:r>
        </w:p>
      </w:tc>
      <w:tc>
        <w:tcPr>
          <w:tcW w:w="250" w:type="pct"/>
          <w:vAlign w:val="center"/>
        </w:tcPr>
        <w:p w14:paraId="1ADB1142" w14:textId="643B6B89" w:rsidR="00C93DCC" w:rsidRPr="00C03AFD" w:rsidRDefault="00C93DCC" w:rsidP="00C93DCC">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F4E7F">
            <w:rPr>
              <w:noProof/>
              <w:color w:val="928B81"/>
              <w:sz w:val="18"/>
              <w:lang w:eastAsia="en-AU"/>
            </w:rPr>
            <w:t>3</w:t>
          </w:r>
          <w:r w:rsidRPr="00C03AFD">
            <w:rPr>
              <w:noProof/>
              <w:color w:val="928B81"/>
              <w:sz w:val="18"/>
              <w:lang w:eastAsia="en-AU"/>
            </w:rPr>
            <w:fldChar w:fldCharType="end"/>
          </w:r>
        </w:p>
      </w:tc>
      <w:tc>
        <w:tcPr>
          <w:tcW w:w="2350" w:type="pct"/>
        </w:tcPr>
        <w:p w14:paraId="6131BFF4" w14:textId="77777777" w:rsidR="00C93DCC" w:rsidRDefault="00C93DCC" w:rsidP="00C93DCC">
          <w:pPr>
            <w:pStyle w:val="Footer"/>
            <w:jc w:val="right"/>
          </w:pPr>
          <w:r>
            <w:rPr>
              <w:noProof/>
              <w:lang w:val="en-AU" w:eastAsia="en-AU"/>
            </w:rPr>
            <w:drawing>
              <wp:inline distT="0" distB="0" distL="0" distR="0" wp14:anchorId="61FC9E83" wp14:editId="3359E5B3">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7C37A80" w14:textId="77777777" w:rsidR="00C93DCC" w:rsidRDefault="00C93D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C93DCC" w14:paraId="2413EF4C" w14:textId="77777777" w:rsidTr="002A4A94">
      <w:trPr>
        <w:trHeight w:val="811"/>
      </w:trPr>
      <w:tc>
        <w:tcPr>
          <w:tcW w:w="10005" w:type="dxa"/>
          <w:vAlign w:val="bottom"/>
        </w:tcPr>
        <w:p w14:paraId="0339379D" w14:textId="6730C0B9" w:rsidR="00C93DCC" w:rsidRPr="00051237" w:rsidRDefault="00C93DCC" w:rsidP="00C93DCC">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F4E7F">
            <w:rPr>
              <w:noProof/>
              <w:lang w:eastAsia="en-AU"/>
            </w:rPr>
            <w:t>1</w:t>
          </w:r>
          <w:r>
            <w:rPr>
              <w:noProof/>
              <w:lang w:eastAsia="en-AU"/>
            </w:rPr>
            <w:fldChar w:fldCharType="end"/>
          </w:r>
        </w:p>
      </w:tc>
      <w:tc>
        <w:tcPr>
          <w:tcW w:w="875" w:type="dxa"/>
        </w:tcPr>
        <w:p w14:paraId="451725DA" w14:textId="77777777" w:rsidR="00C93DCC" w:rsidRDefault="00C93DCC" w:rsidP="00C93DCC">
          <w:pPr>
            <w:pStyle w:val="Footer"/>
            <w:jc w:val="right"/>
          </w:pPr>
          <w:r>
            <w:rPr>
              <w:noProof/>
              <w:lang w:val="en-AU" w:eastAsia="en-AU"/>
            </w:rPr>
            <w:drawing>
              <wp:inline distT="0" distB="0" distL="0" distR="0" wp14:anchorId="2BCFEB96" wp14:editId="628D9D13">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7E97CBA" w14:textId="77777777" w:rsidR="00C93DCC" w:rsidRDefault="00C9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E97C8" w14:textId="77777777" w:rsidR="007C2B3F" w:rsidRDefault="007C2B3F" w:rsidP="00BB532F">
      <w:pPr>
        <w:spacing w:after="0" w:line="240" w:lineRule="auto"/>
      </w:pPr>
      <w:r>
        <w:separator/>
      </w:r>
    </w:p>
  </w:footnote>
  <w:footnote w:type="continuationSeparator" w:id="0">
    <w:p w14:paraId="77E6568E" w14:textId="77777777" w:rsidR="007C2B3F" w:rsidRDefault="007C2B3F"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7D2309C1" w14:textId="77777777" w:rsidTr="009D747B">
      <w:trPr>
        <w:trHeight w:val="1337"/>
      </w:trPr>
      <w:tc>
        <w:tcPr>
          <w:tcW w:w="7038" w:type="dxa"/>
        </w:tcPr>
        <w:p w14:paraId="129C7A9B"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81854D8" w14:textId="77777777" w:rsidR="007E2FB7" w:rsidRPr="001E49B2" w:rsidRDefault="001C2248" w:rsidP="001C2248">
          <w:pPr>
            <w:pStyle w:val="TitleSub"/>
            <w:spacing w:after="0"/>
            <w:rPr>
              <w:rFonts w:ascii="Arial" w:hAnsi="Arial" w:cs="Arial"/>
              <w:b/>
            </w:rPr>
          </w:pPr>
          <w:r w:rsidRPr="001E49B2">
            <w:rPr>
              <w:rFonts w:ascii="Arial" w:hAnsi="Arial" w:cs="Arial"/>
              <w:b/>
            </w:rPr>
            <w:t>Manager (Area)</w:t>
          </w:r>
        </w:p>
      </w:tc>
      <w:tc>
        <w:tcPr>
          <w:tcW w:w="3665" w:type="dxa"/>
        </w:tcPr>
        <w:p w14:paraId="38F07E1E" w14:textId="379319BF" w:rsidR="000477E1" w:rsidRPr="000477E1" w:rsidRDefault="00F21F81" w:rsidP="00C93DCC">
          <w:pPr>
            <w:jc w:val="right"/>
          </w:pPr>
          <w:r>
            <w:rPr>
              <w:noProof/>
            </w:rPr>
            <w:drawing>
              <wp:inline distT="0" distB="0" distL="0" distR="0" wp14:anchorId="214F8443" wp14:editId="0291C9F2">
                <wp:extent cx="1424172" cy="834277"/>
                <wp:effectExtent l="0" t="0" r="508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39221" cy="843093"/>
                        </a:xfrm>
                        <a:prstGeom prst="rect">
                          <a:avLst/>
                        </a:prstGeom>
                      </pic:spPr>
                    </pic:pic>
                  </a:graphicData>
                </a:graphic>
              </wp:inline>
            </w:drawing>
          </w:r>
        </w:p>
      </w:tc>
    </w:tr>
  </w:tbl>
  <w:p w14:paraId="443A2E8B"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41614C"/>
    <w:multiLevelType w:val="hybridMultilevel"/>
    <w:tmpl w:val="C61A8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342211">
    <w:abstractNumId w:val="0"/>
  </w:num>
  <w:num w:numId="2" w16cid:durableId="1941911599">
    <w:abstractNumId w:val="2"/>
  </w:num>
  <w:num w:numId="3" w16cid:durableId="1063530207">
    <w:abstractNumId w:val="3"/>
  </w:num>
  <w:num w:numId="4" w16cid:durableId="896205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57A11"/>
    <w:rsid w:val="00060B58"/>
    <w:rsid w:val="000645C8"/>
    <w:rsid w:val="00067161"/>
    <w:rsid w:val="00090771"/>
    <w:rsid w:val="000A2621"/>
    <w:rsid w:val="000C3CC8"/>
    <w:rsid w:val="000D12B3"/>
    <w:rsid w:val="000D799A"/>
    <w:rsid w:val="000F231F"/>
    <w:rsid w:val="00104EC7"/>
    <w:rsid w:val="00115D18"/>
    <w:rsid w:val="001336E8"/>
    <w:rsid w:val="0013413E"/>
    <w:rsid w:val="00134F5E"/>
    <w:rsid w:val="00153F10"/>
    <w:rsid w:val="00165754"/>
    <w:rsid w:val="001671DC"/>
    <w:rsid w:val="0018091E"/>
    <w:rsid w:val="001815E8"/>
    <w:rsid w:val="00185ABC"/>
    <w:rsid w:val="00194A32"/>
    <w:rsid w:val="001A00F1"/>
    <w:rsid w:val="001A1AA1"/>
    <w:rsid w:val="001A1EC8"/>
    <w:rsid w:val="001A4F0B"/>
    <w:rsid w:val="001A687D"/>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C6541"/>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2AFA"/>
    <w:rsid w:val="003A3538"/>
    <w:rsid w:val="003B0F42"/>
    <w:rsid w:val="003B403A"/>
    <w:rsid w:val="003C00FD"/>
    <w:rsid w:val="003C031F"/>
    <w:rsid w:val="003C5EB3"/>
    <w:rsid w:val="003C6335"/>
    <w:rsid w:val="003D5227"/>
    <w:rsid w:val="003E2663"/>
    <w:rsid w:val="00411F3E"/>
    <w:rsid w:val="0041525E"/>
    <w:rsid w:val="004203B4"/>
    <w:rsid w:val="00436621"/>
    <w:rsid w:val="00442732"/>
    <w:rsid w:val="00466287"/>
    <w:rsid w:val="0047547E"/>
    <w:rsid w:val="00492AA6"/>
    <w:rsid w:val="004C45E2"/>
    <w:rsid w:val="004D0C22"/>
    <w:rsid w:val="004D27C8"/>
    <w:rsid w:val="004D4616"/>
    <w:rsid w:val="004E44A5"/>
    <w:rsid w:val="004E474E"/>
    <w:rsid w:val="004E7F32"/>
    <w:rsid w:val="004F4E7F"/>
    <w:rsid w:val="00502DBF"/>
    <w:rsid w:val="00521D19"/>
    <w:rsid w:val="00523CFF"/>
    <w:rsid w:val="00527FCF"/>
    <w:rsid w:val="005307BA"/>
    <w:rsid w:val="00545AC6"/>
    <w:rsid w:val="00551038"/>
    <w:rsid w:val="0059035B"/>
    <w:rsid w:val="005B10E1"/>
    <w:rsid w:val="005B5053"/>
    <w:rsid w:val="005C7AF5"/>
    <w:rsid w:val="005D71EA"/>
    <w:rsid w:val="005E6C59"/>
    <w:rsid w:val="005E75FC"/>
    <w:rsid w:val="005F5FD1"/>
    <w:rsid w:val="005F7EE8"/>
    <w:rsid w:val="006022B4"/>
    <w:rsid w:val="00603D53"/>
    <w:rsid w:val="00612673"/>
    <w:rsid w:val="00612AFA"/>
    <w:rsid w:val="00614552"/>
    <w:rsid w:val="00621D45"/>
    <w:rsid w:val="00623950"/>
    <w:rsid w:val="00626492"/>
    <w:rsid w:val="0063544E"/>
    <w:rsid w:val="006538BF"/>
    <w:rsid w:val="006730AD"/>
    <w:rsid w:val="00674D4C"/>
    <w:rsid w:val="00683870"/>
    <w:rsid w:val="006A2280"/>
    <w:rsid w:val="006B1C17"/>
    <w:rsid w:val="006B723B"/>
    <w:rsid w:val="006C2473"/>
    <w:rsid w:val="006C4218"/>
    <w:rsid w:val="006C540C"/>
    <w:rsid w:val="006D1FBC"/>
    <w:rsid w:val="006E28E7"/>
    <w:rsid w:val="006F6652"/>
    <w:rsid w:val="006F7124"/>
    <w:rsid w:val="00701F8B"/>
    <w:rsid w:val="007041EA"/>
    <w:rsid w:val="00704B0C"/>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B7C1F"/>
    <w:rsid w:val="007C21C8"/>
    <w:rsid w:val="007C2B3F"/>
    <w:rsid w:val="007D0E2E"/>
    <w:rsid w:val="007E2FB7"/>
    <w:rsid w:val="00805561"/>
    <w:rsid w:val="00806FE1"/>
    <w:rsid w:val="00807ED1"/>
    <w:rsid w:val="00817B11"/>
    <w:rsid w:val="008203EE"/>
    <w:rsid w:val="008267A0"/>
    <w:rsid w:val="0083547C"/>
    <w:rsid w:val="00837820"/>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41E4E"/>
    <w:rsid w:val="00A4412E"/>
    <w:rsid w:val="00A47353"/>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7D0C"/>
    <w:rsid w:val="00B0574B"/>
    <w:rsid w:val="00B2037F"/>
    <w:rsid w:val="00B32691"/>
    <w:rsid w:val="00B407F6"/>
    <w:rsid w:val="00B4136D"/>
    <w:rsid w:val="00B635E3"/>
    <w:rsid w:val="00B72B4F"/>
    <w:rsid w:val="00B835C0"/>
    <w:rsid w:val="00B876AF"/>
    <w:rsid w:val="00BA759E"/>
    <w:rsid w:val="00BB532F"/>
    <w:rsid w:val="00BC162D"/>
    <w:rsid w:val="00BC2FE4"/>
    <w:rsid w:val="00BD4DDA"/>
    <w:rsid w:val="00BE3FAF"/>
    <w:rsid w:val="00BE4EAE"/>
    <w:rsid w:val="00C03AFD"/>
    <w:rsid w:val="00C271F9"/>
    <w:rsid w:val="00C517B6"/>
    <w:rsid w:val="00C63F0F"/>
    <w:rsid w:val="00C70636"/>
    <w:rsid w:val="00C70842"/>
    <w:rsid w:val="00C910C0"/>
    <w:rsid w:val="00C93DCC"/>
    <w:rsid w:val="00C961A8"/>
    <w:rsid w:val="00CC76F2"/>
    <w:rsid w:val="00CE105E"/>
    <w:rsid w:val="00CE1E5E"/>
    <w:rsid w:val="00D55E55"/>
    <w:rsid w:val="00D663ED"/>
    <w:rsid w:val="00D67A17"/>
    <w:rsid w:val="00D74882"/>
    <w:rsid w:val="00D759EE"/>
    <w:rsid w:val="00D956AA"/>
    <w:rsid w:val="00DA075A"/>
    <w:rsid w:val="00DA543F"/>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1135"/>
    <w:rsid w:val="00E95F38"/>
    <w:rsid w:val="00EA7A67"/>
    <w:rsid w:val="00EC0B04"/>
    <w:rsid w:val="00EC4A51"/>
    <w:rsid w:val="00EC5C1D"/>
    <w:rsid w:val="00ED176B"/>
    <w:rsid w:val="00F174E5"/>
    <w:rsid w:val="00F21F81"/>
    <w:rsid w:val="00F31B35"/>
    <w:rsid w:val="00F339CD"/>
    <w:rsid w:val="00F33A43"/>
    <w:rsid w:val="00F41650"/>
    <w:rsid w:val="00F47143"/>
    <w:rsid w:val="00F86843"/>
    <w:rsid w:val="00F9569D"/>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749F1"/>
  <w15:docId w15:val="{A02C0B84-A021-4C7C-9915-E9E182B3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NormalWeb">
    <w:name w:val="Normal (Web)"/>
    <w:basedOn w:val="Normal"/>
    <w:uiPriority w:val="99"/>
    <w:unhideWhenUsed/>
    <w:rsid w:val="00C93DC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C93DCC"/>
    <w:rPr>
      <w:rFonts w:cs="Times New Roman"/>
      <w:b/>
      <w:bCs/>
    </w:rPr>
  </w:style>
  <w:style w:type="paragraph" w:styleId="PlainText">
    <w:name w:val="Plain Text"/>
    <w:basedOn w:val="Normal"/>
    <w:link w:val="PlainTextChar"/>
    <w:uiPriority w:val="99"/>
    <w:unhideWhenUsed/>
    <w:rsid w:val="00C93DCC"/>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C93DCC"/>
    <w:rPr>
      <w:rFonts w:ascii="Calibri" w:eastAsiaTheme="minorHAnsi" w:hAnsi="Calibri"/>
      <w:szCs w:val="21"/>
      <w:lang w:val="en-AU"/>
    </w:rPr>
  </w:style>
  <w:style w:type="character" w:customStyle="1" w:styleId="normaltextrun">
    <w:name w:val="normaltextrun"/>
    <w:basedOn w:val="DefaultParagraphFont"/>
    <w:rsid w:val="00F2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5796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AddedtoRDDocumentLibrary xmlns="61124d02-a506-4a4e-a704-85d172cd7910">false</AddedtoRDDocumentLibrary>
    <Generictemplatecreated xmlns="61124d02-a506-4a4e-a704-85d172cd7910">true</Generictemplatecre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B44C-51AF-479C-A581-756CADF601CE}">
  <ds:schemaRefs>
    <ds:schemaRef ds:uri="http://schemas.microsoft.com/sharepoint/v3/contenttype/forms"/>
  </ds:schemaRefs>
</ds:datastoreItem>
</file>

<file path=customXml/itemProps2.xml><?xml version="1.0" encoding="utf-8"?>
<ds:datastoreItem xmlns:ds="http://schemas.openxmlformats.org/officeDocument/2006/customXml" ds:itemID="{E593A33A-7595-4AEC-A7CF-464AC173BCC5}">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0A1D4E59-5D16-4745-B9BA-21E29646D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63E0C5-5455-4304-9746-BCA1D5FF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7</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Rana Marmora</cp:lastModifiedBy>
  <cp:revision>2</cp:revision>
  <dcterms:created xsi:type="dcterms:W3CDTF">2024-07-11T04:09:00Z</dcterms:created>
  <dcterms:modified xsi:type="dcterms:W3CDTF">2024-07-11T04:09:00Z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