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D3357" w14:paraId="16588E8D" w14:textId="77777777" w:rsidTr="6FB3072F">
        <w:trPr>
          <w:cnfStyle w:val="100000000000" w:firstRow="1" w:lastRow="0" w:firstColumn="0" w:lastColumn="0" w:oddVBand="0" w:evenVBand="0" w:oddHBand="0" w:evenHBand="0" w:firstRowFirstColumn="0" w:firstRowLastColumn="0" w:lastRowFirstColumn="0" w:lastRowLastColumn="0"/>
        </w:trPr>
        <w:tc>
          <w:tcPr>
            <w:tcW w:w="4026" w:type="dxa"/>
          </w:tcPr>
          <w:p w14:paraId="49E5FD4A" w14:textId="77777777" w:rsidR="00801E41" w:rsidRPr="00DD3357" w:rsidRDefault="00801E41" w:rsidP="00C60D72">
            <w:pPr>
              <w:pStyle w:val="TableTextWhite"/>
              <w:rPr>
                <w:b/>
              </w:rPr>
            </w:pPr>
            <w:r w:rsidRPr="00DD3357">
              <w:rPr>
                <w:b/>
              </w:rPr>
              <w:t>Cluster</w:t>
            </w:r>
          </w:p>
        </w:tc>
        <w:tc>
          <w:tcPr>
            <w:tcW w:w="6831" w:type="dxa"/>
          </w:tcPr>
          <w:p w14:paraId="1732E3C4" w14:textId="1B31EE7B" w:rsidR="00801E41" w:rsidRPr="00346551" w:rsidRDefault="00C171B1" w:rsidP="00C60D72">
            <w:pPr>
              <w:pStyle w:val="TableTextWhite"/>
              <w:rPr>
                <w:b/>
                <w:bCs/>
              </w:rPr>
            </w:pPr>
            <w:r w:rsidRPr="002961B8">
              <w:rPr>
                <w:b/>
                <w:bCs/>
              </w:rPr>
              <w:t>Planning, Housing and Infrastructure</w:t>
            </w:r>
          </w:p>
        </w:tc>
      </w:tr>
      <w:tr w:rsidR="004B639C" w:rsidRPr="00DD3357" w14:paraId="6A42392D" w14:textId="77777777" w:rsidTr="6FB3072F">
        <w:tc>
          <w:tcPr>
            <w:tcW w:w="4026" w:type="dxa"/>
          </w:tcPr>
          <w:p w14:paraId="5E61817A" w14:textId="77777777" w:rsidR="004B639C" w:rsidRPr="00DD3357" w:rsidRDefault="004B639C" w:rsidP="004B639C">
            <w:pPr>
              <w:pStyle w:val="TableTextWhite"/>
              <w:rPr>
                <w:b/>
              </w:rPr>
            </w:pPr>
            <w:r w:rsidRPr="00DD3357">
              <w:rPr>
                <w:b/>
              </w:rPr>
              <w:t>Agency</w:t>
            </w:r>
          </w:p>
        </w:tc>
        <w:tc>
          <w:tcPr>
            <w:tcW w:w="6831" w:type="dxa"/>
          </w:tcPr>
          <w:p w14:paraId="5DB0FF62" w14:textId="65969DB4" w:rsidR="004B639C" w:rsidRPr="00346551" w:rsidRDefault="004B639C" w:rsidP="004B639C">
            <w:pPr>
              <w:pStyle w:val="TableTextWhite"/>
              <w:rPr>
                <w:b/>
                <w:bCs/>
              </w:rPr>
            </w:pPr>
            <w:r w:rsidRPr="00DD3357">
              <w:rPr>
                <w:b/>
                <w:bCs/>
              </w:rPr>
              <w:t>Department of Planning, Housing and Infrastructure (DPHI)</w:t>
            </w:r>
          </w:p>
        </w:tc>
      </w:tr>
      <w:tr w:rsidR="004B639C" w:rsidRPr="00DD3357" w14:paraId="3A00A447" w14:textId="77777777" w:rsidTr="6FB3072F">
        <w:tc>
          <w:tcPr>
            <w:tcW w:w="4026" w:type="dxa"/>
          </w:tcPr>
          <w:p w14:paraId="099866BE" w14:textId="77777777" w:rsidR="004B639C" w:rsidRPr="00DD3357" w:rsidRDefault="004B639C" w:rsidP="004B639C">
            <w:pPr>
              <w:pStyle w:val="TableTextWhite"/>
              <w:rPr>
                <w:b/>
              </w:rPr>
            </w:pPr>
            <w:r w:rsidRPr="00DD3357">
              <w:rPr>
                <w:b/>
              </w:rPr>
              <w:t>Division/Branch/Unit</w:t>
            </w:r>
          </w:p>
        </w:tc>
        <w:tc>
          <w:tcPr>
            <w:tcW w:w="6831" w:type="dxa"/>
          </w:tcPr>
          <w:p w14:paraId="36AA3003" w14:textId="5E2CE4FF" w:rsidR="004B639C" w:rsidRPr="00346551" w:rsidRDefault="004B639C" w:rsidP="004B639C">
            <w:pPr>
              <w:pStyle w:val="TableTextWhite"/>
              <w:rPr>
                <w:b/>
                <w:bCs/>
              </w:rPr>
            </w:pPr>
            <w:r w:rsidRPr="00DD3357">
              <w:rPr>
                <w:b/>
                <w:bCs/>
              </w:rPr>
              <w:t>Strategic Services and Advice / People and Culture</w:t>
            </w:r>
          </w:p>
        </w:tc>
      </w:tr>
      <w:tr w:rsidR="6C0E62E9" w:rsidRPr="00DD3357" w14:paraId="61D44B8D" w14:textId="77777777" w:rsidTr="6FB3072F">
        <w:trPr>
          <w:trHeight w:val="300"/>
        </w:trPr>
        <w:tc>
          <w:tcPr>
            <w:tcW w:w="4026" w:type="dxa"/>
          </w:tcPr>
          <w:p w14:paraId="1431B144" w14:textId="745E1D88" w:rsidR="014948AA" w:rsidRPr="00DD3357" w:rsidRDefault="014948AA" w:rsidP="6C0E62E9">
            <w:pPr>
              <w:pStyle w:val="TableTextWhite"/>
              <w:rPr>
                <w:b/>
                <w:bCs/>
              </w:rPr>
            </w:pPr>
            <w:r w:rsidRPr="00DD3357">
              <w:rPr>
                <w:b/>
                <w:bCs/>
              </w:rPr>
              <w:t>Role ID</w:t>
            </w:r>
          </w:p>
        </w:tc>
        <w:tc>
          <w:tcPr>
            <w:tcW w:w="6831" w:type="dxa"/>
          </w:tcPr>
          <w:p w14:paraId="45BA30ED" w14:textId="1CFA8213" w:rsidR="014948AA" w:rsidRPr="00346551" w:rsidRDefault="014948AA" w:rsidP="6C0E62E9">
            <w:pPr>
              <w:pStyle w:val="TableTextWhite"/>
              <w:rPr>
                <w:b/>
                <w:bCs/>
              </w:rPr>
            </w:pPr>
            <w:r w:rsidRPr="00346551">
              <w:rPr>
                <w:b/>
                <w:bCs/>
              </w:rPr>
              <w:t>50031638</w:t>
            </w:r>
          </w:p>
        </w:tc>
      </w:tr>
      <w:tr w:rsidR="00801E41" w:rsidRPr="00DD3357" w14:paraId="1161E8AD" w14:textId="77777777" w:rsidTr="6FB3072F">
        <w:tc>
          <w:tcPr>
            <w:tcW w:w="4026" w:type="dxa"/>
          </w:tcPr>
          <w:p w14:paraId="26FD869B" w14:textId="77777777" w:rsidR="00801E41" w:rsidRPr="00DD3357" w:rsidRDefault="00801E41" w:rsidP="00C60D72">
            <w:pPr>
              <w:pStyle w:val="TableTextWhite"/>
              <w:rPr>
                <w:b/>
              </w:rPr>
            </w:pPr>
            <w:r w:rsidRPr="00DD3357">
              <w:rPr>
                <w:b/>
              </w:rPr>
              <w:t>Classification/Grade/Band</w:t>
            </w:r>
          </w:p>
        </w:tc>
        <w:tc>
          <w:tcPr>
            <w:tcW w:w="6831" w:type="dxa"/>
          </w:tcPr>
          <w:p w14:paraId="6721A91F" w14:textId="77777777" w:rsidR="00801E41" w:rsidRPr="00346551" w:rsidRDefault="00801E41" w:rsidP="00C60D72">
            <w:pPr>
              <w:pStyle w:val="TableTextWhite"/>
              <w:rPr>
                <w:b/>
                <w:bCs/>
              </w:rPr>
            </w:pPr>
            <w:r w:rsidRPr="00346551">
              <w:rPr>
                <w:b/>
                <w:bCs/>
              </w:rPr>
              <w:t>Clerk Grade 11/12</w:t>
            </w:r>
          </w:p>
        </w:tc>
      </w:tr>
      <w:tr w:rsidR="00801E41" w:rsidRPr="00DD3357" w14:paraId="7BC3D89C" w14:textId="77777777" w:rsidTr="6FB3072F">
        <w:tc>
          <w:tcPr>
            <w:tcW w:w="4026" w:type="dxa"/>
          </w:tcPr>
          <w:p w14:paraId="489F0F2D" w14:textId="77777777" w:rsidR="00801E41" w:rsidRPr="00DD3357" w:rsidRDefault="00801E41" w:rsidP="00C60D72">
            <w:pPr>
              <w:pStyle w:val="TableTextWhite"/>
              <w:rPr>
                <w:b/>
              </w:rPr>
            </w:pPr>
            <w:r w:rsidRPr="00DD3357">
              <w:rPr>
                <w:b/>
              </w:rPr>
              <w:t>ANZSCO Code</w:t>
            </w:r>
          </w:p>
        </w:tc>
        <w:tc>
          <w:tcPr>
            <w:tcW w:w="6831" w:type="dxa"/>
          </w:tcPr>
          <w:p w14:paraId="1915FE27" w14:textId="5AF5AE4B" w:rsidR="00801E41" w:rsidRPr="00346551" w:rsidRDefault="00801E41" w:rsidP="00C60D72">
            <w:pPr>
              <w:pStyle w:val="TableTextWhite"/>
              <w:rPr>
                <w:b/>
                <w:bCs/>
              </w:rPr>
            </w:pPr>
            <w:r w:rsidRPr="00346551">
              <w:rPr>
                <w:b/>
                <w:bCs/>
              </w:rPr>
              <w:t>2231</w:t>
            </w:r>
            <w:r w:rsidR="611E8922" w:rsidRPr="00346551">
              <w:rPr>
                <w:b/>
                <w:bCs/>
              </w:rPr>
              <w:t>11</w:t>
            </w:r>
          </w:p>
        </w:tc>
      </w:tr>
      <w:tr w:rsidR="00801E41" w:rsidRPr="00DD3357" w14:paraId="76843E8C" w14:textId="77777777" w:rsidTr="6FB3072F">
        <w:tc>
          <w:tcPr>
            <w:tcW w:w="4026" w:type="dxa"/>
          </w:tcPr>
          <w:p w14:paraId="2359CC97" w14:textId="77777777" w:rsidR="00801E41" w:rsidRPr="00DD3357" w:rsidRDefault="00801E41" w:rsidP="00C60D72">
            <w:pPr>
              <w:pStyle w:val="TableTextWhite"/>
              <w:rPr>
                <w:b/>
              </w:rPr>
            </w:pPr>
            <w:r w:rsidRPr="00DD3357">
              <w:rPr>
                <w:b/>
              </w:rPr>
              <w:t>PCAT Code</w:t>
            </w:r>
          </w:p>
        </w:tc>
        <w:tc>
          <w:tcPr>
            <w:tcW w:w="6831" w:type="dxa"/>
          </w:tcPr>
          <w:p w14:paraId="470A7055" w14:textId="0D5FE47E" w:rsidR="00801E41" w:rsidRPr="00346551" w:rsidRDefault="00801E41" w:rsidP="00C60D72">
            <w:pPr>
              <w:pStyle w:val="TableTextWhite"/>
              <w:rPr>
                <w:b/>
                <w:bCs/>
              </w:rPr>
            </w:pPr>
            <w:r w:rsidRPr="00346551">
              <w:rPr>
                <w:b/>
                <w:bCs/>
              </w:rPr>
              <w:t>1224</w:t>
            </w:r>
            <w:r w:rsidR="0F64A077" w:rsidRPr="00346551">
              <w:rPr>
                <w:b/>
                <w:bCs/>
              </w:rPr>
              <w:t>3</w:t>
            </w:r>
            <w:r w:rsidRPr="00346551">
              <w:rPr>
                <w:b/>
                <w:bCs/>
              </w:rPr>
              <w:t>92</w:t>
            </w:r>
          </w:p>
        </w:tc>
      </w:tr>
      <w:tr w:rsidR="00801E41" w:rsidRPr="00DD3357" w14:paraId="002F16F8" w14:textId="77777777" w:rsidTr="6FB3072F">
        <w:tc>
          <w:tcPr>
            <w:tcW w:w="4026" w:type="dxa"/>
          </w:tcPr>
          <w:p w14:paraId="4A60809D" w14:textId="77777777" w:rsidR="00801E41" w:rsidRPr="00DD3357" w:rsidRDefault="00801E41" w:rsidP="00C60D72">
            <w:pPr>
              <w:pStyle w:val="TableTextWhite"/>
              <w:rPr>
                <w:b/>
              </w:rPr>
            </w:pPr>
            <w:r w:rsidRPr="00DD3357">
              <w:rPr>
                <w:b/>
              </w:rPr>
              <w:t>Date of Approval</w:t>
            </w:r>
          </w:p>
        </w:tc>
        <w:tc>
          <w:tcPr>
            <w:tcW w:w="6831" w:type="dxa"/>
          </w:tcPr>
          <w:p w14:paraId="7332D555" w14:textId="4CDED761" w:rsidR="00801E41" w:rsidRPr="00346551" w:rsidRDefault="00801E41" w:rsidP="00C60D72">
            <w:pPr>
              <w:pStyle w:val="TableTextWhite"/>
              <w:rPr>
                <w:b/>
                <w:bCs/>
              </w:rPr>
            </w:pPr>
            <w:r w:rsidRPr="00346551">
              <w:rPr>
                <w:b/>
                <w:bCs/>
              </w:rPr>
              <w:t>October 202</w:t>
            </w:r>
            <w:r w:rsidR="00FD747A" w:rsidRPr="00346551">
              <w:rPr>
                <w:b/>
                <w:bCs/>
              </w:rPr>
              <w:t>4</w:t>
            </w:r>
            <w:r w:rsidR="00625A71">
              <w:rPr>
                <w:b/>
                <w:bCs/>
              </w:rPr>
              <w:t xml:space="preserve"> (Updated from June 2024)</w:t>
            </w:r>
          </w:p>
        </w:tc>
      </w:tr>
      <w:tr w:rsidR="00801E41" w:rsidRPr="00DD3357" w14:paraId="34968522" w14:textId="77777777" w:rsidTr="6FB3072F">
        <w:tc>
          <w:tcPr>
            <w:tcW w:w="4026" w:type="dxa"/>
          </w:tcPr>
          <w:p w14:paraId="2990C997" w14:textId="77777777" w:rsidR="00801E41" w:rsidRPr="00DD3357" w:rsidRDefault="00801E41" w:rsidP="00C60D72">
            <w:pPr>
              <w:pStyle w:val="TableTextWhite"/>
              <w:rPr>
                <w:b/>
              </w:rPr>
            </w:pPr>
            <w:r w:rsidRPr="00DD3357">
              <w:rPr>
                <w:b/>
              </w:rPr>
              <w:t>Agency Website</w:t>
            </w:r>
          </w:p>
        </w:tc>
        <w:tc>
          <w:tcPr>
            <w:tcW w:w="6831" w:type="dxa"/>
          </w:tcPr>
          <w:p w14:paraId="329260C0" w14:textId="7B59E5F9" w:rsidR="00801E41" w:rsidRPr="00346551" w:rsidRDefault="00BA353B" w:rsidP="00C60D72">
            <w:pPr>
              <w:pStyle w:val="TableTextWhite"/>
              <w:rPr>
                <w:b/>
                <w:bCs/>
              </w:rPr>
            </w:pPr>
            <w:r w:rsidRPr="00DD3357">
              <w:rPr>
                <w:b/>
                <w:bCs/>
              </w:rPr>
              <w:t>https://www.nsw.gov.au/departments-and-agencies/department-of-planning-housing-and-infrastructure</w:t>
            </w:r>
          </w:p>
        </w:tc>
      </w:tr>
    </w:tbl>
    <w:p w14:paraId="0D7E4BF6" w14:textId="77777777" w:rsidR="00477EB1" w:rsidRPr="0065421B" w:rsidRDefault="00477EB1" w:rsidP="00477EB1">
      <w:pPr>
        <w:tabs>
          <w:tab w:val="left" w:pos="2925"/>
        </w:tabs>
        <w:rPr>
          <w:rFonts w:cs="Arial"/>
          <w:lang w:val="en-AU"/>
        </w:rPr>
      </w:pPr>
    </w:p>
    <w:p w14:paraId="4134D157" w14:textId="77777777" w:rsidR="003927AE" w:rsidRPr="00DD3357" w:rsidRDefault="003927AE" w:rsidP="003927AE">
      <w:pPr>
        <w:tabs>
          <w:tab w:val="left" w:pos="2925"/>
        </w:tabs>
        <w:rPr>
          <w:rStyle w:val="Heading1Char"/>
        </w:rPr>
      </w:pPr>
      <w:r w:rsidRPr="00DD3357">
        <w:rPr>
          <w:rStyle w:val="Heading1Char"/>
        </w:rPr>
        <w:t>Agency overview</w:t>
      </w:r>
    </w:p>
    <w:p w14:paraId="342928E7" w14:textId="77777777" w:rsidR="00B75270" w:rsidRPr="00DD3357" w:rsidRDefault="00B75270" w:rsidP="00B75270">
      <w:pPr>
        <w:rPr>
          <w:rFonts w:cs="Arial"/>
          <w:lang w:val="en-AU"/>
        </w:rPr>
      </w:pPr>
      <w:r w:rsidRPr="00DD3357">
        <w:rPr>
          <w:rFonts w:cs="Arial"/>
          <w:lang w:val="en-AU"/>
        </w:rPr>
        <w:t>The Department of Planning, Housing and Infrastructure (DPHI) improves the liveability and prosperity of NSW. To achieve this, we:</w:t>
      </w:r>
    </w:p>
    <w:p w14:paraId="2A12FE7C" w14:textId="77777777" w:rsidR="00B75270" w:rsidRPr="00DD3357" w:rsidRDefault="00B75270" w:rsidP="00B75270">
      <w:pPr>
        <w:pStyle w:val="ListBullet"/>
        <w:rPr>
          <w:rFonts w:ascii="Arial" w:hAnsi="Arial" w:cs="Arial"/>
          <w:szCs w:val="22"/>
        </w:rPr>
      </w:pPr>
      <w:r w:rsidRPr="00DD3357">
        <w:rPr>
          <w:rFonts w:ascii="Arial" w:hAnsi="Arial" w:cs="Arial"/>
          <w:szCs w:val="22"/>
        </w:rPr>
        <w:t xml:space="preserve">create vibrant, productive spaces and </w:t>
      </w:r>
      <w:proofErr w:type="gramStart"/>
      <w:r w:rsidRPr="00DD3357">
        <w:rPr>
          <w:rFonts w:ascii="Arial" w:hAnsi="Arial" w:cs="Arial"/>
          <w:szCs w:val="22"/>
        </w:rPr>
        <w:t>precincts;</w:t>
      </w:r>
      <w:proofErr w:type="gramEnd"/>
    </w:p>
    <w:p w14:paraId="35B9A959" w14:textId="77777777" w:rsidR="00B75270" w:rsidRPr="00DD3357" w:rsidRDefault="00B75270" w:rsidP="00B75270">
      <w:pPr>
        <w:pStyle w:val="ListBullet"/>
        <w:rPr>
          <w:rFonts w:ascii="Arial" w:hAnsi="Arial" w:cs="Arial"/>
          <w:szCs w:val="22"/>
        </w:rPr>
      </w:pPr>
      <w:r w:rsidRPr="00DD3357">
        <w:rPr>
          <w:rFonts w:ascii="Arial" w:hAnsi="Arial" w:cs="Arial"/>
          <w:szCs w:val="22"/>
        </w:rPr>
        <w:t>manage lands, assets and property effectively; and</w:t>
      </w:r>
    </w:p>
    <w:p w14:paraId="2EA28E0E" w14:textId="77777777" w:rsidR="00B75270" w:rsidRPr="00DD3357" w:rsidRDefault="00B75270" w:rsidP="00B75270">
      <w:pPr>
        <w:pStyle w:val="ListBullet"/>
        <w:rPr>
          <w:rFonts w:cs="Arial"/>
        </w:rPr>
      </w:pPr>
      <w:r w:rsidRPr="00DD3357">
        <w:rPr>
          <w:rFonts w:ascii="Arial" w:hAnsi="Arial" w:cs="Arial"/>
          <w:szCs w:val="22"/>
        </w:rPr>
        <w:t>deliver affordable and diverse housing.</w:t>
      </w:r>
    </w:p>
    <w:p w14:paraId="2D3076F2" w14:textId="77777777" w:rsidR="00B75270" w:rsidRPr="0065421B" w:rsidRDefault="00B75270" w:rsidP="00B75270">
      <w:pPr>
        <w:spacing w:before="240"/>
        <w:rPr>
          <w:rFonts w:cs="Arial"/>
          <w:lang w:val="en-AU"/>
        </w:rPr>
      </w:pPr>
      <w:r w:rsidRPr="0065421B">
        <w:rPr>
          <w:rFonts w:cs="Arial"/>
          <w:lang w:val="en-AU"/>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6D667B47" w14:textId="77777777" w:rsidR="003927AE" w:rsidRPr="00DD3357" w:rsidRDefault="003927AE" w:rsidP="003927AE">
      <w:pPr>
        <w:tabs>
          <w:tab w:val="left" w:pos="2925"/>
        </w:tabs>
        <w:rPr>
          <w:rStyle w:val="Heading1Char"/>
        </w:rPr>
      </w:pPr>
      <w:r w:rsidRPr="00DD3357">
        <w:rPr>
          <w:rStyle w:val="Heading1Char"/>
        </w:rPr>
        <w:t>Primary purpose of the role</w:t>
      </w:r>
    </w:p>
    <w:p w14:paraId="4B43B86A" w14:textId="0F5FC870" w:rsidR="00B448F7" w:rsidRDefault="00241FAB" w:rsidP="00617E37">
      <w:pPr>
        <w:tabs>
          <w:tab w:val="left" w:pos="2925"/>
        </w:tabs>
        <w:rPr>
          <w:lang w:val="en-AU"/>
        </w:rPr>
      </w:pPr>
      <w:r>
        <w:rPr>
          <w:lang w:val="en-AU"/>
        </w:rPr>
        <w:t xml:space="preserve">This role is  </w:t>
      </w:r>
      <w:r w:rsidR="00ED358D">
        <w:rPr>
          <w:lang w:val="en-AU"/>
        </w:rPr>
        <w:t xml:space="preserve">responsible </w:t>
      </w:r>
      <w:r w:rsidR="00864E4F">
        <w:rPr>
          <w:lang w:val="en-AU"/>
        </w:rPr>
        <w:t xml:space="preserve">for </w:t>
      </w:r>
      <w:r>
        <w:rPr>
          <w:lang w:val="en-AU"/>
        </w:rPr>
        <w:t xml:space="preserve">guiding </w:t>
      </w:r>
      <w:r w:rsidR="003927AE" w:rsidRPr="0065421B">
        <w:rPr>
          <w:lang w:val="en-AU"/>
        </w:rPr>
        <w:t>a team</w:t>
      </w:r>
      <w:r w:rsidR="003927AE">
        <w:rPr>
          <w:lang w:val="en-AU"/>
        </w:rPr>
        <w:t xml:space="preserve"> </w:t>
      </w:r>
      <w:r w:rsidR="00864E4F">
        <w:rPr>
          <w:lang w:val="en-AU"/>
        </w:rPr>
        <w:t xml:space="preserve">as a SME </w:t>
      </w:r>
      <w:r w:rsidR="003927AE">
        <w:rPr>
          <w:lang w:val="en-AU"/>
        </w:rPr>
        <w:t xml:space="preserve">in </w:t>
      </w:r>
      <w:r w:rsidR="00F26790">
        <w:rPr>
          <w:lang w:val="en-AU"/>
        </w:rPr>
        <w:t>the</w:t>
      </w:r>
      <w:r w:rsidR="003927AE" w:rsidRPr="0065421B">
        <w:rPr>
          <w:lang w:val="en-AU"/>
        </w:rPr>
        <w:t xml:space="preserve"> deliver</w:t>
      </w:r>
      <w:r w:rsidR="00B448F7">
        <w:rPr>
          <w:lang w:val="en-AU"/>
        </w:rPr>
        <w:t>y</w:t>
      </w:r>
      <w:r w:rsidR="003927AE" w:rsidRPr="0065421B">
        <w:rPr>
          <w:lang w:val="en-AU"/>
        </w:rPr>
        <w:t xml:space="preserve">, </w:t>
      </w:r>
      <w:r w:rsidR="00B448F7" w:rsidRPr="00B448F7">
        <w:rPr>
          <w:lang w:val="en-AU"/>
        </w:rPr>
        <w:t>implement</w:t>
      </w:r>
      <w:r w:rsidR="00B448F7">
        <w:rPr>
          <w:lang w:val="en-AU"/>
        </w:rPr>
        <w:t>ation</w:t>
      </w:r>
      <w:r w:rsidR="003927AE" w:rsidRPr="0065421B">
        <w:rPr>
          <w:lang w:val="en-AU"/>
        </w:rPr>
        <w:t xml:space="preserve"> and </w:t>
      </w:r>
      <w:r w:rsidR="00F26790">
        <w:rPr>
          <w:lang w:val="en-AU"/>
        </w:rPr>
        <w:t xml:space="preserve">evaluation </w:t>
      </w:r>
      <w:r w:rsidR="00B448F7">
        <w:rPr>
          <w:lang w:val="en-AU"/>
        </w:rPr>
        <w:t>of</w:t>
      </w:r>
      <w:r w:rsidR="003927AE" w:rsidRPr="0065421B">
        <w:rPr>
          <w:lang w:val="en-AU"/>
        </w:rPr>
        <w:t xml:space="preserve"> innovative and best practice diversity</w:t>
      </w:r>
      <w:r w:rsidR="00B75270" w:rsidRPr="0065421B">
        <w:rPr>
          <w:lang w:val="en-AU"/>
        </w:rPr>
        <w:t xml:space="preserve">, </w:t>
      </w:r>
      <w:r w:rsidR="003927AE" w:rsidRPr="0065421B">
        <w:rPr>
          <w:lang w:val="en-AU"/>
        </w:rPr>
        <w:t xml:space="preserve">inclusion </w:t>
      </w:r>
      <w:r w:rsidR="00B75270" w:rsidRPr="0065421B">
        <w:rPr>
          <w:lang w:val="en-AU"/>
        </w:rPr>
        <w:t xml:space="preserve">and belonging </w:t>
      </w:r>
      <w:r w:rsidR="003927AE" w:rsidRPr="0065421B">
        <w:rPr>
          <w:lang w:val="en-AU"/>
        </w:rPr>
        <w:t xml:space="preserve">programs, initiatives and strategies to </w:t>
      </w:r>
      <w:r w:rsidR="00B75270" w:rsidRPr="0065421B">
        <w:rPr>
          <w:lang w:val="en-AU"/>
        </w:rPr>
        <w:t xml:space="preserve">ensure </w:t>
      </w:r>
      <w:r>
        <w:rPr>
          <w:lang w:val="en-AU"/>
        </w:rPr>
        <w:t xml:space="preserve">leading workplace and </w:t>
      </w:r>
      <w:r w:rsidR="00C4447B" w:rsidRPr="0065421B">
        <w:rPr>
          <w:lang w:val="en-AU"/>
        </w:rPr>
        <w:t xml:space="preserve">diversity </w:t>
      </w:r>
      <w:r>
        <w:rPr>
          <w:lang w:val="en-AU"/>
        </w:rPr>
        <w:t xml:space="preserve">practice across </w:t>
      </w:r>
      <w:r w:rsidR="00C4447B" w:rsidRPr="0065421B">
        <w:rPr>
          <w:lang w:val="en-AU"/>
        </w:rPr>
        <w:t>the department</w:t>
      </w:r>
      <w:r>
        <w:rPr>
          <w:lang w:val="en-AU"/>
        </w:rPr>
        <w:t xml:space="preserve"> and ensuring its alignment </w:t>
      </w:r>
      <w:r w:rsidR="00C4447B" w:rsidRPr="0065421B">
        <w:rPr>
          <w:lang w:val="en-AU"/>
        </w:rPr>
        <w:t xml:space="preserve"> with the NSW community it serves</w:t>
      </w:r>
      <w:r w:rsidR="00864E4F">
        <w:rPr>
          <w:lang w:val="en-AU"/>
        </w:rPr>
        <w:t xml:space="preserve"> </w:t>
      </w:r>
      <w:proofErr w:type="gramStart"/>
      <w:r w:rsidR="00864E4F">
        <w:rPr>
          <w:lang w:val="en-AU"/>
        </w:rPr>
        <w:t>The</w:t>
      </w:r>
      <w:proofErr w:type="gramEnd"/>
      <w:r w:rsidR="00864E4F">
        <w:rPr>
          <w:lang w:val="en-AU"/>
        </w:rPr>
        <w:t xml:space="preserve"> role o</w:t>
      </w:r>
      <w:r w:rsidR="00864E4F" w:rsidRPr="0065421B">
        <w:rPr>
          <w:lang w:val="en-AU"/>
        </w:rPr>
        <w:t>versee</w:t>
      </w:r>
      <w:r w:rsidR="00864E4F">
        <w:rPr>
          <w:lang w:val="en-AU"/>
        </w:rPr>
        <w:t>s</w:t>
      </w:r>
      <w:r w:rsidR="00864E4F" w:rsidRPr="0065421B">
        <w:rPr>
          <w:lang w:val="en-AU"/>
        </w:rPr>
        <w:t xml:space="preserve"> the operationalisation of these </w:t>
      </w:r>
      <w:r w:rsidR="00864E4F">
        <w:rPr>
          <w:lang w:val="en-AU"/>
        </w:rPr>
        <w:t xml:space="preserve">strategies </w:t>
      </w:r>
      <w:r w:rsidR="00864E4F" w:rsidRPr="0065421B">
        <w:rPr>
          <w:lang w:val="en-AU"/>
        </w:rPr>
        <w:t xml:space="preserve">through </w:t>
      </w:r>
      <w:r w:rsidR="00864E4F">
        <w:rPr>
          <w:lang w:val="en-AU"/>
        </w:rPr>
        <w:t>o</w:t>
      </w:r>
      <w:r w:rsidR="00864E4F" w:rsidRPr="0065421B">
        <w:rPr>
          <w:lang w:val="en-AU"/>
        </w:rPr>
        <w:t>rganisational wide implementation, project planning and strategic reporting</w:t>
      </w:r>
      <w:r w:rsidR="00C4447B" w:rsidRPr="0065421B">
        <w:rPr>
          <w:lang w:val="en-AU"/>
        </w:rPr>
        <w:t>.</w:t>
      </w:r>
      <w:r w:rsidR="00F43294" w:rsidRPr="0065421B">
        <w:rPr>
          <w:lang w:val="en-AU"/>
        </w:rPr>
        <w:t xml:space="preserve"> </w:t>
      </w:r>
    </w:p>
    <w:p w14:paraId="129B2121" w14:textId="665F86B8" w:rsidR="00F43294" w:rsidRDefault="00F43294" w:rsidP="00617E37">
      <w:pPr>
        <w:tabs>
          <w:tab w:val="left" w:pos="2925"/>
        </w:tabs>
        <w:rPr>
          <w:lang w:val="en-AU"/>
        </w:rPr>
      </w:pPr>
    </w:p>
    <w:p w14:paraId="5B508BC9" w14:textId="77777777" w:rsidR="00312D69" w:rsidRDefault="00312D69" w:rsidP="00617E37">
      <w:pPr>
        <w:tabs>
          <w:tab w:val="left" w:pos="2925"/>
        </w:tabs>
        <w:rPr>
          <w:lang w:val="en-AU"/>
        </w:rPr>
      </w:pPr>
    </w:p>
    <w:p w14:paraId="3B44A443" w14:textId="77777777" w:rsidR="00312D69" w:rsidRDefault="00312D69" w:rsidP="00617E37">
      <w:pPr>
        <w:tabs>
          <w:tab w:val="left" w:pos="2925"/>
        </w:tabs>
        <w:rPr>
          <w:lang w:val="en-AU"/>
        </w:rPr>
      </w:pPr>
    </w:p>
    <w:p w14:paraId="6AF8C596" w14:textId="77777777" w:rsidR="00312D69" w:rsidRDefault="00312D69" w:rsidP="00617E37">
      <w:pPr>
        <w:tabs>
          <w:tab w:val="left" w:pos="2925"/>
        </w:tabs>
        <w:rPr>
          <w:lang w:val="en-AU"/>
        </w:rPr>
      </w:pPr>
    </w:p>
    <w:p w14:paraId="5B18D25C" w14:textId="77777777" w:rsidR="00312D69" w:rsidRPr="0065421B" w:rsidRDefault="00312D69" w:rsidP="00617E37">
      <w:pPr>
        <w:tabs>
          <w:tab w:val="left" w:pos="2925"/>
        </w:tabs>
        <w:rPr>
          <w:lang w:val="en-AU"/>
        </w:rPr>
      </w:pPr>
    </w:p>
    <w:p w14:paraId="47A2B96C" w14:textId="09E180FA" w:rsidR="003927AE" w:rsidRPr="00DD3357" w:rsidRDefault="003927AE" w:rsidP="00172DFE">
      <w:pPr>
        <w:tabs>
          <w:tab w:val="left" w:pos="2925"/>
        </w:tabs>
        <w:rPr>
          <w:rStyle w:val="Heading1Char"/>
        </w:rPr>
      </w:pPr>
      <w:r w:rsidRPr="00DD3357">
        <w:rPr>
          <w:rStyle w:val="Heading1Char"/>
        </w:rPr>
        <w:lastRenderedPageBreak/>
        <w:t>Key accountabilities</w:t>
      </w:r>
    </w:p>
    <w:p w14:paraId="54647D3E" w14:textId="7482CA99" w:rsidR="00E246D9" w:rsidRPr="001452A6" w:rsidRDefault="00E246D9" w:rsidP="00E246D9">
      <w:pPr>
        <w:pStyle w:val="ListParagraph"/>
        <w:numPr>
          <w:ilvl w:val="0"/>
          <w:numId w:val="10"/>
        </w:numPr>
      </w:pPr>
      <w:r w:rsidRPr="00094595">
        <w:t xml:space="preserve">Lead </w:t>
      </w:r>
      <w:r>
        <w:t xml:space="preserve">the development </w:t>
      </w:r>
      <w:r w:rsidRPr="00094595">
        <w:t xml:space="preserve">and </w:t>
      </w:r>
      <w:r>
        <w:t>implementation of</w:t>
      </w:r>
      <w:r w:rsidRPr="00094595">
        <w:t xml:space="preserve"> strategic diversity, inclusion, and belonging frameworks, policies, and programs to enhance departmental diversity, meet government targets, and reflect community diversity.</w:t>
      </w:r>
    </w:p>
    <w:p w14:paraId="02CDA582" w14:textId="58C5BDFA" w:rsidR="0048614C" w:rsidRPr="0065421B" w:rsidRDefault="00B81BA9" w:rsidP="00942DBE">
      <w:pPr>
        <w:pStyle w:val="ListParagraph"/>
        <w:numPr>
          <w:ilvl w:val="0"/>
          <w:numId w:val="10"/>
        </w:numPr>
        <w:tabs>
          <w:tab w:val="left" w:pos="2925"/>
        </w:tabs>
        <w:rPr>
          <w:rFonts w:cs="Arial"/>
          <w:lang w:val="en-AU"/>
        </w:rPr>
      </w:pPr>
      <w:r>
        <w:rPr>
          <w:lang w:val="en-AU"/>
        </w:rPr>
        <w:t>Guide</w:t>
      </w:r>
      <w:r w:rsidRPr="0065421B">
        <w:rPr>
          <w:lang w:val="en-AU"/>
        </w:rPr>
        <w:t xml:space="preserve"> </w:t>
      </w:r>
      <w:r w:rsidR="007E77DC" w:rsidRPr="0065421B">
        <w:rPr>
          <w:lang w:val="en-AU"/>
        </w:rPr>
        <w:t xml:space="preserve">a team </w:t>
      </w:r>
      <w:r w:rsidR="00EB7C82">
        <w:rPr>
          <w:lang w:val="en-AU"/>
        </w:rPr>
        <w:t>that</w:t>
      </w:r>
      <w:r w:rsidR="00CB4DD0">
        <w:rPr>
          <w:lang w:val="en-AU"/>
        </w:rPr>
        <w:t xml:space="preserve"> </w:t>
      </w:r>
      <w:r w:rsidR="00CB4DD0" w:rsidRPr="00094595">
        <w:rPr>
          <w:rFonts w:cs="Arial"/>
          <w:lang w:val="en-AU"/>
        </w:rPr>
        <w:t>support</w:t>
      </w:r>
      <w:r w:rsidR="00EB7C82">
        <w:rPr>
          <w:rFonts w:cs="Arial"/>
          <w:lang w:val="en-AU"/>
        </w:rPr>
        <w:t>s</w:t>
      </w:r>
      <w:r w:rsidR="00CB4DD0" w:rsidRPr="00094595">
        <w:rPr>
          <w:rFonts w:cs="Arial"/>
          <w:lang w:val="en-AU"/>
        </w:rPr>
        <w:t xml:space="preserve"> the attraction and retention </w:t>
      </w:r>
      <w:r w:rsidR="00CB4DD0">
        <w:rPr>
          <w:rFonts w:cs="Arial"/>
          <w:lang w:val="en-AU"/>
        </w:rPr>
        <w:t>of a diverse workforce,</w:t>
      </w:r>
      <w:r w:rsidR="002C3DE9">
        <w:rPr>
          <w:rFonts w:cs="Arial"/>
          <w:lang w:val="en-AU"/>
        </w:rPr>
        <w:t xml:space="preserve"> </w:t>
      </w:r>
      <w:r w:rsidR="00F94BAA">
        <w:rPr>
          <w:rFonts w:cs="Arial"/>
          <w:lang w:val="en-AU"/>
        </w:rPr>
        <w:t xml:space="preserve">and advocates </w:t>
      </w:r>
      <w:r w:rsidR="0065421B">
        <w:rPr>
          <w:rFonts w:cs="Arial"/>
          <w:lang w:val="en-AU"/>
        </w:rPr>
        <w:t xml:space="preserve">for  </w:t>
      </w:r>
      <w:r w:rsidR="00F94BAA">
        <w:rPr>
          <w:rFonts w:cs="Arial"/>
          <w:lang w:val="en-AU"/>
        </w:rPr>
        <w:t xml:space="preserve">inclusion and </w:t>
      </w:r>
      <w:r w:rsidR="00A329B7">
        <w:rPr>
          <w:rFonts w:cs="Arial"/>
          <w:lang w:val="en-AU"/>
        </w:rPr>
        <w:t>belonging</w:t>
      </w:r>
      <w:r w:rsidR="0065421B">
        <w:rPr>
          <w:rFonts w:cs="Arial"/>
          <w:lang w:val="en-AU"/>
        </w:rPr>
        <w:t xml:space="preserve"> practice</w:t>
      </w:r>
      <w:r w:rsidR="00EB7C82">
        <w:rPr>
          <w:rFonts w:cs="Arial"/>
          <w:lang w:val="en-AU"/>
        </w:rPr>
        <w:t>,</w:t>
      </w:r>
      <w:r w:rsidR="00F94BAA">
        <w:rPr>
          <w:rFonts w:cs="Arial"/>
          <w:lang w:val="en-AU"/>
        </w:rPr>
        <w:t xml:space="preserve"> and support managers and leaders to achieve </w:t>
      </w:r>
      <w:r w:rsidR="00A329B7">
        <w:rPr>
          <w:rFonts w:cs="Arial"/>
          <w:lang w:val="en-AU"/>
        </w:rPr>
        <w:t xml:space="preserve">business outcomes </w:t>
      </w:r>
      <w:r w:rsidR="0065421B">
        <w:rPr>
          <w:rFonts w:cs="Arial"/>
          <w:lang w:val="en-AU"/>
        </w:rPr>
        <w:t xml:space="preserve">underpinned by the value of </w:t>
      </w:r>
      <w:r w:rsidR="00A329B7">
        <w:rPr>
          <w:rFonts w:cs="Arial"/>
          <w:lang w:val="en-AU"/>
        </w:rPr>
        <w:t xml:space="preserve">diversity. </w:t>
      </w:r>
      <w:r w:rsidR="007E77DC">
        <w:rPr>
          <w:rFonts w:cs="Arial"/>
          <w:lang w:val="en-AU"/>
        </w:rPr>
        <w:t xml:space="preserve"> </w:t>
      </w:r>
      <w:r w:rsidR="001000A0" w:rsidRPr="0065421B">
        <w:rPr>
          <w:lang w:val="en-AU"/>
        </w:rPr>
        <w:t xml:space="preserve"> </w:t>
      </w:r>
    </w:p>
    <w:p w14:paraId="2AE6D28A" w14:textId="6899359F" w:rsidR="00EE2CCA" w:rsidRPr="00EE2CCA" w:rsidRDefault="00B81BA9" w:rsidP="00942DBE">
      <w:pPr>
        <w:pStyle w:val="ListParagraph"/>
        <w:numPr>
          <w:ilvl w:val="0"/>
          <w:numId w:val="10"/>
        </w:numPr>
        <w:tabs>
          <w:tab w:val="left" w:pos="2925"/>
        </w:tabs>
        <w:rPr>
          <w:rFonts w:cs="Arial"/>
          <w:lang w:val="en-AU"/>
        </w:rPr>
      </w:pPr>
      <w:r>
        <w:rPr>
          <w:lang w:val="en-AU"/>
        </w:rPr>
        <w:t xml:space="preserve">Direct </w:t>
      </w:r>
      <w:r w:rsidR="00A329B7">
        <w:rPr>
          <w:lang w:val="en-AU"/>
        </w:rPr>
        <w:t xml:space="preserve">the </w:t>
      </w:r>
      <w:r w:rsidR="00EE2CCA">
        <w:rPr>
          <w:lang w:val="en-AU"/>
        </w:rPr>
        <w:t xml:space="preserve">implementation of People and Culture elements </w:t>
      </w:r>
      <w:r>
        <w:rPr>
          <w:lang w:val="en-AU"/>
        </w:rPr>
        <w:t>across</w:t>
      </w:r>
      <w:r w:rsidR="00EE2CCA">
        <w:rPr>
          <w:lang w:val="en-AU"/>
        </w:rPr>
        <w:t xml:space="preserve"> various internal and external action plans </w:t>
      </w:r>
      <w:r>
        <w:rPr>
          <w:lang w:val="en-AU"/>
        </w:rPr>
        <w:t>,</w:t>
      </w:r>
      <w:r w:rsidR="00EE2CCA">
        <w:rPr>
          <w:lang w:val="en-AU"/>
        </w:rPr>
        <w:t xml:space="preserve">strategies </w:t>
      </w:r>
      <w:r>
        <w:rPr>
          <w:lang w:val="en-AU"/>
        </w:rPr>
        <w:t xml:space="preserve">and projects </w:t>
      </w:r>
      <w:r w:rsidR="00EE2CCA">
        <w:rPr>
          <w:lang w:val="en-AU"/>
        </w:rPr>
        <w:t xml:space="preserve">while </w:t>
      </w:r>
      <w:r>
        <w:rPr>
          <w:lang w:val="en-AU"/>
        </w:rPr>
        <w:t xml:space="preserve">ensuring </w:t>
      </w:r>
      <w:r w:rsidR="007C1C94">
        <w:rPr>
          <w:lang w:val="en-AU"/>
        </w:rPr>
        <w:t xml:space="preserve">inclusion and belonging </w:t>
      </w:r>
      <w:r>
        <w:rPr>
          <w:lang w:val="en-AU"/>
        </w:rPr>
        <w:t xml:space="preserve">objectives are delivered to NSW communities where </w:t>
      </w:r>
      <w:r w:rsidR="00031827">
        <w:rPr>
          <w:lang w:val="en-AU"/>
        </w:rPr>
        <w:t>required</w:t>
      </w:r>
      <w:r>
        <w:rPr>
          <w:lang w:val="en-AU"/>
        </w:rPr>
        <w:t xml:space="preserve"> as part of external initiatives </w:t>
      </w:r>
    </w:p>
    <w:p w14:paraId="48167B9A" w14:textId="58C9CCB5" w:rsidR="00D21D88" w:rsidRPr="0065421B" w:rsidRDefault="00D21D88" w:rsidP="00D21D88">
      <w:pPr>
        <w:pStyle w:val="ListParagraph"/>
        <w:numPr>
          <w:ilvl w:val="0"/>
          <w:numId w:val="10"/>
        </w:numPr>
        <w:tabs>
          <w:tab w:val="left" w:pos="2925"/>
        </w:tabs>
        <w:rPr>
          <w:rFonts w:cs="Arial"/>
          <w:lang w:val="en-AU"/>
        </w:rPr>
      </w:pPr>
      <w:r w:rsidRPr="0065421B">
        <w:rPr>
          <w:rFonts w:cs="Arial"/>
          <w:lang w:val="en-AU"/>
        </w:rPr>
        <w:t>Oversee the governance framework</w:t>
      </w:r>
      <w:r w:rsidR="0080642E" w:rsidRPr="0065421B">
        <w:rPr>
          <w:rFonts w:cs="Arial"/>
          <w:lang w:val="en-AU"/>
        </w:rPr>
        <w:t xml:space="preserve"> </w:t>
      </w:r>
      <w:r w:rsidRPr="0065421B">
        <w:rPr>
          <w:rFonts w:cs="Arial"/>
          <w:lang w:val="en-AU"/>
        </w:rPr>
        <w:t xml:space="preserve">and </w:t>
      </w:r>
      <w:r w:rsidR="00EB7C82">
        <w:rPr>
          <w:rFonts w:cs="Arial"/>
          <w:lang w:val="en-AU"/>
        </w:rPr>
        <w:t xml:space="preserve">support </w:t>
      </w:r>
      <w:r w:rsidR="00B81BA9">
        <w:rPr>
          <w:rFonts w:cs="Arial"/>
          <w:lang w:val="en-AU"/>
        </w:rPr>
        <w:t>a range of key strategic plans as well as E</w:t>
      </w:r>
      <w:r w:rsidRPr="0065421B">
        <w:rPr>
          <w:rFonts w:cs="Arial"/>
          <w:lang w:val="en-AU"/>
        </w:rPr>
        <w:t xml:space="preserve">mployee </w:t>
      </w:r>
      <w:r w:rsidR="00B81BA9">
        <w:rPr>
          <w:rFonts w:cs="Arial"/>
          <w:lang w:val="en-AU"/>
        </w:rPr>
        <w:t>R</w:t>
      </w:r>
      <w:r w:rsidR="0080642E" w:rsidRPr="0065421B">
        <w:rPr>
          <w:rFonts w:cs="Arial"/>
          <w:lang w:val="en-AU"/>
        </w:rPr>
        <w:t xml:space="preserve">eference </w:t>
      </w:r>
      <w:r w:rsidR="00B81BA9">
        <w:rPr>
          <w:rFonts w:cs="Arial"/>
          <w:lang w:val="en-AU"/>
        </w:rPr>
        <w:t>G</w:t>
      </w:r>
      <w:r w:rsidR="0080642E" w:rsidRPr="0065421B">
        <w:rPr>
          <w:rFonts w:cs="Arial"/>
          <w:lang w:val="en-AU"/>
        </w:rPr>
        <w:t>roups</w:t>
      </w:r>
      <w:r>
        <w:rPr>
          <w:rFonts w:cs="Arial"/>
          <w:lang w:val="en-AU"/>
        </w:rPr>
        <w:t xml:space="preserve"> </w:t>
      </w:r>
      <w:r w:rsidRPr="0065421B">
        <w:rPr>
          <w:rFonts w:cs="Arial"/>
          <w:lang w:val="en-AU"/>
        </w:rPr>
        <w:t>that celebrate and promote diversity and inclusion</w:t>
      </w:r>
    </w:p>
    <w:p w14:paraId="6AE45618" w14:textId="412390D3" w:rsidR="0080642E" w:rsidRPr="0065421B" w:rsidRDefault="0080642E" w:rsidP="0048614C">
      <w:pPr>
        <w:pStyle w:val="ListParagraph"/>
        <w:numPr>
          <w:ilvl w:val="0"/>
          <w:numId w:val="10"/>
        </w:numPr>
        <w:tabs>
          <w:tab w:val="left" w:pos="2925"/>
        </w:tabs>
        <w:rPr>
          <w:rFonts w:cs="Arial"/>
          <w:lang w:val="en-AU"/>
        </w:rPr>
      </w:pPr>
      <w:r w:rsidRPr="0065421B">
        <w:rPr>
          <w:lang w:val="en-AU"/>
        </w:rPr>
        <w:t>Maintain awareness of relevant issues, policy obligations, insights, challenges, industry trends</w:t>
      </w:r>
      <w:r w:rsidR="005C3952" w:rsidRPr="0065421B">
        <w:rPr>
          <w:lang w:val="en-AU"/>
        </w:rPr>
        <w:t xml:space="preserve">, </w:t>
      </w:r>
      <w:r w:rsidRPr="0065421B">
        <w:rPr>
          <w:lang w:val="en-AU"/>
        </w:rPr>
        <w:t xml:space="preserve">practices and opportunities </w:t>
      </w:r>
      <w:proofErr w:type="gramStart"/>
      <w:r w:rsidRPr="0065421B">
        <w:rPr>
          <w:lang w:val="en-AU"/>
        </w:rPr>
        <w:t>in order to</w:t>
      </w:r>
      <w:proofErr w:type="gramEnd"/>
      <w:r w:rsidRPr="0065421B">
        <w:rPr>
          <w:lang w:val="en-AU"/>
        </w:rPr>
        <w:t xml:space="preserve"> identify, evaluate, recommend and deliver innovative solutions and contribute to </w:t>
      </w:r>
      <w:r w:rsidR="00B81BA9">
        <w:rPr>
          <w:lang w:val="en-AU"/>
        </w:rPr>
        <w:t xml:space="preserve">building a positive organisational culture and </w:t>
      </w:r>
      <w:r w:rsidRPr="0065421B">
        <w:rPr>
          <w:lang w:val="en-AU"/>
        </w:rPr>
        <w:t>a best practice diversity and inclusion function</w:t>
      </w:r>
      <w:r w:rsidR="00942DBE" w:rsidRPr="0065421B">
        <w:rPr>
          <w:lang w:val="en-AU"/>
        </w:rPr>
        <w:t>.</w:t>
      </w:r>
    </w:p>
    <w:p w14:paraId="4E1CAD1E" w14:textId="350F3279" w:rsidR="00CD3EF1" w:rsidRPr="0065421B" w:rsidRDefault="00F51B9E" w:rsidP="00CD3EF1">
      <w:pPr>
        <w:pStyle w:val="ListParagraph"/>
        <w:numPr>
          <w:ilvl w:val="0"/>
          <w:numId w:val="10"/>
        </w:numPr>
        <w:tabs>
          <w:tab w:val="left" w:pos="2925"/>
        </w:tabs>
        <w:rPr>
          <w:rFonts w:cs="Arial"/>
          <w:lang w:val="en-AU"/>
        </w:rPr>
      </w:pPr>
      <w:r>
        <w:rPr>
          <w:lang w:val="en-AU"/>
        </w:rPr>
        <w:t>Coordinate</w:t>
      </w:r>
      <w:r w:rsidR="00CD3EF1" w:rsidRPr="0065421B">
        <w:rPr>
          <w:rFonts w:cs="Arial"/>
          <w:lang w:val="en-AU"/>
        </w:rPr>
        <w:t xml:space="preserve"> workforce research and analysis, applying industry best practice to </w:t>
      </w:r>
      <w:r w:rsidR="00942DBE" w:rsidRPr="0065421B">
        <w:rPr>
          <w:rFonts w:cs="Arial"/>
          <w:lang w:val="en-AU"/>
        </w:rPr>
        <w:t>monitor</w:t>
      </w:r>
      <w:r w:rsidR="00CD3EF1" w:rsidRPr="0065421B">
        <w:rPr>
          <w:rFonts w:cs="Arial"/>
          <w:lang w:val="en-AU"/>
        </w:rPr>
        <w:t xml:space="preserve"> the effectiveness of diversity and inclusion programs, strategies and practices, and provide </w:t>
      </w:r>
      <w:r w:rsidR="00DD3357" w:rsidRPr="00DD3357">
        <w:rPr>
          <w:rFonts w:cs="Arial"/>
          <w:lang w:val="en-AU"/>
        </w:rPr>
        <w:t>evidence-based</w:t>
      </w:r>
      <w:r w:rsidR="00CD3EF1" w:rsidRPr="0065421B">
        <w:rPr>
          <w:rFonts w:cs="Arial"/>
          <w:lang w:val="en-AU"/>
        </w:rPr>
        <w:t xml:space="preserve"> recommendations </w:t>
      </w:r>
      <w:r w:rsidR="002B4AA6" w:rsidRPr="0065421B">
        <w:rPr>
          <w:rFonts w:cs="Arial"/>
          <w:lang w:val="en-AU"/>
        </w:rPr>
        <w:t xml:space="preserve">including the development of </w:t>
      </w:r>
      <w:r w:rsidR="00D77083" w:rsidRPr="0065421B">
        <w:rPr>
          <w:rFonts w:cs="Arial"/>
          <w:lang w:val="en-AU"/>
        </w:rPr>
        <w:t>formal and informal reporting.</w:t>
      </w:r>
    </w:p>
    <w:p w14:paraId="1DB8D48D" w14:textId="6C1A7BE3" w:rsidR="00CB418A" w:rsidRPr="0065421B" w:rsidRDefault="00CB418A" w:rsidP="00CB418A">
      <w:pPr>
        <w:pStyle w:val="ListParagraph"/>
        <w:numPr>
          <w:ilvl w:val="0"/>
          <w:numId w:val="10"/>
        </w:numPr>
        <w:tabs>
          <w:tab w:val="left" w:pos="2925"/>
        </w:tabs>
        <w:rPr>
          <w:rFonts w:cs="Arial"/>
          <w:lang w:val="en-AU"/>
        </w:rPr>
      </w:pPr>
      <w:r w:rsidRPr="0065421B">
        <w:rPr>
          <w:rFonts w:cs="Arial"/>
          <w:lang w:val="en-AU"/>
        </w:rPr>
        <w:t>Lead and manage effective relationships</w:t>
      </w:r>
      <w:r w:rsidR="00B81BA9">
        <w:rPr>
          <w:rFonts w:cs="Arial"/>
          <w:lang w:val="en-AU"/>
        </w:rPr>
        <w:t xml:space="preserve"> as a SME </w:t>
      </w:r>
      <w:r w:rsidRPr="0065421B">
        <w:rPr>
          <w:rFonts w:cs="Arial"/>
          <w:lang w:val="en-AU"/>
        </w:rPr>
        <w:t xml:space="preserve"> with both internal and external stakeholders to facilitate effective engagement and participation, ensuring the successful, timely and long-term success of programs and initiatives.</w:t>
      </w:r>
    </w:p>
    <w:p w14:paraId="48B03A1A" w14:textId="21D47750" w:rsidR="003927AE" w:rsidRPr="0065421B" w:rsidRDefault="003927AE" w:rsidP="0065421B">
      <w:pPr>
        <w:pStyle w:val="ListParagraph"/>
        <w:tabs>
          <w:tab w:val="left" w:pos="2925"/>
        </w:tabs>
        <w:rPr>
          <w:rFonts w:cs="Arial"/>
          <w:lang w:val="en-AU"/>
        </w:rPr>
      </w:pPr>
    </w:p>
    <w:p w14:paraId="2BB1D76E" w14:textId="77777777" w:rsidR="003927AE" w:rsidRPr="00DD3357" w:rsidRDefault="003927AE" w:rsidP="003927AE">
      <w:pPr>
        <w:tabs>
          <w:tab w:val="left" w:pos="2925"/>
        </w:tabs>
        <w:rPr>
          <w:rStyle w:val="Heading1Char"/>
        </w:rPr>
      </w:pPr>
      <w:r w:rsidRPr="00DD3357">
        <w:rPr>
          <w:rStyle w:val="Heading1Char"/>
        </w:rPr>
        <w:t>Key challenges</w:t>
      </w:r>
    </w:p>
    <w:p w14:paraId="07A0DAAE" w14:textId="6EF1FA99" w:rsidR="0048614C" w:rsidRPr="0065421B" w:rsidRDefault="007E77DC" w:rsidP="0048614C">
      <w:pPr>
        <w:pStyle w:val="ListParagraph"/>
        <w:numPr>
          <w:ilvl w:val="0"/>
          <w:numId w:val="11"/>
        </w:numPr>
        <w:tabs>
          <w:tab w:val="left" w:pos="2925"/>
        </w:tabs>
        <w:rPr>
          <w:rFonts w:ascii="Georgia" w:hAnsi="Georgia"/>
          <w:lang w:val="en-AU"/>
        </w:rPr>
      </w:pPr>
      <w:r w:rsidRPr="0065421B">
        <w:rPr>
          <w:lang w:val="en-AU"/>
        </w:rPr>
        <w:t>Collaborating with all units within People and Culture</w:t>
      </w:r>
      <w:r w:rsidR="005C3952" w:rsidRPr="0065421B">
        <w:rPr>
          <w:lang w:val="en-AU"/>
        </w:rPr>
        <w:t xml:space="preserve"> and across the departments delivery groups</w:t>
      </w:r>
      <w:r w:rsidRPr="0065421B">
        <w:rPr>
          <w:lang w:val="en-AU"/>
        </w:rPr>
        <w:t xml:space="preserve"> to ensure seamless and consistent advice and service is delivered to people managers to meet their needs.</w:t>
      </w:r>
    </w:p>
    <w:p w14:paraId="7C77B6EB" w14:textId="77777777" w:rsidR="0048614C" w:rsidRPr="0065421B" w:rsidRDefault="007E77DC" w:rsidP="000307A7">
      <w:pPr>
        <w:pStyle w:val="ListParagraph"/>
        <w:numPr>
          <w:ilvl w:val="0"/>
          <w:numId w:val="11"/>
        </w:numPr>
        <w:tabs>
          <w:tab w:val="left" w:pos="2925"/>
        </w:tabs>
        <w:rPr>
          <w:rFonts w:ascii="Georgia" w:hAnsi="Georgia"/>
          <w:lang w:val="en-AU"/>
        </w:rPr>
      </w:pPr>
      <w:r w:rsidRPr="0065421B">
        <w:rPr>
          <w:lang w:val="en-AU"/>
        </w:rPr>
        <w:t>Managing and implementing diversity and inclusion programs across the Department with diverse stakeholders with contrasting views.</w:t>
      </w:r>
    </w:p>
    <w:p w14:paraId="60A26496" w14:textId="705EB5F7" w:rsidR="003927AE" w:rsidRPr="0065421B" w:rsidRDefault="007E77DC" w:rsidP="000307A7">
      <w:pPr>
        <w:pStyle w:val="ListParagraph"/>
        <w:numPr>
          <w:ilvl w:val="0"/>
          <w:numId w:val="11"/>
        </w:numPr>
        <w:tabs>
          <w:tab w:val="left" w:pos="2925"/>
        </w:tabs>
        <w:rPr>
          <w:rFonts w:ascii="Georgia" w:hAnsi="Georgia"/>
          <w:lang w:val="en-AU"/>
        </w:rPr>
      </w:pPr>
      <w:r w:rsidRPr="0065421B">
        <w:rPr>
          <w:lang w:val="en-AU"/>
        </w:rPr>
        <w:t xml:space="preserve">Understanding the operational environment and business drivers </w:t>
      </w:r>
      <w:proofErr w:type="gramStart"/>
      <w:r w:rsidRPr="0065421B">
        <w:rPr>
          <w:lang w:val="en-AU"/>
        </w:rPr>
        <w:t>in order to</w:t>
      </w:r>
      <w:proofErr w:type="gramEnd"/>
      <w:r w:rsidRPr="0065421B">
        <w:rPr>
          <w:lang w:val="en-AU"/>
        </w:rPr>
        <w:t xml:space="preserve"> act as an agent of change to meet current and future needs around building a diverse and inclusive workplace environment.</w:t>
      </w:r>
      <w:r w:rsidRPr="0065421B">
        <w:rPr>
          <w:lang w:val="en-AU"/>
        </w:rPr>
        <w:br/>
      </w:r>
    </w:p>
    <w:p w14:paraId="50F9AF39" w14:textId="77777777" w:rsidR="003927AE" w:rsidRPr="0065421B" w:rsidRDefault="003927AE" w:rsidP="003927AE">
      <w:pPr>
        <w:tabs>
          <w:tab w:val="left" w:pos="2925"/>
        </w:tabs>
        <w:spacing w:line="240" w:lineRule="auto"/>
        <w:rPr>
          <w:rFonts w:ascii="Georgia" w:hAnsi="Georgia"/>
          <w:b/>
          <w:sz w:val="28"/>
          <w:lang w:val="en-AU"/>
        </w:rPr>
      </w:pPr>
      <w:r w:rsidRPr="00DD3357">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DD3357" w14:paraId="600BBFEA"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15C40AA8" w14:textId="77777777" w:rsidR="003927AE" w:rsidRPr="00DD3357" w:rsidRDefault="003927AE" w:rsidP="00A72C86">
            <w:pPr>
              <w:pStyle w:val="TableTextWhite0"/>
            </w:pPr>
            <w:r w:rsidRPr="00DD3357">
              <w:t>Who</w:t>
            </w:r>
          </w:p>
        </w:tc>
        <w:tc>
          <w:tcPr>
            <w:tcW w:w="7256" w:type="dxa"/>
          </w:tcPr>
          <w:p w14:paraId="1CD9868E" w14:textId="77777777" w:rsidR="003927AE" w:rsidRPr="00DD3357" w:rsidRDefault="003927AE" w:rsidP="00A72C86">
            <w:pPr>
              <w:pStyle w:val="TableTextWhite0"/>
            </w:pPr>
            <w:r w:rsidRPr="00DD3357">
              <w:t xml:space="preserve"> Why</w:t>
            </w:r>
          </w:p>
        </w:tc>
      </w:tr>
      <w:tr w:rsidR="003927AE" w:rsidRPr="00DD3357" w14:paraId="589796C1" w14:textId="77777777" w:rsidTr="00E55704">
        <w:tc>
          <w:tcPr>
            <w:tcW w:w="3601" w:type="dxa"/>
            <w:shd w:val="clear" w:color="auto" w:fill="BCBEC0"/>
          </w:tcPr>
          <w:p w14:paraId="3DCE550A" w14:textId="77777777" w:rsidR="003927AE" w:rsidRPr="00DD3357" w:rsidRDefault="003927AE" w:rsidP="00A72C86">
            <w:pPr>
              <w:pStyle w:val="TableText"/>
              <w:keepNext/>
              <w:rPr>
                <w:b/>
              </w:rPr>
            </w:pPr>
            <w:r w:rsidRPr="00DD3357">
              <w:rPr>
                <w:b/>
              </w:rPr>
              <w:t>Internal</w:t>
            </w:r>
          </w:p>
        </w:tc>
        <w:tc>
          <w:tcPr>
            <w:tcW w:w="7256" w:type="dxa"/>
            <w:shd w:val="clear" w:color="auto" w:fill="BCBEC0"/>
          </w:tcPr>
          <w:p w14:paraId="2FA14317" w14:textId="77777777" w:rsidR="003927AE" w:rsidRPr="00DD3357" w:rsidRDefault="003927AE" w:rsidP="00A72C86">
            <w:pPr>
              <w:pStyle w:val="TableText"/>
              <w:keepNext/>
              <w:rPr>
                <w:b/>
              </w:rPr>
            </w:pPr>
          </w:p>
        </w:tc>
      </w:tr>
      <w:tr w:rsidR="003927AE" w:rsidRPr="00DD3357" w14:paraId="3F5C79EB" w14:textId="77777777" w:rsidTr="00E55704">
        <w:tc>
          <w:tcPr>
            <w:tcW w:w="3601" w:type="dxa"/>
            <w:tcBorders>
              <w:top w:val="single" w:sz="8" w:space="0" w:color="auto"/>
              <w:bottom w:val="single" w:sz="8" w:space="0" w:color="BCBEC0"/>
            </w:tcBorders>
          </w:tcPr>
          <w:p w14:paraId="4A7F5C4E" w14:textId="5427A4CF" w:rsidR="003927AE" w:rsidRPr="00DD3357" w:rsidRDefault="00A105EA" w:rsidP="00A72C86">
            <w:pPr>
              <w:pStyle w:val="TableText"/>
            </w:pPr>
            <w:r>
              <w:t>Executive</w:t>
            </w:r>
            <w:r w:rsidR="0019291A">
              <w:t xml:space="preserve"> Director, People and Culture</w:t>
            </w:r>
            <w:r w:rsidR="00842468">
              <w:t xml:space="preserve"> </w:t>
            </w:r>
            <w:r>
              <w:t xml:space="preserve">&amp; </w:t>
            </w:r>
            <w:r w:rsidR="003927AE" w:rsidRPr="00DD3357">
              <w:t>Director</w:t>
            </w:r>
            <w:r w:rsidR="005C3952" w:rsidRPr="00DD3357">
              <w:t xml:space="preserve">, </w:t>
            </w:r>
            <w:r w:rsidR="00420AA6" w:rsidRPr="00DD3357">
              <w:t>Organisational Development and Culture</w:t>
            </w:r>
          </w:p>
        </w:tc>
        <w:tc>
          <w:tcPr>
            <w:tcW w:w="7256" w:type="dxa"/>
            <w:tcBorders>
              <w:top w:val="single" w:sz="8" w:space="0" w:color="auto"/>
              <w:bottom w:val="single" w:sz="8" w:space="0" w:color="BCBEC0"/>
            </w:tcBorders>
          </w:tcPr>
          <w:p w14:paraId="297F18D7" w14:textId="0FEA8254" w:rsidR="003927AE" w:rsidRDefault="008D3A8B" w:rsidP="003927AE">
            <w:pPr>
              <w:pStyle w:val="TableText"/>
              <w:numPr>
                <w:ilvl w:val="0"/>
                <w:numId w:val="3"/>
              </w:numPr>
            </w:pPr>
            <w:r w:rsidRPr="00A44414">
              <w:t xml:space="preserve">Provide expert strategic and technical advice </w:t>
            </w:r>
            <w:r>
              <w:t>and c</w:t>
            </w:r>
            <w:r w:rsidR="003927AE" w:rsidRPr="00DD3357">
              <w:t>ollaborate on strategic and operational issues, undertaking business planning, and evaluating performance against identified key result areas</w:t>
            </w:r>
          </w:p>
          <w:p w14:paraId="4E777AD0" w14:textId="77777777" w:rsidR="002454DB" w:rsidRPr="00A44414" w:rsidRDefault="002454DB" w:rsidP="002454DB">
            <w:pPr>
              <w:pStyle w:val="TableText"/>
              <w:numPr>
                <w:ilvl w:val="0"/>
                <w:numId w:val="3"/>
              </w:numPr>
            </w:pPr>
            <w:r w:rsidRPr="00A44414">
              <w:t>Provide information regarding critical issues and status of projects and strategies.</w:t>
            </w:r>
          </w:p>
          <w:p w14:paraId="1304EF49" w14:textId="58AF67CF" w:rsidR="003927AE" w:rsidRPr="00DD3357" w:rsidRDefault="002454DB" w:rsidP="003927AE">
            <w:pPr>
              <w:pStyle w:val="TableText"/>
              <w:numPr>
                <w:ilvl w:val="0"/>
                <w:numId w:val="3"/>
              </w:numPr>
            </w:pPr>
            <w:r w:rsidRPr="00A44414">
              <w:t>Participate in discussions and decisions regarding implementation of innovation and best practice.</w:t>
            </w:r>
          </w:p>
        </w:tc>
      </w:tr>
      <w:tr w:rsidR="003927AE" w:rsidRPr="00DD3357" w14:paraId="58BFFE7D" w14:textId="77777777" w:rsidTr="00E55704">
        <w:tc>
          <w:tcPr>
            <w:tcW w:w="3601" w:type="dxa"/>
            <w:tcBorders>
              <w:top w:val="single" w:sz="8" w:space="0" w:color="auto"/>
              <w:bottom w:val="single" w:sz="8" w:space="0" w:color="BCBEC0"/>
            </w:tcBorders>
          </w:tcPr>
          <w:p w14:paraId="59BE0143" w14:textId="2D2861E2" w:rsidR="003927AE" w:rsidRPr="00DD3357" w:rsidRDefault="002761F7" w:rsidP="00A72C86">
            <w:pPr>
              <w:pStyle w:val="TableText"/>
            </w:pPr>
            <w:r>
              <w:lastRenderedPageBreak/>
              <w:t xml:space="preserve">Department’s Executive, </w:t>
            </w:r>
            <w:r w:rsidR="003927AE" w:rsidRPr="00DD3357">
              <w:t>Directors, Senior Managers</w:t>
            </w:r>
            <w:r>
              <w:t>, etc.</w:t>
            </w:r>
          </w:p>
        </w:tc>
        <w:tc>
          <w:tcPr>
            <w:tcW w:w="7256" w:type="dxa"/>
            <w:tcBorders>
              <w:top w:val="single" w:sz="8" w:space="0" w:color="auto"/>
              <w:bottom w:val="single" w:sz="8" w:space="0" w:color="BCBEC0"/>
            </w:tcBorders>
          </w:tcPr>
          <w:p w14:paraId="69435FD3" w14:textId="055664E4" w:rsidR="003927AE" w:rsidRPr="00DD3357" w:rsidRDefault="003927AE" w:rsidP="003927AE">
            <w:pPr>
              <w:pStyle w:val="TableText"/>
              <w:numPr>
                <w:ilvl w:val="0"/>
                <w:numId w:val="3"/>
              </w:numPr>
            </w:pPr>
            <w:r w:rsidRPr="00DD3357">
              <w:t>Receive guidance and discuss priorities and provide regular updates on key issues and progress to ensure successful delivery of programs</w:t>
            </w:r>
          </w:p>
        </w:tc>
      </w:tr>
      <w:tr w:rsidR="003927AE" w:rsidRPr="00DD3357" w14:paraId="432E1D2C" w14:textId="77777777" w:rsidTr="00E55704">
        <w:tc>
          <w:tcPr>
            <w:tcW w:w="3601" w:type="dxa"/>
            <w:tcBorders>
              <w:top w:val="single" w:sz="8" w:space="0" w:color="auto"/>
              <w:bottom w:val="single" w:sz="8" w:space="0" w:color="BCBEC0"/>
            </w:tcBorders>
          </w:tcPr>
          <w:p w14:paraId="5892DD45" w14:textId="5269A36B" w:rsidR="003927AE" w:rsidRPr="00DD3357" w:rsidRDefault="0094286B" w:rsidP="00A72C86">
            <w:pPr>
              <w:pStyle w:val="TableText"/>
            </w:pPr>
            <w:r w:rsidRPr="00DD3357">
              <w:t>People and Culture</w:t>
            </w:r>
            <w:r w:rsidR="003927AE" w:rsidRPr="00DD3357">
              <w:t xml:space="preserve"> teams</w:t>
            </w:r>
          </w:p>
        </w:tc>
        <w:tc>
          <w:tcPr>
            <w:tcW w:w="7256" w:type="dxa"/>
            <w:tcBorders>
              <w:top w:val="single" w:sz="8" w:space="0" w:color="auto"/>
              <w:bottom w:val="single" w:sz="8" w:space="0" w:color="BCBEC0"/>
            </w:tcBorders>
          </w:tcPr>
          <w:p w14:paraId="153F946F" w14:textId="24A6A7B3" w:rsidR="003927AE" w:rsidRPr="00DD3357" w:rsidRDefault="00B81BA9" w:rsidP="003927AE">
            <w:pPr>
              <w:pStyle w:val="TableText"/>
              <w:numPr>
                <w:ilvl w:val="0"/>
                <w:numId w:val="3"/>
              </w:numPr>
            </w:pPr>
            <w:r>
              <w:t>E</w:t>
            </w:r>
            <w:r w:rsidR="003927AE" w:rsidRPr="00DD3357">
              <w:t>nsure Diversity and Inclusion strategy is integrated within programs and learning initiatives</w:t>
            </w:r>
          </w:p>
        </w:tc>
      </w:tr>
      <w:tr w:rsidR="003927AE" w:rsidRPr="00DD3357" w14:paraId="1E9CFDBB" w14:textId="77777777" w:rsidTr="00E55704">
        <w:tc>
          <w:tcPr>
            <w:tcW w:w="3601" w:type="dxa"/>
            <w:tcBorders>
              <w:top w:val="single" w:sz="8" w:space="0" w:color="auto"/>
              <w:bottom w:val="single" w:sz="8" w:space="0" w:color="BCBEC0"/>
            </w:tcBorders>
          </w:tcPr>
          <w:p w14:paraId="5B21F953" w14:textId="5A1C9C4B" w:rsidR="003927AE" w:rsidRPr="00DD3357" w:rsidRDefault="003927AE" w:rsidP="00A72C86">
            <w:pPr>
              <w:pStyle w:val="TableText"/>
            </w:pPr>
            <w:r w:rsidRPr="00DD3357">
              <w:t>Internal clients</w:t>
            </w:r>
            <w:r w:rsidR="008D3A8B">
              <w:t xml:space="preserve"> (delivery groups </w:t>
            </w:r>
            <w:r w:rsidR="00EB18C3">
              <w:t xml:space="preserve"> and E</w:t>
            </w:r>
            <w:r w:rsidR="008D3A8B">
              <w:t>xecutive</w:t>
            </w:r>
            <w:r w:rsidR="002761F7">
              <w:t>.)</w:t>
            </w:r>
          </w:p>
        </w:tc>
        <w:tc>
          <w:tcPr>
            <w:tcW w:w="7256" w:type="dxa"/>
            <w:tcBorders>
              <w:top w:val="single" w:sz="8" w:space="0" w:color="auto"/>
              <w:bottom w:val="single" w:sz="8" w:space="0" w:color="BCBEC0"/>
            </w:tcBorders>
          </w:tcPr>
          <w:p w14:paraId="3B88F266" w14:textId="77777777" w:rsidR="0048614C" w:rsidRPr="00DD3357" w:rsidRDefault="003927AE" w:rsidP="003927AE">
            <w:pPr>
              <w:pStyle w:val="TableText"/>
              <w:numPr>
                <w:ilvl w:val="0"/>
                <w:numId w:val="3"/>
              </w:numPr>
            </w:pPr>
            <w:r w:rsidRPr="00DD3357">
              <w:t>Provide advice and guidance with regards to program and operational plan delivery</w:t>
            </w:r>
          </w:p>
          <w:p w14:paraId="4166C4E9" w14:textId="58AAF2CC" w:rsidR="003927AE" w:rsidRPr="00DD3357" w:rsidRDefault="003927AE" w:rsidP="00864E4F">
            <w:pPr>
              <w:pStyle w:val="TableText"/>
              <w:ind w:left="720"/>
            </w:pPr>
            <w:r w:rsidRPr="00DD3357">
              <w:t>Advise and champion diversity and inclusion, raising awareness of issues and programs to enhance workplace culture and the diversity of talent</w:t>
            </w:r>
          </w:p>
        </w:tc>
      </w:tr>
      <w:tr w:rsidR="003927AE" w:rsidRPr="00DD3357" w14:paraId="1670E438" w14:textId="77777777" w:rsidTr="00E55704">
        <w:tc>
          <w:tcPr>
            <w:tcW w:w="3601" w:type="dxa"/>
            <w:tcBorders>
              <w:top w:val="single" w:sz="8" w:space="0" w:color="auto"/>
              <w:bottom w:val="single" w:sz="8" w:space="0" w:color="BCBEC0"/>
            </w:tcBorders>
          </w:tcPr>
          <w:p w14:paraId="07BEB5AB" w14:textId="67E24BDD" w:rsidR="003927AE" w:rsidRPr="00DD3357" w:rsidRDefault="003927AE" w:rsidP="00A72C86">
            <w:pPr>
              <w:pStyle w:val="TableText"/>
            </w:pPr>
            <w:r w:rsidRPr="00DD3357">
              <w:t>Team</w:t>
            </w:r>
            <w:r w:rsidR="00152835">
              <w:t xml:space="preserve"> and </w:t>
            </w:r>
            <w:r w:rsidR="00B81BA9">
              <w:t>Direct Reports</w:t>
            </w:r>
          </w:p>
        </w:tc>
        <w:tc>
          <w:tcPr>
            <w:tcW w:w="7256" w:type="dxa"/>
            <w:tcBorders>
              <w:top w:val="single" w:sz="8" w:space="0" w:color="auto"/>
              <w:bottom w:val="single" w:sz="8" w:space="0" w:color="BCBEC0"/>
            </w:tcBorders>
          </w:tcPr>
          <w:p w14:paraId="39E6F3B8" w14:textId="77777777" w:rsidR="0048614C" w:rsidRPr="00DD3357" w:rsidRDefault="003927AE" w:rsidP="003927AE">
            <w:pPr>
              <w:pStyle w:val="TableText"/>
              <w:numPr>
                <w:ilvl w:val="0"/>
                <w:numId w:val="3"/>
              </w:numPr>
            </w:pPr>
            <w:r w:rsidRPr="00DD3357">
              <w:t>Inspire and motivate team, provide direction and manage performance</w:t>
            </w:r>
          </w:p>
          <w:p w14:paraId="3A4C2695" w14:textId="6C20B268" w:rsidR="003927AE" w:rsidRPr="00DD3357" w:rsidRDefault="003927AE" w:rsidP="003927AE">
            <w:pPr>
              <w:pStyle w:val="TableText"/>
              <w:numPr>
                <w:ilvl w:val="0"/>
                <w:numId w:val="3"/>
              </w:numPr>
            </w:pPr>
            <w:r w:rsidRPr="00DD3357">
              <w:t>Encourage and support team to work collaboratively to achieve business outcomes</w:t>
            </w:r>
          </w:p>
        </w:tc>
      </w:tr>
      <w:tr w:rsidR="003927AE" w:rsidRPr="00DD3357" w14:paraId="4324972B" w14:textId="77777777" w:rsidTr="00E55704">
        <w:tc>
          <w:tcPr>
            <w:tcW w:w="3601" w:type="dxa"/>
            <w:shd w:val="clear" w:color="auto" w:fill="BCBEC0"/>
          </w:tcPr>
          <w:p w14:paraId="03EFF3C4" w14:textId="77777777" w:rsidR="003927AE" w:rsidRPr="00DD3357" w:rsidRDefault="003927AE" w:rsidP="00A72C86">
            <w:pPr>
              <w:pStyle w:val="TableText"/>
              <w:keepNext/>
              <w:rPr>
                <w:b/>
              </w:rPr>
            </w:pPr>
            <w:r w:rsidRPr="00DD3357">
              <w:rPr>
                <w:b/>
              </w:rPr>
              <w:t>External</w:t>
            </w:r>
          </w:p>
        </w:tc>
        <w:tc>
          <w:tcPr>
            <w:tcW w:w="7256" w:type="dxa"/>
            <w:shd w:val="clear" w:color="auto" w:fill="BCBEC0"/>
          </w:tcPr>
          <w:p w14:paraId="27675B41" w14:textId="77777777" w:rsidR="003927AE" w:rsidRPr="00DD3357" w:rsidRDefault="003927AE" w:rsidP="00A72C86">
            <w:pPr>
              <w:pStyle w:val="TableText"/>
              <w:keepNext/>
              <w:rPr>
                <w:b/>
              </w:rPr>
            </w:pPr>
          </w:p>
        </w:tc>
      </w:tr>
      <w:tr w:rsidR="003927AE" w:rsidRPr="00DD3357" w14:paraId="48BB3293" w14:textId="77777777" w:rsidTr="00E55704">
        <w:tc>
          <w:tcPr>
            <w:tcW w:w="3601" w:type="dxa"/>
            <w:tcBorders>
              <w:top w:val="single" w:sz="8" w:space="0" w:color="auto"/>
              <w:bottom w:val="single" w:sz="8" w:space="0" w:color="BCBEC0"/>
            </w:tcBorders>
          </w:tcPr>
          <w:p w14:paraId="6DC81C31" w14:textId="1E79E214" w:rsidR="003927AE" w:rsidRPr="00DD3357" w:rsidRDefault="0094286B" w:rsidP="00A72C86">
            <w:pPr>
              <w:pStyle w:val="TableText"/>
            </w:pPr>
            <w:r w:rsidRPr="00DD3357">
              <w:t xml:space="preserve">Office of the </w:t>
            </w:r>
            <w:r w:rsidR="003927AE" w:rsidRPr="00DD3357">
              <w:t>Public Service Commission</w:t>
            </w:r>
            <w:r w:rsidRPr="00DD3357">
              <w:t>er</w:t>
            </w:r>
            <w:r w:rsidR="003927AE" w:rsidRPr="00DD3357">
              <w:t xml:space="preserve"> and central agencies</w:t>
            </w:r>
          </w:p>
        </w:tc>
        <w:tc>
          <w:tcPr>
            <w:tcW w:w="7256" w:type="dxa"/>
            <w:tcBorders>
              <w:top w:val="single" w:sz="8" w:space="0" w:color="auto"/>
              <w:bottom w:val="single" w:sz="8" w:space="0" w:color="BCBEC0"/>
            </w:tcBorders>
          </w:tcPr>
          <w:p w14:paraId="0BF7EB14" w14:textId="77777777" w:rsidR="0048614C" w:rsidRPr="00DD3357" w:rsidRDefault="003927AE" w:rsidP="003927AE">
            <w:pPr>
              <w:pStyle w:val="TableText"/>
              <w:numPr>
                <w:ilvl w:val="0"/>
                <w:numId w:val="3"/>
              </w:numPr>
            </w:pPr>
            <w:r w:rsidRPr="00DD3357">
              <w:t>Support and participate in central agency initiatives</w:t>
            </w:r>
          </w:p>
          <w:p w14:paraId="000AF588" w14:textId="77777777" w:rsidR="0048614C" w:rsidRPr="00DD3357" w:rsidRDefault="003927AE" w:rsidP="003927AE">
            <w:pPr>
              <w:pStyle w:val="TableText"/>
              <w:numPr>
                <w:ilvl w:val="0"/>
                <w:numId w:val="3"/>
              </w:numPr>
            </w:pPr>
            <w:r w:rsidRPr="00DD3357">
              <w:t>Work in partnership to deliver whole of sector change</w:t>
            </w:r>
          </w:p>
          <w:p w14:paraId="40CFE7FC" w14:textId="77777777" w:rsidR="0048614C" w:rsidRPr="00DD3357" w:rsidRDefault="003927AE" w:rsidP="003927AE">
            <w:pPr>
              <w:pStyle w:val="TableText"/>
              <w:numPr>
                <w:ilvl w:val="0"/>
                <w:numId w:val="3"/>
              </w:numPr>
            </w:pPr>
            <w:r w:rsidRPr="00DD3357">
              <w:t>Represent agency interests and influence outcomes</w:t>
            </w:r>
          </w:p>
          <w:p w14:paraId="30EE8042" w14:textId="5B0097E4" w:rsidR="003927AE" w:rsidRPr="00DD3357" w:rsidRDefault="003927AE" w:rsidP="003927AE">
            <w:pPr>
              <w:pStyle w:val="TableText"/>
              <w:numPr>
                <w:ilvl w:val="0"/>
                <w:numId w:val="3"/>
              </w:numPr>
            </w:pPr>
            <w:r w:rsidRPr="00DD3357">
              <w:t>Participate in inter-departmental committees</w:t>
            </w:r>
          </w:p>
        </w:tc>
      </w:tr>
      <w:tr w:rsidR="003927AE" w:rsidRPr="00DD3357" w14:paraId="5AACBA44" w14:textId="77777777" w:rsidTr="00E55704">
        <w:tc>
          <w:tcPr>
            <w:tcW w:w="3601" w:type="dxa"/>
            <w:tcBorders>
              <w:top w:val="single" w:sz="8" w:space="0" w:color="auto"/>
              <w:bottom w:val="single" w:sz="8" w:space="0" w:color="BCBEC0"/>
            </w:tcBorders>
          </w:tcPr>
          <w:p w14:paraId="50901FFF" w14:textId="0FB3A4E2" w:rsidR="003927AE" w:rsidRPr="00DD3357" w:rsidRDefault="0094286B" w:rsidP="00A72C86">
            <w:pPr>
              <w:pStyle w:val="TableText"/>
            </w:pPr>
            <w:r w:rsidRPr="00DD3357">
              <w:t>K</w:t>
            </w:r>
            <w:r w:rsidR="003927AE" w:rsidRPr="00DD3357">
              <w:t>ey diversity and disability entities</w:t>
            </w:r>
            <w:r w:rsidRPr="00DD3357">
              <w:t>, employee reference groups</w:t>
            </w:r>
            <w:r w:rsidR="003927AE" w:rsidRPr="00DD3357">
              <w:t xml:space="preserve"> </w:t>
            </w:r>
          </w:p>
        </w:tc>
        <w:tc>
          <w:tcPr>
            <w:tcW w:w="7256" w:type="dxa"/>
            <w:tcBorders>
              <w:top w:val="single" w:sz="8" w:space="0" w:color="auto"/>
              <w:bottom w:val="single" w:sz="8" w:space="0" w:color="BCBEC0"/>
            </w:tcBorders>
          </w:tcPr>
          <w:p w14:paraId="4428575F" w14:textId="4FE762B0" w:rsidR="003927AE" w:rsidRPr="00DD3357" w:rsidRDefault="003927AE" w:rsidP="003927AE">
            <w:pPr>
              <w:pStyle w:val="TableText"/>
              <w:numPr>
                <w:ilvl w:val="0"/>
                <w:numId w:val="3"/>
              </w:numPr>
            </w:pPr>
            <w:r w:rsidRPr="00DD3357">
              <w:t>Participate in events, forums and groups to represent the Department and share information</w:t>
            </w:r>
          </w:p>
        </w:tc>
      </w:tr>
      <w:tr w:rsidR="003927AE" w:rsidRPr="00DD3357" w14:paraId="73C24A7C" w14:textId="77777777" w:rsidTr="00E55704">
        <w:tc>
          <w:tcPr>
            <w:tcW w:w="3601" w:type="dxa"/>
            <w:tcBorders>
              <w:top w:val="single" w:sz="8" w:space="0" w:color="auto"/>
              <w:bottom w:val="single" w:sz="8" w:space="0" w:color="BCBEC0"/>
            </w:tcBorders>
          </w:tcPr>
          <w:p w14:paraId="2F72ABFB" w14:textId="6304DDE3" w:rsidR="003927AE" w:rsidRPr="00DD3357" w:rsidRDefault="003927AE" w:rsidP="00A72C86">
            <w:pPr>
              <w:pStyle w:val="TableText"/>
            </w:pPr>
            <w:r w:rsidRPr="00DD3357">
              <w:t>Diversity and Inclusion Partners</w:t>
            </w:r>
            <w:r w:rsidR="00704F25">
              <w:t xml:space="preserve"> across the private and government sector</w:t>
            </w:r>
          </w:p>
        </w:tc>
        <w:tc>
          <w:tcPr>
            <w:tcW w:w="7256" w:type="dxa"/>
            <w:tcBorders>
              <w:top w:val="single" w:sz="8" w:space="0" w:color="auto"/>
              <w:bottom w:val="single" w:sz="8" w:space="0" w:color="BCBEC0"/>
            </w:tcBorders>
          </w:tcPr>
          <w:p w14:paraId="5D3C7786" w14:textId="52FEEB4C" w:rsidR="003927AE" w:rsidRPr="00DD3357" w:rsidRDefault="003927AE" w:rsidP="003927AE">
            <w:pPr>
              <w:pStyle w:val="TableText"/>
              <w:numPr>
                <w:ilvl w:val="0"/>
                <w:numId w:val="3"/>
              </w:numPr>
            </w:pPr>
            <w:r w:rsidRPr="00DD3357">
              <w:t>Work with partner organisations to imbed best practice DI strategy</w:t>
            </w:r>
          </w:p>
        </w:tc>
      </w:tr>
    </w:tbl>
    <w:p w14:paraId="7FB06C15" w14:textId="77777777" w:rsidR="003927AE" w:rsidRPr="0065421B" w:rsidRDefault="003927AE" w:rsidP="003927AE">
      <w:pPr>
        <w:rPr>
          <w:lang w:val="en-AU"/>
        </w:rPr>
      </w:pPr>
    </w:p>
    <w:p w14:paraId="2E2F5758" w14:textId="77777777" w:rsidR="003927AE" w:rsidRPr="00DD3357" w:rsidRDefault="003927AE" w:rsidP="003927AE">
      <w:pPr>
        <w:pStyle w:val="Heading1"/>
        <w:rPr>
          <w:sz w:val="28"/>
        </w:rPr>
      </w:pPr>
      <w:r w:rsidRPr="00DD3357">
        <w:t>Role dimensions</w:t>
      </w:r>
    </w:p>
    <w:p w14:paraId="69368C3B" w14:textId="7AC1ECF3" w:rsidR="003927AE" w:rsidRPr="00DD3357" w:rsidRDefault="003927AE" w:rsidP="003927AE">
      <w:pPr>
        <w:pStyle w:val="Heading2"/>
      </w:pPr>
      <w:r w:rsidRPr="00DD3357">
        <w:t>Decision making</w:t>
      </w:r>
    </w:p>
    <w:p w14:paraId="7CAC1F82" w14:textId="1B941732" w:rsidR="0048614C" w:rsidRPr="00DD3357" w:rsidRDefault="0048614C" w:rsidP="0048614C">
      <w:pPr>
        <w:rPr>
          <w:lang w:val="en-AU"/>
        </w:rPr>
      </w:pPr>
      <w:r w:rsidRPr="00DD3357">
        <w:rPr>
          <w:lang w:val="en-AU"/>
        </w:rPr>
        <w:t>The role:</w:t>
      </w:r>
    </w:p>
    <w:p w14:paraId="146FF65B" w14:textId="77777777" w:rsidR="0048614C" w:rsidRPr="0065421B" w:rsidRDefault="003927AE" w:rsidP="0048614C">
      <w:pPr>
        <w:pStyle w:val="ListParagraph"/>
        <w:numPr>
          <w:ilvl w:val="0"/>
          <w:numId w:val="12"/>
        </w:numPr>
        <w:rPr>
          <w:rFonts w:cs="Arial"/>
          <w:szCs w:val="26"/>
          <w:lang w:val="en-AU"/>
        </w:rPr>
      </w:pPr>
      <w:r w:rsidRPr="0065421B">
        <w:rPr>
          <w:lang w:val="en-AU"/>
        </w:rPr>
        <w:t>Acts independently in determining the priorities for work of the team.</w:t>
      </w:r>
    </w:p>
    <w:p w14:paraId="09A24774" w14:textId="77777777" w:rsidR="0048614C" w:rsidRPr="0065421B" w:rsidRDefault="003927AE" w:rsidP="0048614C">
      <w:pPr>
        <w:pStyle w:val="ListParagraph"/>
        <w:numPr>
          <w:ilvl w:val="0"/>
          <w:numId w:val="12"/>
        </w:numPr>
        <w:rPr>
          <w:rFonts w:cs="Arial"/>
          <w:szCs w:val="26"/>
          <w:lang w:val="en-AU"/>
        </w:rPr>
      </w:pPr>
      <w:r w:rsidRPr="0065421B">
        <w:rPr>
          <w:lang w:val="en-AU"/>
        </w:rPr>
        <w:t>Prioritises and manages multiple tasks and demands including matters with critical turnaround times required by internal clients.</w:t>
      </w:r>
    </w:p>
    <w:p w14:paraId="23299B41" w14:textId="77777777" w:rsidR="0048614C" w:rsidRPr="0065421B" w:rsidRDefault="003927AE" w:rsidP="0048614C">
      <w:pPr>
        <w:pStyle w:val="ListParagraph"/>
        <w:numPr>
          <w:ilvl w:val="0"/>
          <w:numId w:val="12"/>
        </w:numPr>
        <w:rPr>
          <w:rFonts w:cs="Arial"/>
          <w:szCs w:val="26"/>
          <w:lang w:val="en-AU"/>
        </w:rPr>
      </w:pPr>
      <w:r w:rsidRPr="0065421B">
        <w:rPr>
          <w:lang w:val="en-AU"/>
        </w:rPr>
        <w:t>Makes day to day decisions and provides guidance on appropriate courses of action that might be taken to address issues.</w:t>
      </w:r>
    </w:p>
    <w:p w14:paraId="6CAE954A" w14:textId="6BC94359" w:rsidR="003927AE" w:rsidRPr="0065421B" w:rsidRDefault="003927AE" w:rsidP="0048614C">
      <w:pPr>
        <w:pStyle w:val="ListParagraph"/>
        <w:numPr>
          <w:ilvl w:val="0"/>
          <w:numId w:val="12"/>
        </w:numPr>
        <w:rPr>
          <w:rFonts w:cs="Arial"/>
          <w:szCs w:val="26"/>
          <w:lang w:val="en-AU"/>
        </w:rPr>
      </w:pPr>
      <w:r w:rsidRPr="0065421B">
        <w:rPr>
          <w:lang w:val="en-AU"/>
        </w:rPr>
        <w:t>Exercises discretion in determining the approach to work undertaken and is responsible for interpretation and recommendations made.</w:t>
      </w:r>
      <w:r w:rsidRPr="0065421B">
        <w:rPr>
          <w:lang w:val="en-AU"/>
        </w:rPr>
        <w:br/>
      </w:r>
    </w:p>
    <w:p w14:paraId="00A21A45" w14:textId="77777777" w:rsidR="003927AE" w:rsidRPr="00DD3357" w:rsidRDefault="003927AE" w:rsidP="003927AE">
      <w:pPr>
        <w:pStyle w:val="Heading2"/>
      </w:pPr>
      <w:r w:rsidRPr="00DD3357">
        <w:t>Reporting line</w:t>
      </w:r>
    </w:p>
    <w:p w14:paraId="65D66935" w14:textId="07EB83BC" w:rsidR="003927AE" w:rsidRPr="0065421B" w:rsidRDefault="003927AE" w:rsidP="003927AE">
      <w:pPr>
        <w:rPr>
          <w:rFonts w:cs="Arial"/>
          <w:szCs w:val="26"/>
          <w:lang w:val="en-AU"/>
        </w:rPr>
      </w:pPr>
      <w:r w:rsidRPr="0065421B">
        <w:rPr>
          <w:lang w:val="en-AU"/>
        </w:rPr>
        <w:t>Director</w:t>
      </w:r>
      <w:r w:rsidR="0094286B" w:rsidRPr="0065421B">
        <w:rPr>
          <w:lang w:val="en-AU"/>
        </w:rPr>
        <w:t>, Organisational Development and Culture</w:t>
      </w:r>
    </w:p>
    <w:p w14:paraId="6D8F1388" w14:textId="77777777" w:rsidR="003927AE" w:rsidRPr="00DD3357" w:rsidRDefault="003927AE" w:rsidP="003927AE">
      <w:pPr>
        <w:pStyle w:val="Heading2"/>
      </w:pPr>
      <w:r w:rsidRPr="00DD3357">
        <w:t>Direct reports</w:t>
      </w:r>
    </w:p>
    <w:p w14:paraId="24ED48AF" w14:textId="48722F33" w:rsidR="003927AE" w:rsidRPr="0065421B" w:rsidRDefault="0094286B" w:rsidP="003927AE">
      <w:pPr>
        <w:rPr>
          <w:rFonts w:cs="Arial"/>
          <w:szCs w:val="26"/>
          <w:lang w:val="en-AU"/>
        </w:rPr>
      </w:pPr>
      <w:r w:rsidRPr="0065421B">
        <w:rPr>
          <w:lang w:val="en-AU"/>
        </w:rPr>
        <w:t xml:space="preserve">Up to </w:t>
      </w:r>
      <w:r w:rsidR="003927AE" w:rsidRPr="0065421B">
        <w:rPr>
          <w:lang w:val="en-AU"/>
        </w:rPr>
        <w:t xml:space="preserve">6 </w:t>
      </w:r>
    </w:p>
    <w:p w14:paraId="3E0A3A37" w14:textId="77777777" w:rsidR="003927AE" w:rsidRPr="00DD3357" w:rsidRDefault="003927AE" w:rsidP="003927AE">
      <w:pPr>
        <w:pStyle w:val="Heading2"/>
      </w:pPr>
      <w:r w:rsidRPr="00DD3357">
        <w:t>Budget/Expenditure</w:t>
      </w:r>
    </w:p>
    <w:p w14:paraId="29682540" w14:textId="77777777" w:rsidR="003927AE" w:rsidRDefault="003927AE" w:rsidP="003927AE">
      <w:pPr>
        <w:rPr>
          <w:lang w:val="en-AU"/>
        </w:rPr>
      </w:pPr>
      <w:r w:rsidRPr="0065421B">
        <w:rPr>
          <w:lang w:val="en-AU"/>
        </w:rPr>
        <w:t>Nil</w:t>
      </w:r>
    </w:p>
    <w:p w14:paraId="4C7EBFAA" w14:textId="77777777" w:rsidR="00346551" w:rsidRDefault="00346551" w:rsidP="003927AE">
      <w:pPr>
        <w:rPr>
          <w:lang w:val="en-AU"/>
        </w:rPr>
      </w:pPr>
    </w:p>
    <w:p w14:paraId="4D502D16" w14:textId="77777777" w:rsidR="00346551" w:rsidRPr="0065421B" w:rsidRDefault="00346551" w:rsidP="003927AE">
      <w:pPr>
        <w:rPr>
          <w:rFonts w:cs="Arial"/>
          <w:szCs w:val="26"/>
          <w:lang w:val="en-AU"/>
        </w:rPr>
      </w:pPr>
    </w:p>
    <w:p w14:paraId="1B69D6DA" w14:textId="77777777" w:rsidR="003927AE" w:rsidRPr="00DD3357" w:rsidRDefault="003927AE" w:rsidP="003927AE">
      <w:pPr>
        <w:tabs>
          <w:tab w:val="left" w:pos="2925"/>
        </w:tabs>
        <w:rPr>
          <w:rStyle w:val="Heading1Char"/>
        </w:rPr>
      </w:pPr>
      <w:r w:rsidRPr="00DD3357">
        <w:rPr>
          <w:rStyle w:val="Heading1Char"/>
        </w:rPr>
        <w:t>Essential requirements</w:t>
      </w:r>
    </w:p>
    <w:p w14:paraId="4664316D" w14:textId="3DEF4630" w:rsidR="003927AE" w:rsidRPr="0065421B" w:rsidRDefault="003927AE" w:rsidP="00421ED6">
      <w:pPr>
        <w:pStyle w:val="ListParagraph"/>
        <w:numPr>
          <w:ilvl w:val="0"/>
          <w:numId w:val="13"/>
        </w:numPr>
        <w:rPr>
          <w:rFonts w:cs="Arial"/>
          <w:szCs w:val="26"/>
          <w:lang w:val="en-AU"/>
        </w:rPr>
      </w:pPr>
      <w:r w:rsidRPr="0065421B">
        <w:rPr>
          <w:lang w:val="en-AU"/>
        </w:rPr>
        <w:t>Significant experience and/or qualifications related to human resources, diversity and inclusion or related disciplines.</w:t>
      </w:r>
    </w:p>
    <w:p w14:paraId="0CC90056" w14:textId="77777777" w:rsidR="003927AE" w:rsidRPr="00DD3357" w:rsidRDefault="003927AE" w:rsidP="003927AE">
      <w:pPr>
        <w:pStyle w:val="Heading1"/>
      </w:pPr>
      <w:r w:rsidRPr="00DD3357">
        <w:t>Capabilities for the role</w:t>
      </w:r>
    </w:p>
    <w:p w14:paraId="161E9FA3" w14:textId="77777777" w:rsidR="003927AE" w:rsidRPr="0065421B" w:rsidRDefault="003927AE" w:rsidP="003927AE">
      <w:pPr>
        <w:rPr>
          <w:lang w:val="en-AU"/>
        </w:rPr>
      </w:pPr>
      <w:r w:rsidRPr="0065421B">
        <w:rPr>
          <w:lang w:val="en-AU"/>
        </w:rPr>
        <w:t xml:space="preserve">The </w:t>
      </w:r>
      <w:hyperlink r:id="rId11" w:history="1">
        <w:r w:rsidRPr="0065421B">
          <w:rPr>
            <w:rStyle w:val="Hyperlink"/>
            <w:lang w:val="en-AU"/>
          </w:rPr>
          <w:t>NSW public sector capability framework</w:t>
        </w:r>
      </w:hyperlink>
      <w:r w:rsidRPr="0065421B">
        <w:rPr>
          <w:lang w:val="en-AU"/>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FDEF321" w14:textId="77777777" w:rsidR="003927AE" w:rsidRPr="0065421B" w:rsidRDefault="003927AE" w:rsidP="003927AE">
      <w:pPr>
        <w:rPr>
          <w:lang w:val="en-AU"/>
        </w:rPr>
      </w:pPr>
      <w:r w:rsidRPr="0065421B">
        <w:rPr>
          <w:lang w:val="en-AU"/>
        </w:rPr>
        <w:t xml:space="preserve">The capabilities are separated into </w:t>
      </w:r>
      <w:r w:rsidRPr="0065421B">
        <w:rPr>
          <w:b/>
          <w:lang w:val="en-AU"/>
        </w:rPr>
        <w:t>focus capabilities</w:t>
      </w:r>
      <w:r w:rsidRPr="0065421B">
        <w:rPr>
          <w:lang w:val="en-AU"/>
        </w:rPr>
        <w:t xml:space="preserve"> and </w:t>
      </w:r>
      <w:r w:rsidRPr="0065421B">
        <w:rPr>
          <w:b/>
          <w:lang w:val="en-AU"/>
        </w:rPr>
        <w:t>complementary capabilities</w:t>
      </w:r>
      <w:r w:rsidRPr="0065421B">
        <w:rPr>
          <w:lang w:val="en-AU"/>
        </w:rPr>
        <w:t xml:space="preserve">. </w:t>
      </w:r>
    </w:p>
    <w:p w14:paraId="38BFDCD0" w14:textId="77777777" w:rsidR="00336011" w:rsidRPr="0065421B" w:rsidRDefault="00336011" w:rsidP="003927AE">
      <w:pPr>
        <w:pStyle w:val="PlainText"/>
        <w:spacing w:before="62" w:line="276" w:lineRule="auto"/>
        <w:rPr>
          <w:rFonts w:ascii="Arial" w:eastAsiaTheme="minorEastAsia" w:hAnsi="Arial"/>
          <w:szCs w:val="22"/>
        </w:rPr>
      </w:pPr>
    </w:p>
    <w:p w14:paraId="5E31DBF5" w14:textId="77777777" w:rsidR="00397ACB" w:rsidRPr="00397ACB" w:rsidRDefault="00397ACB" w:rsidP="00397ACB">
      <w:pPr>
        <w:pStyle w:val="Heading2"/>
        <w:rPr>
          <w:iCs w:val="0"/>
          <w:color w:val="auto"/>
          <w:kern w:val="32"/>
          <w:sz w:val="26"/>
          <w:szCs w:val="32"/>
        </w:rPr>
      </w:pPr>
      <w:r w:rsidRPr="00397ACB">
        <w:rPr>
          <w:iCs w:val="0"/>
          <w:color w:val="auto"/>
          <w:kern w:val="32"/>
          <w:sz w:val="26"/>
          <w:szCs w:val="32"/>
        </w:rPr>
        <w:t>Focus capabilities</w:t>
      </w:r>
      <w:r w:rsidRPr="00397ACB">
        <w:rPr>
          <w:iCs w:val="0"/>
          <w:color w:val="auto"/>
          <w:kern w:val="32"/>
          <w:sz w:val="26"/>
          <w:szCs w:val="32"/>
        </w:rPr>
        <w:tab/>
      </w:r>
    </w:p>
    <w:p w14:paraId="39D03918" w14:textId="77777777" w:rsidR="00397ACB" w:rsidRDefault="00397ACB" w:rsidP="00397ACB">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42B2790" w14:textId="77777777" w:rsidR="00397ACB" w:rsidRDefault="00397ACB" w:rsidP="00397ACB">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E0A4385" w14:textId="77777777" w:rsidR="00397ACB" w:rsidRDefault="00397ACB" w:rsidP="00397ACB">
      <w:pPr>
        <w:pStyle w:val="PlainText"/>
        <w:spacing w:before="62" w:line="276" w:lineRule="auto"/>
        <w:rPr>
          <w:rFonts w:eastAsiaTheme="minorEastAsia"/>
          <w:szCs w:val="22"/>
          <w:lang w:val="en-US"/>
        </w:rPr>
      </w:pPr>
    </w:p>
    <w:p w14:paraId="06996AA0" w14:textId="77777777" w:rsidR="00397ACB" w:rsidRPr="00397ACB" w:rsidRDefault="00397ACB" w:rsidP="00397ACB">
      <w:pPr>
        <w:pStyle w:val="Heading2"/>
        <w:rPr>
          <w:iCs w:val="0"/>
          <w:color w:val="auto"/>
          <w:kern w:val="32"/>
          <w:sz w:val="26"/>
          <w:szCs w:val="32"/>
        </w:rPr>
      </w:pPr>
      <w:r w:rsidRPr="00397ACB">
        <w:rPr>
          <w:iCs w:val="0"/>
          <w:color w:val="auto"/>
          <w:kern w:val="32"/>
          <w:sz w:val="26"/>
          <w:szCs w:val="32"/>
        </w:rPr>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97ACB" w:rsidRPr="003C7A36" w14:paraId="257BF515" w14:textId="77777777" w:rsidTr="00CC0D7A">
        <w:trPr>
          <w:cantSplit/>
        </w:trPr>
        <w:tc>
          <w:tcPr>
            <w:tcW w:w="1385" w:type="dxa"/>
            <w:shd w:val="clear" w:color="auto" w:fill="BFBFBF" w:themeFill="background1" w:themeFillShade="BF"/>
            <w:vAlign w:val="center"/>
          </w:tcPr>
          <w:p w14:paraId="469C2F27" w14:textId="77777777" w:rsidR="00397ACB" w:rsidRPr="003C7A36" w:rsidRDefault="00397ACB" w:rsidP="00CC0D7A">
            <w:pPr>
              <w:rPr>
                <w:sz w:val="20"/>
              </w:rPr>
            </w:pPr>
            <w:r w:rsidRPr="003C7A36">
              <w:rPr>
                <w:b/>
                <w:sz w:val="20"/>
              </w:rPr>
              <w:t>Capability group/sets</w:t>
            </w:r>
          </w:p>
        </w:tc>
        <w:tc>
          <w:tcPr>
            <w:tcW w:w="2726" w:type="dxa"/>
            <w:shd w:val="clear" w:color="auto" w:fill="BFBFBF" w:themeFill="background1" w:themeFillShade="BF"/>
          </w:tcPr>
          <w:p w14:paraId="70C9B964" w14:textId="77777777" w:rsidR="00397ACB" w:rsidRPr="003C7A36" w:rsidRDefault="00397ACB" w:rsidP="00CC0D7A">
            <w:pPr>
              <w:rPr>
                <w:sz w:val="20"/>
              </w:rPr>
            </w:pPr>
            <w:r w:rsidRPr="003C7A36">
              <w:rPr>
                <w:b/>
                <w:sz w:val="20"/>
              </w:rPr>
              <w:t>Capability name</w:t>
            </w:r>
          </w:p>
        </w:tc>
        <w:tc>
          <w:tcPr>
            <w:tcW w:w="4709" w:type="dxa"/>
            <w:shd w:val="clear" w:color="auto" w:fill="BFBFBF" w:themeFill="background1" w:themeFillShade="BF"/>
          </w:tcPr>
          <w:p w14:paraId="05DA2373" w14:textId="77777777" w:rsidR="00397ACB" w:rsidRPr="003C7A36" w:rsidRDefault="00397ACB" w:rsidP="00CC0D7A">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1C8E9878" w14:textId="77777777" w:rsidR="00397ACB" w:rsidRPr="00372FE9" w:rsidRDefault="00397ACB" w:rsidP="00CC0D7A">
            <w:pPr>
              <w:rPr>
                <w:b/>
                <w:bCs/>
                <w:sz w:val="20"/>
              </w:rPr>
            </w:pPr>
            <w:r w:rsidRPr="00372FE9">
              <w:rPr>
                <w:b/>
                <w:bCs/>
                <w:sz w:val="20"/>
              </w:rPr>
              <w:t>Level</w:t>
            </w:r>
          </w:p>
        </w:tc>
      </w:tr>
      <w:tr w:rsidR="00397ACB" w:rsidRPr="003C7A36" w14:paraId="0BFD2B5F" w14:textId="77777777" w:rsidTr="00CC0D7A">
        <w:trPr>
          <w:cantSplit/>
        </w:trPr>
        <w:tc>
          <w:tcPr>
            <w:tcW w:w="1385" w:type="dxa"/>
          </w:tcPr>
          <w:p w14:paraId="1F75F707" w14:textId="77777777" w:rsidR="00397ACB" w:rsidRPr="003C7A36" w:rsidRDefault="00397ACB" w:rsidP="00CC0D7A">
            <w:pPr>
              <w:jc w:val="center"/>
              <w:rPr>
                <w:noProof/>
                <w:sz w:val="20"/>
                <w:lang w:eastAsia="en-AU"/>
              </w:rPr>
            </w:pPr>
            <w:r w:rsidRPr="00372FE9">
              <w:rPr>
                <w:noProof/>
                <w:sz w:val="20"/>
                <w:lang w:eastAsia="en-AU"/>
              </w:rPr>
              <w:drawing>
                <wp:inline distT="0" distB="0" distL="0" distR="0" wp14:anchorId="271D6B72" wp14:editId="2EAFBDEC">
                  <wp:extent cx="749300" cy="749300"/>
                  <wp:effectExtent l="0" t="0" r="0" b="0"/>
                  <wp:docPr id="186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B929D90" w14:textId="77777777" w:rsidR="00397ACB" w:rsidRDefault="00397ACB" w:rsidP="00CC0D7A">
            <w:pPr>
              <w:rPr>
                <w:rFonts w:cs="Arial"/>
                <w:color w:val="000000"/>
                <w:sz w:val="20"/>
              </w:rPr>
            </w:pPr>
            <w:r w:rsidRPr="003C7A36">
              <w:rPr>
                <w:rFonts w:cs="Arial"/>
                <w:b/>
                <w:bCs/>
                <w:color w:val="000000"/>
                <w:sz w:val="20"/>
              </w:rPr>
              <w:t>Act with Integrity</w:t>
            </w:r>
          </w:p>
          <w:p w14:paraId="12B364DF" w14:textId="77777777" w:rsidR="00397ACB" w:rsidRPr="00667FCB" w:rsidRDefault="00397ACB" w:rsidP="00CC0D7A">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07318466" w14:textId="77777777" w:rsidR="00397ACB" w:rsidRPr="003C7A36" w:rsidRDefault="00397ACB" w:rsidP="00CC0D7A">
            <w:pPr>
              <w:pStyle w:val="TableBullet"/>
            </w:pPr>
            <w:r w:rsidRPr="003C7A36">
              <w:t>Represent the organisation in an honest, ethical and professional way and encourage others to do so</w:t>
            </w:r>
          </w:p>
          <w:p w14:paraId="11B0F82D" w14:textId="77777777" w:rsidR="00397ACB" w:rsidRPr="003C7A36" w:rsidRDefault="00397ACB" w:rsidP="00CC0D7A">
            <w:pPr>
              <w:pStyle w:val="TableBullet"/>
            </w:pPr>
            <w:r w:rsidRPr="003C7A36">
              <w:t>Act professionally and support a culture of integrity</w:t>
            </w:r>
          </w:p>
          <w:p w14:paraId="4D2D95E3" w14:textId="77777777" w:rsidR="00397ACB" w:rsidRPr="003C7A36" w:rsidRDefault="00397ACB" w:rsidP="00CC0D7A">
            <w:pPr>
              <w:pStyle w:val="TableBullet"/>
            </w:pPr>
            <w:r w:rsidRPr="003C7A36">
              <w:t>Identify and explain ethical issues and set an example for others to follow</w:t>
            </w:r>
          </w:p>
          <w:p w14:paraId="68DC0080" w14:textId="77777777" w:rsidR="00397ACB" w:rsidRPr="003C7A36" w:rsidRDefault="00397ACB" w:rsidP="00CC0D7A">
            <w:pPr>
              <w:pStyle w:val="TableBullet"/>
            </w:pPr>
            <w:r w:rsidRPr="003C7A36">
              <w:t>Ensure that others are aware of and understand the legislation and policy framework within which they operate</w:t>
            </w:r>
          </w:p>
          <w:p w14:paraId="5B0C22F0" w14:textId="77777777" w:rsidR="00397ACB" w:rsidRPr="003C7A36" w:rsidRDefault="00397ACB" w:rsidP="00CC0D7A">
            <w:pPr>
              <w:pStyle w:val="TableBullet"/>
            </w:pPr>
            <w:r w:rsidRPr="003C7A36">
              <w:t>Act to prevent and report misconduct and illegal and inappropriate behaviour</w:t>
            </w:r>
          </w:p>
        </w:tc>
        <w:tc>
          <w:tcPr>
            <w:tcW w:w="1668" w:type="dxa"/>
          </w:tcPr>
          <w:p w14:paraId="7BA5355D" w14:textId="77777777" w:rsidR="00397ACB" w:rsidRPr="006F0836" w:rsidRDefault="00397ACB" w:rsidP="00CC0D7A">
            <w:pPr>
              <w:pStyle w:val="TableText"/>
            </w:pPr>
            <w:r w:rsidRPr="004C659E">
              <w:t>Adept</w:t>
            </w:r>
          </w:p>
        </w:tc>
      </w:tr>
      <w:tr w:rsidR="00397ACB" w:rsidRPr="003C7A36" w14:paraId="15C32392" w14:textId="77777777" w:rsidTr="00CC0D7A">
        <w:trPr>
          <w:cantSplit/>
        </w:trPr>
        <w:tc>
          <w:tcPr>
            <w:tcW w:w="1385" w:type="dxa"/>
          </w:tcPr>
          <w:p w14:paraId="0A759549" w14:textId="77777777" w:rsidR="00397ACB" w:rsidRPr="003C7A36" w:rsidRDefault="00397ACB" w:rsidP="00CC0D7A">
            <w:pPr>
              <w:jc w:val="center"/>
              <w:rPr>
                <w:noProof/>
                <w:sz w:val="20"/>
                <w:lang w:eastAsia="en-AU"/>
              </w:rPr>
            </w:pPr>
            <w:r w:rsidRPr="00372FE9">
              <w:rPr>
                <w:noProof/>
                <w:sz w:val="20"/>
                <w:lang w:eastAsia="en-AU"/>
              </w:rPr>
              <w:lastRenderedPageBreak/>
              <w:drawing>
                <wp:inline distT="0" distB="0" distL="0" distR="0" wp14:anchorId="2715C17B" wp14:editId="08AC4EC0">
                  <wp:extent cx="749300" cy="749300"/>
                  <wp:effectExtent l="0" t="0" r="0" b="0"/>
                  <wp:docPr id="545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BECC6B8" w14:textId="77777777" w:rsidR="00397ACB" w:rsidRDefault="00397ACB" w:rsidP="00CC0D7A">
            <w:pPr>
              <w:rPr>
                <w:rFonts w:cs="Arial"/>
                <w:color w:val="000000"/>
                <w:sz w:val="20"/>
              </w:rPr>
            </w:pPr>
            <w:r w:rsidRPr="003C7A36">
              <w:rPr>
                <w:rFonts w:cs="Arial"/>
                <w:b/>
                <w:bCs/>
                <w:color w:val="000000"/>
                <w:sz w:val="20"/>
              </w:rPr>
              <w:t>Value Diversity and Inclusion</w:t>
            </w:r>
          </w:p>
          <w:p w14:paraId="25905956" w14:textId="77777777" w:rsidR="00397ACB" w:rsidRPr="00667FCB" w:rsidRDefault="00397ACB" w:rsidP="00CC0D7A">
            <w:pPr>
              <w:rPr>
                <w:rFonts w:cs="Arial"/>
                <w:color w:val="000000"/>
                <w:sz w:val="20"/>
              </w:rPr>
            </w:pPr>
            <w:r w:rsidRPr="003C7A36">
              <w:rPr>
                <w:rFonts w:cs="Arial"/>
                <w:color w:val="000000"/>
                <w:sz w:val="20"/>
              </w:rPr>
              <w:t xml:space="preserve">Demonstrate inclusive </w:t>
            </w:r>
            <w:proofErr w:type="spellStart"/>
            <w:r w:rsidRPr="003C7A36">
              <w:rPr>
                <w:rFonts w:cs="Arial"/>
                <w:color w:val="000000"/>
                <w:sz w:val="20"/>
              </w:rPr>
              <w:t>behaviour</w:t>
            </w:r>
            <w:proofErr w:type="spellEnd"/>
            <w:r w:rsidRPr="003C7A36">
              <w:rPr>
                <w:rFonts w:cs="Arial"/>
                <w:color w:val="000000"/>
                <w:sz w:val="20"/>
              </w:rPr>
              <w:t xml:space="preserve"> and show respect for diverse backgrounds, experiences and perspectives</w:t>
            </w:r>
          </w:p>
        </w:tc>
        <w:tc>
          <w:tcPr>
            <w:tcW w:w="4709" w:type="dxa"/>
          </w:tcPr>
          <w:p w14:paraId="2DBFFF93" w14:textId="77777777" w:rsidR="00397ACB" w:rsidRPr="003C7A36" w:rsidRDefault="00397ACB" w:rsidP="00CC0D7A">
            <w:pPr>
              <w:pStyle w:val="TableBullet"/>
            </w:pPr>
            <w:r w:rsidRPr="003C7A36">
              <w:t>Encourage and include diverse perspectives in the development of policies and strategies</w:t>
            </w:r>
          </w:p>
          <w:p w14:paraId="39BC813F" w14:textId="77777777" w:rsidR="00397ACB" w:rsidRPr="003C7A36" w:rsidRDefault="00397ACB" w:rsidP="00CC0D7A">
            <w:pPr>
              <w:pStyle w:val="TableBullet"/>
            </w:pPr>
            <w:r w:rsidRPr="003C7A36">
              <w:t>Take advantage of diverse views and perspectives to develop new approaches to delivering outcomes</w:t>
            </w:r>
          </w:p>
          <w:p w14:paraId="0FB7155F" w14:textId="77777777" w:rsidR="00397ACB" w:rsidRPr="003C7A36" w:rsidRDefault="00397ACB" w:rsidP="00CC0D7A">
            <w:pPr>
              <w:pStyle w:val="TableBullet"/>
            </w:pPr>
            <w:r w:rsidRPr="003C7A36">
              <w:t>Build and monitor a workplace culture that enables diversity and fair and inclusive practices</w:t>
            </w:r>
          </w:p>
          <w:p w14:paraId="7DBB9BEC" w14:textId="77777777" w:rsidR="00397ACB" w:rsidRPr="003C7A36" w:rsidRDefault="00397ACB" w:rsidP="00CC0D7A">
            <w:pPr>
              <w:pStyle w:val="TableBullet"/>
            </w:pPr>
            <w:r w:rsidRPr="003C7A36">
              <w:t>Implement practices and systems to ensure that individuals can participate to their fullest ability</w:t>
            </w:r>
          </w:p>
          <w:p w14:paraId="2159B8B4" w14:textId="77777777" w:rsidR="00397ACB" w:rsidRPr="003C7A36" w:rsidRDefault="00397ACB" w:rsidP="00CC0D7A">
            <w:pPr>
              <w:pStyle w:val="TableBullet"/>
            </w:pPr>
            <w:r w:rsidRPr="003C7A36">
              <w:t>Recognise the value of individual differences to support broader organisational strategies</w:t>
            </w:r>
          </w:p>
          <w:p w14:paraId="0A0F908F" w14:textId="77777777" w:rsidR="00397ACB" w:rsidRPr="003C7A36" w:rsidRDefault="00397ACB" w:rsidP="00CC0D7A">
            <w:pPr>
              <w:pStyle w:val="TableBullet"/>
            </w:pPr>
            <w:r w:rsidRPr="003C7A36">
              <w:t>Address non-inclusive behaviours, practices and attitudes within the organisation</w:t>
            </w:r>
          </w:p>
          <w:p w14:paraId="12297626" w14:textId="77777777" w:rsidR="00397ACB" w:rsidRPr="003C7A36" w:rsidRDefault="00397ACB" w:rsidP="00CC0D7A">
            <w:pPr>
              <w:pStyle w:val="TableBullet"/>
            </w:pPr>
            <w:r w:rsidRPr="003C7A36">
              <w:t>Champion the business benefits generated by workforce diversity and inclusive practices</w:t>
            </w:r>
          </w:p>
        </w:tc>
        <w:tc>
          <w:tcPr>
            <w:tcW w:w="1668" w:type="dxa"/>
          </w:tcPr>
          <w:p w14:paraId="5BA64C1F" w14:textId="77777777" w:rsidR="00397ACB" w:rsidRPr="006F0836" w:rsidRDefault="00397ACB" w:rsidP="00CC0D7A">
            <w:pPr>
              <w:pStyle w:val="TableText"/>
            </w:pPr>
            <w:r w:rsidRPr="004C659E">
              <w:t>Advanced</w:t>
            </w:r>
          </w:p>
        </w:tc>
      </w:tr>
      <w:tr w:rsidR="00397ACB" w:rsidRPr="003C7A36" w14:paraId="4CEA55DB" w14:textId="77777777" w:rsidTr="00CC0D7A">
        <w:trPr>
          <w:cantSplit/>
        </w:trPr>
        <w:tc>
          <w:tcPr>
            <w:tcW w:w="1385" w:type="dxa"/>
          </w:tcPr>
          <w:p w14:paraId="7A385780" w14:textId="77777777" w:rsidR="00397ACB" w:rsidRPr="003C7A36" w:rsidRDefault="00397ACB" w:rsidP="00CC0D7A">
            <w:pPr>
              <w:jc w:val="center"/>
              <w:rPr>
                <w:noProof/>
                <w:sz w:val="20"/>
                <w:lang w:eastAsia="en-AU"/>
              </w:rPr>
            </w:pPr>
            <w:r w:rsidRPr="00372FE9">
              <w:rPr>
                <w:noProof/>
                <w:sz w:val="20"/>
                <w:lang w:eastAsia="en-AU"/>
              </w:rPr>
              <w:drawing>
                <wp:inline distT="0" distB="0" distL="0" distR="0" wp14:anchorId="5555BEAA" wp14:editId="55807252">
                  <wp:extent cx="749300" cy="749300"/>
                  <wp:effectExtent l="0" t="0" r="0" b="0"/>
                  <wp:docPr id="381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81C3EE" w14:textId="77777777" w:rsidR="00397ACB" w:rsidRDefault="00397ACB" w:rsidP="00CC0D7A">
            <w:pPr>
              <w:rPr>
                <w:rFonts w:cs="Arial"/>
                <w:color w:val="000000"/>
                <w:sz w:val="20"/>
              </w:rPr>
            </w:pPr>
            <w:r w:rsidRPr="003C7A36">
              <w:rPr>
                <w:rFonts w:cs="Arial"/>
                <w:b/>
                <w:bCs/>
                <w:color w:val="000000"/>
                <w:sz w:val="20"/>
              </w:rPr>
              <w:t>Communicate Effectively</w:t>
            </w:r>
          </w:p>
          <w:p w14:paraId="33467A2C" w14:textId="77777777" w:rsidR="00397ACB" w:rsidRPr="00667FCB" w:rsidRDefault="00397ACB" w:rsidP="00CC0D7A">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1C9B55D" w14:textId="77777777" w:rsidR="00397ACB" w:rsidRPr="003C7A36" w:rsidRDefault="00397ACB" w:rsidP="00CC0D7A">
            <w:pPr>
              <w:pStyle w:val="TableBullet"/>
            </w:pPr>
            <w:r w:rsidRPr="003C7A36">
              <w:t>Present with credibility, engage diverse audiences and test levels of understanding</w:t>
            </w:r>
          </w:p>
          <w:p w14:paraId="223F8049" w14:textId="77777777" w:rsidR="00397ACB" w:rsidRPr="003C7A36" w:rsidRDefault="00397ACB" w:rsidP="00CC0D7A">
            <w:pPr>
              <w:pStyle w:val="TableBullet"/>
            </w:pPr>
            <w:r w:rsidRPr="003C7A36">
              <w:t>Translate technical and complex information clearly and concisely for diverse audiences</w:t>
            </w:r>
          </w:p>
          <w:p w14:paraId="79293FA4" w14:textId="77777777" w:rsidR="00397ACB" w:rsidRPr="003C7A36" w:rsidRDefault="00397ACB" w:rsidP="00CC0D7A">
            <w:pPr>
              <w:pStyle w:val="TableBullet"/>
            </w:pPr>
            <w:r w:rsidRPr="003C7A36">
              <w:t>Create opportunities for others to contribute to discussion and debate</w:t>
            </w:r>
          </w:p>
          <w:p w14:paraId="3E7B6F96" w14:textId="77777777" w:rsidR="00397ACB" w:rsidRPr="003C7A36" w:rsidRDefault="00397ACB" w:rsidP="00CC0D7A">
            <w:pPr>
              <w:pStyle w:val="TableBullet"/>
            </w:pPr>
            <w:r w:rsidRPr="003C7A36">
              <w:t>Contribute to and promote information sharing across the organisation</w:t>
            </w:r>
          </w:p>
          <w:p w14:paraId="2074B4D2" w14:textId="77777777" w:rsidR="00397ACB" w:rsidRPr="003C7A36" w:rsidRDefault="00397ACB" w:rsidP="00CC0D7A">
            <w:pPr>
              <w:pStyle w:val="TableBullet"/>
            </w:pPr>
            <w:r w:rsidRPr="003C7A36">
              <w:t>Manage complex communications that involve understanding and responding to multiple and divergent viewpoints</w:t>
            </w:r>
          </w:p>
          <w:p w14:paraId="3849A246" w14:textId="77777777" w:rsidR="00397ACB" w:rsidRPr="003C7A36" w:rsidRDefault="00397ACB" w:rsidP="00CC0D7A">
            <w:pPr>
              <w:pStyle w:val="TableBullet"/>
            </w:pPr>
            <w:r w:rsidRPr="003C7A36">
              <w:t>Explore creative ways to engage diverse audiences and communicate information</w:t>
            </w:r>
          </w:p>
          <w:p w14:paraId="7BE323EE" w14:textId="77777777" w:rsidR="00397ACB" w:rsidRPr="003C7A36" w:rsidRDefault="00397ACB" w:rsidP="00CC0D7A">
            <w:pPr>
              <w:pStyle w:val="TableBullet"/>
            </w:pPr>
            <w:r w:rsidRPr="003C7A36">
              <w:t>Adjust style and approach to optimise outcomes</w:t>
            </w:r>
          </w:p>
          <w:p w14:paraId="53E64CC2" w14:textId="77777777" w:rsidR="00397ACB" w:rsidRPr="003C7A36" w:rsidRDefault="00397ACB" w:rsidP="00CC0D7A">
            <w:pPr>
              <w:pStyle w:val="TableBullet"/>
            </w:pPr>
            <w:r w:rsidRPr="003C7A36">
              <w:t>Write fluently and persuasively in plain English and in a range of styles and formats</w:t>
            </w:r>
          </w:p>
        </w:tc>
        <w:tc>
          <w:tcPr>
            <w:tcW w:w="1668" w:type="dxa"/>
          </w:tcPr>
          <w:p w14:paraId="451B8C83" w14:textId="77777777" w:rsidR="00397ACB" w:rsidRPr="006F0836" w:rsidRDefault="00397ACB" w:rsidP="00CC0D7A">
            <w:pPr>
              <w:pStyle w:val="TableText"/>
            </w:pPr>
            <w:r w:rsidRPr="004C659E">
              <w:t>Advanced</w:t>
            </w:r>
          </w:p>
        </w:tc>
      </w:tr>
      <w:tr w:rsidR="00397ACB" w:rsidRPr="003C7A36" w14:paraId="2DD843D4" w14:textId="77777777" w:rsidTr="00CC0D7A">
        <w:trPr>
          <w:cantSplit/>
        </w:trPr>
        <w:tc>
          <w:tcPr>
            <w:tcW w:w="1385" w:type="dxa"/>
          </w:tcPr>
          <w:p w14:paraId="54EC8B59" w14:textId="77777777" w:rsidR="00397ACB" w:rsidRPr="003C7A36" w:rsidRDefault="00397ACB" w:rsidP="00CC0D7A">
            <w:pPr>
              <w:jc w:val="center"/>
              <w:rPr>
                <w:noProof/>
                <w:sz w:val="20"/>
                <w:lang w:eastAsia="en-AU"/>
              </w:rPr>
            </w:pPr>
            <w:r w:rsidRPr="00372FE9">
              <w:rPr>
                <w:noProof/>
                <w:sz w:val="20"/>
                <w:lang w:eastAsia="en-AU"/>
              </w:rPr>
              <w:drawing>
                <wp:inline distT="0" distB="0" distL="0" distR="0" wp14:anchorId="3BAEA994" wp14:editId="36AC5AEC">
                  <wp:extent cx="749300" cy="749300"/>
                  <wp:effectExtent l="0" t="0" r="0" b="0"/>
                  <wp:docPr id="740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1AAB88A" w14:textId="77777777" w:rsidR="00397ACB" w:rsidRDefault="00397ACB" w:rsidP="00CC0D7A">
            <w:pPr>
              <w:rPr>
                <w:rFonts w:cs="Arial"/>
                <w:color w:val="000000"/>
                <w:sz w:val="20"/>
              </w:rPr>
            </w:pPr>
            <w:r w:rsidRPr="003C7A36">
              <w:rPr>
                <w:rFonts w:cs="Arial"/>
                <w:b/>
                <w:bCs/>
                <w:color w:val="000000"/>
                <w:sz w:val="20"/>
              </w:rPr>
              <w:t>Work Collaboratively</w:t>
            </w:r>
          </w:p>
          <w:p w14:paraId="5D764C7D" w14:textId="77777777" w:rsidR="00397ACB" w:rsidRPr="00667FCB" w:rsidRDefault="00397ACB" w:rsidP="00CC0D7A">
            <w:pPr>
              <w:rPr>
                <w:rFonts w:cs="Arial"/>
                <w:color w:val="000000"/>
                <w:sz w:val="20"/>
              </w:rPr>
            </w:pPr>
            <w:r w:rsidRPr="003C7A36">
              <w:rPr>
                <w:rFonts w:cs="Arial"/>
                <w:color w:val="000000"/>
                <w:sz w:val="20"/>
              </w:rPr>
              <w:t>Collaborate with others and value their contribution</w:t>
            </w:r>
          </w:p>
        </w:tc>
        <w:tc>
          <w:tcPr>
            <w:tcW w:w="4709" w:type="dxa"/>
          </w:tcPr>
          <w:p w14:paraId="1E6146C2" w14:textId="77777777" w:rsidR="00397ACB" w:rsidRPr="003C7A36" w:rsidRDefault="00397ACB" w:rsidP="00CC0D7A">
            <w:pPr>
              <w:pStyle w:val="TableBullet"/>
            </w:pPr>
            <w:r w:rsidRPr="003C7A36">
              <w:t>Recognise outcomes achieved through effective collaboration between teams</w:t>
            </w:r>
          </w:p>
          <w:p w14:paraId="14E430CF" w14:textId="77777777" w:rsidR="00397ACB" w:rsidRPr="003C7A36" w:rsidRDefault="00397ACB" w:rsidP="00CC0D7A">
            <w:pPr>
              <w:pStyle w:val="TableBullet"/>
            </w:pPr>
            <w:r w:rsidRPr="003C7A36">
              <w:t>Build cooperation and overcome barriers to information sharing, communication and collaboration across the organisation and across government</w:t>
            </w:r>
          </w:p>
          <w:p w14:paraId="11312EBF" w14:textId="77777777" w:rsidR="00397ACB" w:rsidRPr="003C7A36" w:rsidRDefault="00397ACB" w:rsidP="00CC0D7A">
            <w:pPr>
              <w:pStyle w:val="TableBullet"/>
            </w:pPr>
            <w:r w:rsidRPr="003C7A36">
              <w:t>Facilitate opportunities to engage and collaborate with stakeholders to develop joint solutions</w:t>
            </w:r>
          </w:p>
          <w:p w14:paraId="26DB1C0C" w14:textId="77777777" w:rsidR="00397ACB" w:rsidRPr="003C7A36" w:rsidRDefault="00397ACB" w:rsidP="00CC0D7A">
            <w:pPr>
              <w:pStyle w:val="TableBullet"/>
            </w:pPr>
            <w:r w:rsidRPr="003C7A36">
              <w:t>Network extensively across government and organisations to increase collaboration</w:t>
            </w:r>
          </w:p>
          <w:p w14:paraId="3ECFB6DA" w14:textId="77777777" w:rsidR="00397ACB" w:rsidRPr="003C7A36" w:rsidRDefault="00397ACB" w:rsidP="00CC0D7A">
            <w:pPr>
              <w:pStyle w:val="TableBullet"/>
            </w:pPr>
            <w:r w:rsidRPr="003C7A36">
              <w:t>Encourage others to use appropriate collaboration approaches and tools, including digital technologies</w:t>
            </w:r>
          </w:p>
        </w:tc>
        <w:tc>
          <w:tcPr>
            <w:tcW w:w="1668" w:type="dxa"/>
          </w:tcPr>
          <w:p w14:paraId="41A68F67" w14:textId="77777777" w:rsidR="00397ACB" w:rsidRPr="006F0836" w:rsidRDefault="00397ACB" w:rsidP="00CC0D7A">
            <w:pPr>
              <w:pStyle w:val="TableText"/>
            </w:pPr>
            <w:r w:rsidRPr="004C659E">
              <w:t>Advanced</w:t>
            </w:r>
          </w:p>
        </w:tc>
      </w:tr>
      <w:tr w:rsidR="00397ACB" w:rsidRPr="003C7A36" w14:paraId="7DBEA3EE" w14:textId="77777777" w:rsidTr="00CC0D7A">
        <w:trPr>
          <w:cantSplit/>
        </w:trPr>
        <w:tc>
          <w:tcPr>
            <w:tcW w:w="1385" w:type="dxa"/>
          </w:tcPr>
          <w:p w14:paraId="5CAED496" w14:textId="77777777" w:rsidR="00397ACB" w:rsidRPr="003C7A36" w:rsidRDefault="00397ACB" w:rsidP="00CC0D7A">
            <w:pPr>
              <w:jc w:val="center"/>
              <w:rPr>
                <w:noProof/>
                <w:sz w:val="20"/>
                <w:lang w:eastAsia="en-AU"/>
              </w:rPr>
            </w:pPr>
            <w:r w:rsidRPr="00372FE9">
              <w:rPr>
                <w:noProof/>
                <w:sz w:val="20"/>
                <w:lang w:eastAsia="en-AU"/>
              </w:rPr>
              <w:lastRenderedPageBreak/>
              <w:drawing>
                <wp:inline distT="0" distB="0" distL="0" distR="0" wp14:anchorId="0D28E681" wp14:editId="751FA360">
                  <wp:extent cx="749300" cy="749300"/>
                  <wp:effectExtent l="0" t="0" r="0" b="0"/>
                  <wp:docPr id="99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A1E5DA7" w14:textId="77777777" w:rsidR="00397ACB" w:rsidRDefault="00397ACB" w:rsidP="00CC0D7A">
            <w:pPr>
              <w:rPr>
                <w:rFonts w:cs="Arial"/>
                <w:color w:val="000000"/>
                <w:sz w:val="20"/>
              </w:rPr>
            </w:pPr>
            <w:r w:rsidRPr="003C7A36">
              <w:rPr>
                <w:rFonts w:cs="Arial"/>
                <w:b/>
                <w:bCs/>
                <w:color w:val="000000"/>
                <w:sz w:val="20"/>
              </w:rPr>
              <w:t xml:space="preserve">Plan and </w:t>
            </w:r>
            <w:proofErr w:type="spellStart"/>
            <w:r w:rsidRPr="003C7A36">
              <w:rPr>
                <w:rFonts w:cs="Arial"/>
                <w:b/>
                <w:bCs/>
                <w:color w:val="000000"/>
                <w:sz w:val="20"/>
              </w:rPr>
              <w:t>Prioritise</w:t>
            </w:r>
            <w:proofErr w:type="spellEnd"/>
          </w:p>
          <w:p w14:paraId="39FB9D5F" w14:textId="77777777" w:rsidR="00397ACB" w:rsidRPr="00667FCB" w:rsidRDefault="00397ACB" w:rsidP="00CC0D7A">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04D106DA" w14:textId="77777777" w:rsidR="00397ACB" w:rsidRPr="003C7A36" w:rsidRDefault="00397ACB" w:rsidP="00CC0D7A">
            <w:pPr>
              <w:pStyle w:val="TableBullet"/>
            </w:pPr>
            <w:r w:rsidRPr="003C7A36">
              <w:t>Understand the links between the business unit, organisation and the whole-of-government agenda</w:t>
            </w:r>
          </w:p>
          <w:p w14:paraId="62009BA8" w14:textId="77777777" w:rsidR="00397ACB" w:rsidRPr="003C7A36" w:rsidRDefault="00397ACB" w:rsidP="00CC0D7A">
            <w:pPr>
              <w:pStyle w:val="TableBullet"/>
            </w:pPr>
            <w:r w:rsidRPr="003C7A36">
              <w:t>Ensure business plan goals are clear and appropriate and include contingency provisions</w:t>
            </w:r>
          </w:p>
          <w:p w14:paraId="4C605A4A" w14:textId="77777777" w:rsidR="00397ACB" w:rsidRPr="003C7A36" w:rsidRDefault="00397ACB" w:rsidP="00CC0D7A">
            <w:pPr>
              <w:pStyle w:val="TableBullet"/>
            </w:pPr>
            <w:r w:rsidRPr="003C7A36">
              <w:t>Monitor the progress of initiatives and make necessary adjustments</w:t>
            </w:r>
          </w:p>
          <w:p w14:paraId="2774B60E" w14:textId="77777777" w:rsidR="00397ACB" w:rsidRPr="003C7A36" w:rsidRDefault="00397ACB" w:rsidP="00CC0D7A">
            <w:pPr>
              <w:pStyle w:val="TableBullet"/>
            </w:pPr>
            <w:r w:rsidRPr="003C7A36">
              <w:t>Anticipate and assess the impact of changes, including government policy and economic conditions, on business plans and initiatives and respond appropriately</w:t>
            </w:r>
          </w:p>
          <w:p w14:paraId="43790383" w14:textId="77777777" w:rsidR="00397ACB" w:rsidRPr="003C7A36" w:rsidRDefault="00397ACB" w:rsidP="00CC0D7A">
            <w:pPr>
              <w:pStyle w:val="TableBullet"/>
            </w:pPr>
            <w:r w:rsidRPr="003C7A36">
              <w:t>Consider the implications of a wide range of complex issues and shift business priorities when necessary</w:t>
            </w:r>
          </w:p>
          <w:p w14:paraId="14889CEC" w14:textId="77777777" w:rsidR="00397ACB" w:rsidRPr="003C7A36" w:rsidRDefault="00397ACB" w:rsidP="00CC0D7A">
            <w:pPr>
              <w:pStyle w:val="TableBullet"/>
            </w:pPr>
            <w:r w:rsidRPr="003C7A36">
              <w:t>Undertake planning to help the organisation transition through change initiatives, and evaluate progress and outcomes to inform future planning</w:t>
            </w:r>
          </w:p>
        </w:tc>
        <w:tc>
          <w:tcPr>
            <w:tcW w:w="1668" w:type="dxa"/>
          </w:tcPr>
          <w:p w14:paraId="57F8C587" w14:textId="77777777" w:rsidR="00397ACB" w:rsidRPr="006F0836" w:rsidRDefault="00397ACB" w:rsidP="00CC0D7A">
            <w:pPr>
              <w:pStyle w:val="TableText"/>
            </w:pPr>
            <w:r w:rsidRPr="004C659E">
              <w:t>Advanced</w:t>
            </w:r>
          </w:p>
        </w:tc>
      </w:tr>
      <w:tr w:rsidR="00397ACB" w:rsidRPr="003C7A36" w14:paraId="16E7E28E" w14:textId="77777777" w:rsidTr="00CC0D7A">
        <w:trPr>
          <w:cantSplit/>
        </w:trPr>
        <w:tc>
          <w:tcPr>
            <w:tcW w:w="1385" w:type="dxa"/>
          </w:tcPr>
          <w:p w14:paraId="15A3E424" w14:textId="77777777" w:rsidR="00397ACB" w:rsidRPr="003C7A36" w:rsidRDefault="00397ACB" w:rsidP="00CC0D7A">
            <w:pPr>
              <w:jc w:val="center"/>
              <w:rPr>
                <w:noProof/>
                <w:sz w:val="20"/>
                <w:lang w:eastAsia="en-AU"/>
              </w:rPr>
            </w:pPr>
            <w:r w:rsidRPr="00372FE9">
              <w:rPr>
                <w:noProof/>
                <w:sz w:val="20"/>
                <w:lang w:eastAsia="en-AU"/>
              </w:rPr>
              <w:drawing>
                <wp:inline distT="0" distB="0" distL="0" distR="0" wp14:anchorId="59CB82C6" wp14:editId="6F64CB28">
                  <wp:extent cx="749300" cy="749300"/>
                  <wp:effectExtent l="0" t="0" r="0" b="0"/>
                  <wp:docPr id="935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B73E429" w14:textId="77777777" w:rsidR="00397ACB" w:rsidRDefault="00397ACB" w:rsidP="00CC0D7A">
            <w:pPr>
              <w:rPr>
                <w:rFonts w:cs="Arial"/>
                <w:color w:val="000000"/>
                <w:sz w:val="20"/>
              </w:rPr>
            </w:pPr>
            <w:r w:rsidRPr="003C7A36">
              <w:rPr>
                <w:rFonts w:cs="Arial"/>
                <w:b/>
                <w:bCs/>
                <w:color w:val="000000"/>
                <w:sz w:val="20"/>
              </w:rPr>
              <w:t>Project Management</w:t>
            </w:r>
          </w:p>
          <w:p w14:paraId="3804E3BE" w14:textId="77777777" w:rsidR="00397ACB" w:rsidRPr="00667FCB" w:rsidRDefault="00397ACB" w:rsidP="00CC0D7A">
            <w:pPr>
              <w:rPr>
                <w:rFonts w:cs="Arial"/>
                <w:color w:val="000000"/>
                <w:sz w:val="20"/>
              </w:rPr>
            </w:pPr>
            <w:r w:rsidRPr="003C7A36">
              <w:rPr>
                <w:rFonts w:cs="Arial"/>
                <w:color w:val="000000"/>
                <w:sz w:val="20"/>
              </w:rPr>
              <w:t>Understand and apply effective planning, coordination and control methods</w:t>
            </w:r>
          </w:p>
        </w:tc>
        <w:tc>
          <w:tcPr>
            <w:tcW w:w="4709" w:type="dxa"/>
          </w:tcPr>
          <w:p w14:paraId="2EA1CA9D" w14:textId="77777777" w:rsidR="00397ACB" w:rsidRPr="003C7A36" w:rsidRDefault="00397ACB" w:rsidP="00CC0D7A">
            <w:pPr>
              <w:pStyle w:val="TableBullet"/>
            </w:pPr>
            <w:r w:rsidRPr="003C7A36">
              <w:t>Understand all components of the project management process, including the need to consider change management to realise business benefits</w:t>
            </w:r>
          </w:p>
          <w:p w14:paraId="0FE6B3AB" w14:textId="77777777" w:rsidR="00397ACB" w:rsidRPr="003C7A36" w:rsidRDefault="00397ACB" w:rsidP="00CC0D7A">
            <w:pPr>
              <w:pStyle w:val="TableBullet"/>
            </w:pPr>
            <w:r w:rsidRPr="003C7A36">
              <w:t>Prepare clear project proposals and accurate estimates of required costs and resources</w:t>
            </w:r>
          </w:p>
          <w:p w14:paraId="2087574D" w14:textId="77777777" w:rsidR="00397ACB" w:rsidRPr="003C7A36" w:rsidRDefault="00397ACB" w:rsidP="00CC0D7A">
            <w:pPr>
              <w:pStyle w:val="TableBullet"/>
            </w:pPr>
            <w:r w:rsidRPr="003C7A36">
              <w:t>Establish performance outcomes and measures for key project goals, and define monitoring, reporting and communication requirements</w:t>
            </w:r>
          </w:p>
          <w:p w14:paraId="032CF6F3" w14:textId="77777777" w:rsidR="00397ACB" w:rsidRPr="003C7A36" w:rsidRDefault="00397ACB" w:rsidP="00CC0D7A">
            <w:pPr>
              <w:pStyle w:val="TableBullet"/>
            </w:pPr>
            <w:r w:rsidRPr="003C7A36">
              <w:t>Identify and evaluate risks associated with the project and develop mitigation strategies</w:t>
            </w:r>
          </w:p>
          <w:p w14:paraId="6F0A70D0" w14:textId="77777777" w:rsidR="00397ACB" w:rsidRPr="003C7A36" w:rsidRDefault="00397ACB" w:rsidP="00CC0D7A">
            <w:pPr>
              <w:pStyle w:val="TableBullet"/>
            </w:pPr>
            <w:r w:rsidRPr="003C7A36">
              <w:t>Identify and consult stakeholders to inform the project strategy</w:t>
            </w:r>
          </w:p>
          <w:p w14:paraId="7E96BFAA" w14:textId="77777777" w:rsidR="00397ACB" w:rsidRPr="003C7A36" w:rsidRDefault="00397ACB" w:rsidP="00CC0D7A">
            <w:pPr>
              <w:pStyle w:val="TableBullet"/>
            </w:pPr>
            <w:r w:rsidRPr="003C7A36">
              <w:t>Communicate the project’s objectives and its expected benefits</w:t>
            </w:r>
          </w:p>
          <w:p w14:paraId="7843E772" w14:textId="77777777" w:rsidR="00397ACB" w:rsidRPr="003C7A36" w:rsidRDefault="00397ACB" w:rsidP="00CC0D7A">
            <w:pPr>
              <w:pStyle w:val="TableBullet"/>
            </w:pPr>
            <w:r w:rsidRPr="003C7A36">
              <w:t>Monitor the completion of project milestones against goals and take necessary action</w:t>
            </w:r>
          </w:p>
          <w:p w14:paraId="60130902" w14:textId="77777777" w:rsidR="00397ACB" w:rsidRPr="003C7A36" w:rsidRDefault="00397ACB" w:rsidP="00CC0D7A">
            <w:pPr>
              <w:pStyle w:val="TableBullet"/>
            </w:pPr>
            <w:r w:rsidRPr="003C7A36">
              <w:t>Evaluate progress and identify improvements to inform future projects</w:t>
            </w:r>
          </w:p>
        </w:tc>
        <w:tc>
          <w:tcPr>
            <w:tcW w:w="1668" w:type="dxa"/>
          </w:tcPr>
          <w:p w14:paraId="554D70A9" w14:textId="77777777" w:rsidR="00397ACB" w:rsidRPr="006F0836" w:rsidRDefault="00397ACB" w:rsidP="00CC0D7A">
            <w:pPr>
              <w:pStyle w:val="TableText"/>
            </w:pPr>
            <w:r w:rsidRPr="004C659E">
              <w:t>Adept</w:t>
            </w:r>
          </w:p>
        </w:tc>
      </w:tr>
      <w:tr w:rsidR="00397ACB" w:rsidRPr="003C7A36" w14:paraId="6650D970" w14:textId="77777777" w:rsidTr="00CC0D7A">
        <w:trPr>
          <w:cantSplit/>
        </w:trPr>
        <w:tc>
          <w:tcPr>
            <w:tcW w:w="1385" w:type="dxa"/>
          </w:tcPr>
          <w:p w14:paraId="58EB2F49" w14:textId="77777777" w:rsidR="00397ACB" w:rsidRPr="003C7A36" w:rsidRDefault="00397ACB" w:rsidP="00CC0D7A">
            <w:pPr>
              <w:jc w:val="center"/>
              <w:rPr>
                <w:noProof/>
                <w:sz w:val="20"/>
                <w:lang w:eastAsia="en-AU"/>
              </w:rPr>
            </w:pPr>
            <w:r w:rsidRPr="00372FE9">
              <w:rPr>
                <w:noProof/>
                <w:sz w:val="20"/>
                <w:lang w:eastAsia="en-AU"/>
              </w:rPr>
              <w:lastRenderedPageBreak/>
              <w:drawing>
                <wp:inline distT="0" distB="0" distL="0" distR="0" wp14:anchorId="08D2A696" wp14:editId="144D6F15">
                  <wp:extent cx="749300" cy="749300"/>
                  <wp:effectExtent l="0" t="0" r="0" b="0"/>
                  <wp:docPr id="2948"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81EB38" w14:textId="77777777" w:rsidR="00397ACB" w:rsidRDefault="00397ACB" w:rsidP="00CC0D7A">
            <w:pPr>
              <w:rPr>
                <w:rFonts w:cs="Arial"/>
                <w:color w:val="000000"/>
                <w:sz w:val="20"/>
              </w:rPr>
            </w:pPr>
            <w:r w:rsidRPr="003C7A36">
              <w:rPr>
                <w:rFonts w:cs="Arial"/>
                <w:b/>
                <w:bCs/>
                <w:color w:val="000000"/>
                <w:sz w:val="20"/>
              </w:rPr>
              <w:t>Manage and Develop People</w:t>
            </w:r>
          </w:p>
          <w:p w14:paraId="0029AC2C" w14:textId="77777777" w:rsidR="00397ACB" w:rsidRPr="00667FCB" w:rsidRDefault="00397ACB" w:rsidP="00CC0D7A">
            <w:pPr>
              <w:rPr>
                <w:rFonts w:cs="Arial"/>
                <w:color w:val="000000"/>
                <w:sz w:val="20"/>
              </w:rPr>
            </w:pPr>
            <w:r w:rsidRPr="003C7A36">
              <w:rPr>
                <w:rFonts w:cs="Arial"/>
                <w:color w:val="000000"/>
                <w:sz w:val="20"/>
              </w:rPr>
              <w:t>Engage and motivate staff, and develop capability and potential in others</w:t>
            </w:r>
          </w:p>
        </w:tc>
        <w:tc>
          <w:tcPr>
            <w:tcW w:w="4709" w:type="dxa"/>
          </w:tcPr>
          <w:p w14:paraId="59BECBE1" w14:textId="77777777" w:rsidR="00397ACB" w:rsidRPr="003C7A36" w:rsidRDefault="00397ACB" w:rsidP="00CC0D7A">
            <w:pPr>
              <w:pStyle w:val="TableBullet"/>
            </w:pPr>
            <w:r w:rsidRPr="003C7A36">
              <w:t>Define and clearly communicate roles, responsibilities and performance standards to achieve team outcomes</w:t>
            </w:r>
          </w:p>
          <w:p w14:paraId="07A063EA" w14:textId="77777777" w:rsidR="00397ACB" w:rsidRPr="003C7A36" w:rsidRDefault="00397ACB" w:rsidP="00CC0D7A">
            <w:pPr>
              <w:pStyle w:val="TableBullet"/>
            </w:pPr>
            <w:r w:rsidRPr="003C7A36">
              <w:t>Adjust performance development processes to meet the diverse abilities and needs of individuals and teams</w:t>
            </w:r>
          </w:p>
          <w:p w14:paraId="2F25BC75" w14:textId="77777777" w:rsidR="00397ACB" w:rsidRPr="003C7A36" w:rsidRDefault="00397ACB" w:rsidP="00CC0D7A">
            <w:pPr>
              <w:pStyle w:val="TableBullet"/>
            </w:pPr>
            <w:r w:rsidRPr="003C7A36">
              <w:t>Develop work plans that consider capability, strengths and opportunities for development</w:t>
            </w:r>
          </w:p>
          <w:p w14:paraId="55BBB409" w14:textId="77777777" w:rsidR="00397ACB" w:rsidRPr="003C7A36" w:rsidRDefault="00397ACB" w:rsidP="00CC0D7A">
            <w:pPr>
              <w:pStyle w:val="TableBullet"/>
            </w:pPr>
            <w:r w:rsidRPr="003C7A36">
              <w:t>Be aware of the influences of bias when managing team members</w:t>
            </w:r>
          </w:p>
          <w:p w14:paraId="1CF6ADD0" w14:textId="77777777" w:rsidR="00397ACB" w:rsidRPr="003C7A36" w:rsidRDefault="00397ACB" w:rsidP="00CC0D7A">
            <w:pPr>
              <w:pStyle w:val="TableBullet"/>
            </w:pPr>
            <w:r w:rsidRPr="003C7A36">
              <w:t>Seek feedback on own management capabilities and develop strategies to address any gaps</w:t>
            </w:r>
          </w:p>
          <w:p w14:paraId="3E76D7A9" w14:textId="77777777" w:rsidR="00397ACB" w:rsidRPr="003C7A36" w:rsidRDefault="00397ACB" w:rsidP="00CC0D7A">
            <w:pPr>
              <w:pStyle w:val="TableBullet"/>
            </w:pPr>
            <w:r w:rsidRPr="003C7A36">
              <w:t>Address and resolve team and individual performance issues, including unsatisfactory performance, in a timely and effective way</w:t>
            </w:r>
          </w:p>
          <w:p w14:paraId="703C32BA" w14:textId="77777777" w:rsidR="00397ACB" w:rsidRPr="003C7A36" w:rsidRDefault="00397ACB" w:rsidP="00CC0D7A">
            <w:pPr>
              <w:pStyle w:val="TableBullet"/>
            </w:pPr>
            <w:r w:rsidRPr="003C7A36">
              <w:t>Monitor and report on team performance in line with established performance development frameworks</w:t>
            </w:r>
          </w:p>
        </w:tc>
        <w:tc>
          <w:tcPr>
            <w:tcW w:w="1668" w:type="dxa"/>
          </w:tcPr>
          <w:p w14:paraId="5072FC96" w14:textId="77777777" w:rsidR="00397ACB" w:rsidRPr="006F0836" w:rsidRDefault="00397ACB" w:rsidP="00CC0D7A">
            <w:pPr>
              <w:pStyle w:val="TableText"/>
            </w:pPr>
            <w:r w:rsidRPr="004C659E">
              <w:t>Adept</w:t>
            </w:r>
          </w:p>
        </w:tc>
      </w:tr>
    </w:tbl>
    <w:p w14:paraId="46B27A73" w14:textId="77777777" w:rsidR="00397ACB" w:rsidRDefault="00397ACB" w:rsidP="00397ACB"/>
    <w:p w14:paraId="481062AC" w14:textId="77777777" w:rsidR="00397ACB" w:rsidRPr="00397ACB" w:rsidRDefault="00397ACB" w:rsidP="00397ACB">
      <w:pPr>
        <w:pStyle w:val="Heading2"/>
        <w:rPr>
          <w:iCs w:val="0"/>
          <w:color w:val="auto"/>
          <w:kern w:val="32"/>
          <w:sz w:val="26"/>
          <w:szCs w:val="32"/>
        </w:rPr>
      </w:pPr>
      <w:r w:rsidRPr="00397ACB">
        <w:rPr>
          <w:iCs w:val="0"/>
          <w:color w:val="auto"/>
          <w:kern w:val="32"/>
          <w:sz w:val="26"/>
          <w:szCs w:val="32"/>
        </w:rPr>
        <w:t>Occupational Specific Focus Capabilities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OccupationalSpecificFocusCapabilitiesTable"/>
      </w:tblPr>
      <w:tblGrid>
        <w:gridCol w:w="1516"/>
        <w:gridCol w:w="2838"/>
        <w:gridCol w:w="5103"/>
        <w:gridCol w:w="1132"/>
      </w:tblGrid>
      <w:tr w:rsidR="00397ACB" w:rsidRPr="00372FE9" w14:paraId="01B06A33" w14:textId="77777777" w:rsidTr="00CC0D7A">
        <w:trPr>
          <w:cantSplit/>
        </w:trPr>
        <w:tc>
          <w:tcPr>
            <w:tcW w:w="1415" w:type="dxa"/>
            <w:shd w:val="clear" w:color="auto" w:fill="BFBFBF" w:themeFill="background1" w:themeFillShade="BF"/>
            <w:vAlign w:val="center"/>
          </w:tcPr>
          <w:p w14:paraId="37A6329B" w14:textId="77777777" w:rsidR="00397ACB" w:rsidRPr="003C7A36" w:rsidRDefault="00397ACB" w:rsidP="00CC0D7A">
            <w:pPr>
              <w:rPr>
                <w:sz w:val="20"/>
              </w:rPr>
            </w:pPr>
            <w:r w:rsidRPr="003C7A36">
              <w:rPr>
                <w:b/>
                <w:sz w:val="20"/>
              </w:rPr>
              <w:t>Capability group/sets</w:t>
            </w:r>
          </w:p>
        </w:tc>
        <w:tc>
          <w:tcPr>
            <w:tcW w:w="2838" w:type="dxa"/>
            <w:shd w:val="clear" w:color="auto" w:fill="BFBFBF" w:themeFill="background1" w:themeFillShade="BF"/>
          </w:tcPr>
          <w:p w14:paraId="7DF04124" w14:textId="77777777" w:rsidR="00397ACB" w:rsidRPr="003C7A36" w:rsidRDefault="00397ACB" w:rsidP="00CC0D7A">
            <w:pPr>
              <w:rPr>
                <w:sz w:val="20"/>
              </w:rPr>
            </w:pPr>
            <w:r w:rsidRPr="003C7A36">
              <w:rPr>
                <w:b/>
                <w:sz w:val="20"/>
              </w:rPr>
              <w:t>Capability name</w:t>
            </w:r>
          </w:p>
        </w:tc>
        <w:tc>
          <w:tcPr>
            <w:tcW w:w="5103" w:type="dxa"/>
            <w:shd w:val="clear" w:color="auto" w:fill="BFBFBF" w:themeFill="background1" w:themeFillShade="BF"/>
          </w:tcPr>
          <w:p w14:paraId="0500044F" w14:textId="77777777" w:rsidR="00397ACB" w:rsidRPr="003C7A36" w:rsidRDefault="00397ACB" w:rsidP="00CC0D7A">
            <w:pPr>
              <w:rPr>
                <w:sz w:val="20"/>
              </w:rPr>
            </w:pPr>
            <w:proofErr w:type="spellStart"/>
            <w:r w:rsidRPr="003C7A36">
              <w:rPr>
                <w:b/>
                <w:sz w:val="20"/>
              </w:rPr>
              <w:t>Behavioural</w:t>
            </w:r>
            <w:proofErr w:type="spellEnd"/>
            <w:r w:rsidRPr="003C7A36">
              <w:rPr>
                <w:b/>
                <w:sz w:val="20"/>
              </w:rPr>
              <w:t xml:space="preserve"> indicators</w:t>
            </w:r>
          </w:p>
        </w:tc>
        <w:tc>
          <w:tcPr>
            <w:tcW w:w="1132" w:type="dxa"/>
            <w:shd w:val="clear" w:color="auto" w:fill="BFBFBF" w:themeFill="background1" w:themeFillShade="BF"/>
          </w:tcPr>
          <w:p w14:paraId="6CB1F27C" w14:textId="77777777" w:rsidR="00397ACB" w:rsidRPr="00372FE9" w:rsidRDefault="00397ACB" w:rsidP="00CC0D7A">
            <w:pPr>
              <w:rPr>
                <w:b/>
                <w:bCs/>
                <w:sz w:val="20"/>
              </w:rPr>
            </w:pPr>
            <w:r w:rsidRPr="00372FE9">
              <w:rPr>
                <w:b/>
                <w:bCs/>
                <w:sz w:val="20"/>
              </w:rPr>
              <w:t>Level</w:t>
            </w:r>
          </w:p>
        </w:tc>
      </w:tr>
      <w:tr w:rsidR="00397ACB" w:rsidRPr="003C7A36" w14:paraId="6094BB64" w14:textId="77777777" w:rsidTr="00CC0D7A">
        <w:trPr>
          <w:cantSplit/>
        </w:trPr>
        <w:tc>
          <w:tcPr>
            <w:tcW w:w="1415" w:type="dxa"/>
          </w:tcPr>
          <w:p w14:paraId="67E6D069" w14:textId="77777777" w:rsidR="00397ACB" w:rsidRPr="00372FE9" w:rsidRDefault="00397ACB" w:rsidP="00CC0D7A">
            <w:pPr>
              <w:rPr>
                <w:sz w:val="20"/>
              </w:rPr>
            </w:pPr>
            <w:r w:rsidRPr="00372FE9">
              <w:rPr>
                <w:noProof/>
                <w:sz w:val="20"/>
                <w:lang w:eastAsia="en-AU"/>
              </w:rPr>
              <w:drawing>
                <wp:inline distT="0" distB="0" distL="0" distR="0" wp14:anchorId="79AB4102" wp14:editId="39E9D566">
                  <wp:extent cx="825500" cy="825500"/>
                  <wp:effectExtent l="0" t="0" r="0" b="0"/>
                  <wp:docPr id="1313" name="finance-professionals-capability-set.jpg" descr="human-resources-professionals-capability-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4035" cy="834035"/>
                          </a:xfrm>
                          <a:prstGeom prst="rect">
                            <a:avLst/>
                          </a:prstGeom>
                          <a:noFill/>
                          <a:ln>
                            <a:noFill/>
                          </a:ln>
                        </pic:spPr>
                      </pic:pic>
                    </a:graphicData>
                  </a:graphic>
                </wp:inline>
              </w:drawing>
            </w:r>
          </w:p>
        </w:tc>
        <w:tc>
          <w:tcPr>
            <w:tcW w:w="2838" w:type="dxa"/>
          </w:tcPr>
          <w:p w14:paraId="1CD63A98" w14:textId="77777777" w:rsidR="00397ACB" w:rsidRDefault="00397ACB" w:rsidP="00CC0D7A">
            <w:pPr>
              <w:rPr>
                <w:rFonts w:cs="Arial"/>
                <w:b/>
                <w:bCs/>
                <w:color w:val="000000"/>
                <w:sz w:val="20"/>
              </w:rPr>
            </w:pPr>
            <w:r w:rsidRPr="00372FE9">
              <w:rPr>
                <w:rFonts w:cs="Arial"/>
                <w:b/>
                <w:bCs/>
                <w:color w:val="000000"/>
                <w:sz w:val="20"/>
              </w:rPr>
              <w:t>Workforce strategy</w:t>
            </w:r>
          </w:p>
          <w:p w14:paraId="619299A8" w14:textId="77777777" w:rsidR="00397ACB" w:rsidRPr="00667FCB" w:rsidRDefault="00397ACB" w:rsidP="00CC0D7A">
            <w:pPr>
              <w:rPr>
                <w:rFonts w:cs="Arial"/>
                <w:b/>
                <w:bCs/>
                <w:color w:val="000000"/>
                <w:sz w:val="20"/>
              </w:rPr>
            </w:pPr>
            <w:r w:rsidRPr="00372FE9">
              <w:rPr>
                <w:rFonts w:cs="Arial"/>
                <w:color w:val="000000"/>
                <w:sz w:val="20"/>
              </w:rPr>
              <w:t xml:space="preserve">Contribute to defining business objectives, create </w:t>
            </w:r>
            <w:proofErr w:type="gramStart"/>
            <w:r w:rsidRPr="00372FE9">
              <w:rPr>
                <w:rFonts w:cs="Arial"/>
                <w:color w:val="000000"/>
                <w:sz w:val="20"/>
              </w:rPr>
              <w:t>evidence based</w:t>
            </w:r>
            <w:proofErr w:type="gramEnd"/>
            <w:r w:rsidRPr="00372FE9">
              <w:rPr>
                <w:rFonts w:cs="Arial"/>
                <w:color w:val="000000"/>
                <w:sz w:val="20"/>
              </w:rPr>
              <w:t xml:space="preserve"> workforce strategies to achieve outcomes and guide the </w:t>
            </w:r>
            <w:proofErr w:type="spellStart"/>
            <w:r w:rsidRPr="00372FE9">
              <w:rPr>
                <w:rFonts w:cs="Arial"/>
                <w:color w:val="000000"/>
                <w:sz w:val="20"/>
              </w:rPr>
              <w:t>organisation</w:t>
            </w:r>
            <w:proofErr w:type="spellEnd"/>
            <w:r w:rsidRPr="00372FE9">
              <w:rPr>
                <w:rFonts w:cs="Arial"/>
                <w:color w:val="000000"/>
                <w:sz w:val="20"/>
              </w:rPr>
              <w:t xml:space="preserve"> through the required change</w:t>
            </w:r>
          </w:p>
        </w:tc>
        <w:tc>
          <w:tcPr>
            <w:tcW w:w="5103" w:type="dxa"/>
          </w:tcPr>
          <w:p w14:paraId="501DA3F6" w14:textId="77777777" w:rsidR="00397ACB" w:rsidRPr="00A00465" w:rsidRDefault="00397ACB" w:rsidP="00CC0D7A">
            <w:pPr>
              <w:pStyle w:val="TableBullet"/>
              <w:rPr>
                <w:lang w:val="en-US"/>
              </w:rPr>
            </w:pPr>
            <w:r w:rsidRPr="00372FE9">
              <w:rPr>
                <w:rFonts w:cs="Arial"/>
                <w:color w:val="000000"/>
              </w:rPr>
              <w:t>Develop and maintain an understanding of business goals and context through ongoing liaison with employees and managers, ensuring all advice given takes account of that context.</w:t>
            </w:r>
            <w:r w:rsidRPr="00A00465">
              <w:rPr>
                <w:rFonts w:cs="Arial"/>
                <w:color w:val="000000"/>
              </w:rPr>
              <w:t xml:space="preserve"> </w:t>
            </w:r>
          </w:p>
          <w:p w14:paraId="1C27FDB8" w14:textId="77777777" w:rsidR="00397ACB" w:rsidRPr="00A00465" w:rsidRDefault="00397ACB" w:rsidP="00CC0D7A">
            <w:pPr>
              <w:pStyle w:val="TableBullet"/>
              <w:rPr>
                <w:lang w:val="en-US"/>
              </w:rPr>
            </w:pPr>
            <w:r w:rsidRPr="00372FE9">
              <w:rPr>
                <w:rFonts w:cs="Arial"/>
                <w:color w:val="000000"/>
              </w:rPr>
              <w:t>Support managers to define business goals and identify best fit workforce strategies to enable their delivery.</w:t>
            </w:r>
            <w:r w:rsidRPr="00A00465">
              <w:rPr>
                <w:rFonts w:cs="Arial"/>
                <w:color w:val="000000"/>
              </w:rPr>
              <w:t xml:space="preserve"> </w:t>
            </w:r>
          </w:p>
          <w:p w14:paraId="453D3E28" w14:textId="77777777" w:rsidR="00397ACB" w:rsidRPr="00A00465" w:rsidRDefault="00397ACB" w:rsidP="00CC0D7A">
            <w:pPr>
              <w:pStyle w:val="TableBullet"/>
              <w:rPr>
                <w:lang w:val="en-US"/>
              </w:rPr>
            </w:pPr>
            <w:r w:rsidRPr="00372FE9">
              <w:rPr>
                <w:rFonts w:cs="Arial"/>
                <w:color w:val="000000"/>
              </w:rPr>
              <w:t>Support managers to identify capabilities required in the short and long term to deliver business outcomes, informed by analysis of the growing diversity of customer and stakeholder needs.</w:t>
            </w:r>
            <w:r w:rsidRPr="00A00465">
              <w:rPr>
                <w:rFonts w:cs="Arial"/>
                <w:color w:val="000000"/>
              </w:rPr>
              <w:t xml:space="preserve"> </w:t>
            </w:r>
          </w:p>
          <w:p w14:paraId="598654DA" w14:textId="77777777" w:rsidR="00397ACB" w:rsidRPr="00A00465" w:rsidRDefault="00397ACB" w:rsidP="00CC0D7A">
            <w:pPr>
              <w:pStyle w:val="TableBullet"/>
              <w:rPr>
                <w:lang w:val="en-US"/>
              </w:rPr>
            </w:pPr>
            <w:r w:rsidRPr="00372FE9">
              <w:rPr>
                <w:rFonts w:cs="Arial"/>
                <w:color w:val="000000"/>
              </w:rPr>
              <w:t xml:space="preserve">Support communications to explain how capability-based workforce strategies can be used as a major input to </w:t>
            </w:r>
            <w:proofErr w:type="gramStart"/>
            <w:r w:rsidRPr="00372FE9">
              <w:rPr>
                <w:rFonts w:cs="Arial"/>
                <w:color w:val="000000"/>
              </w:rPr>
              <w:t>achieving</w:t>
            </w:r>
            <w:proofErr w:type="gramEnd"/>
            <w:r w:rsidRPr="00372FE9">
              <w:rPr>
                <w:rFonts w:cs="Arial"/>
                <w:color w:val="000000"/>
              </w:rPr>
              <w:t xml:space="preserve"> business goals and outcomes while also supporting rewarding careers for employees.</w:t>
            </w:r>
            <w:r w:rsidRPr="00A00465">
              <w:rPr>
                <w:rFonts w:cs="Arial"/>
                <w:color w:val="000000"/>
              </w:rPr>
              <w:t xml:space="preserve"> </w:t>
            </w:r>
          </w:p>
          <w:p w14:paraId="1172249C" w14:textId="77777777" w:rsidR="00397ACB" w:rsidRPr="00A00465" w:rsidRDefault="00397ACB" w:rsidP="00CC0D7A">
            <w:pPr>
              <w:pStyle w:val="TableBullet"/>
              <w:rPr>
                <w:lang w:val="en-US"/>
              </w:rPr>
            </w:pPr>
            <w:r w:rsidRPr="00372FE9">
              <w:rPr>
                <w:rFonts w:cs="Arial"/>
                <w:color w:val="000000"/>
              </w:rPr>
              <w:t>Develop managers and employees in understanding changes in business strategies and translating these to their day-to-day responsibilities and roles in the context of the organisation.</w:t>
            </w:r>
            <w:r w:rsidRPr="00A00465">
              <w:rPr>
                <w:rFonts w:cs="Arial"/>
                <w:color w:val="000000"/>
              </w:rPr>
              <w:t xml:space="preserve"> </w:t>
            </w:r>
          </w:p>
          <w:p w14:paraId="62F34059" w14:textId="77777777" w:rsidR="00397ACB" w:rsidRPr="00A00465" w:rsidRDefault="00397ACB" w:rsidP="00CC0D7A">
            <w:pPr>
              <w:pStyle w:val="TableBullet"/>
              <w:rPr>
                <w:lang w:val="en-US"/>
              </w:rPr>
            </w:pPr>
            <w:r w:rsidRPr="00372FE9">
              <w:rPr>
                <w:rFonts w:cs="Arial"/>
                <w:color w:val="000000"/>
              </w:rPr>
              <w:t xml:space="preserve">Develop managers in identifying the impact of change on key stakeholders </w:t>
            </w:r>
            <w:proofErr w:type="gramStart"/>
            <w:r w:rsidRPr="00372FE9">
              <w:rPr>
                <w:rFonts w:cs="Arial"/>
                <w:color w:val="000000"/>
              </w:rPr>
              <w:t>in order to</w:t>
            </w:r>
            <w:proofErr w:type="gramEnd"/>
            <w:r w:rsidRPr="00372FE9">
              <w:rPr>
                <w:rFonts w:cs="Arial"/>
                <w:color w:val="000000"/>
              </w:rPr>
              <w:t xml:space="preserve"> fully realise the benefits of change decisions.</w:t>
            </w:r>
            <w:r w:rsidRPr="00A00465">
              <w:rPr>
                <w:rFonts w:cs="Arial"/>
                <w:color w:val="000000"/>
              </w:rPr>
              <w:t xml:space="preserve"> </w:t>
            </w:r>
          </w:p>
        </w:tc>
        <w:tc>
          <w:tcPr>
            <w:tcW w:w="1132" w:type="dxa"/>
          </w:tcPr>
          <w:p w14:paraId="28F881B5" w14:textId="77777777" w:rsidR="00397ACB" w:rsidRPr="00372FE9" w:rsidRDefault="00397ACB" w:rsidP="00CC0D7A">
            <w:pPr>
              <w:pStyle w:val="TableText"/>
            </w:pPr>
            <w:r w:rsidRPr="00372FE9">
              <w:t>Level 2</w:t>
            </w:r>
          </w:p>
        </w:tc>
      </w:tr>
      <w:tr w:rsidR="00397ACB" w:rsidRPr="003C7A36" w14:paraId="29EF9808" w14:textId="77777777" w:rsidTr="00CC0D7A">
        <w:trPr>
          <w:cantSplit/>
        </w:trPr>
        <w:tc>
          <w:tcPr>
            <w:tcW w:w="1415" w:type="dxa"/>
          </w:tcPr>
          <w:p w14:paraId="44E5E5D6" w14:textId="77777777" w:rsidR="00397ACB" w:rsidRPr="00372FE9" w:rsidRDefault="00397ACB" w:rsidP="00CC0D7A">
            <w:pPr>
              <w:rPr>
                <w:sz w:val="20"/>
              </w:rPr>
            </w:pPr>
            <w:r w:rsidRPr="00372FE9">
              <w:rPr>
                <w:noProof/>
                <w:sz w:val="20"/>
                <w:lang w:eastAsia="en-AU"/>
              </w:rPr>
              <w:lastRenderedPageBreak/>
              <w:drawing>
                <wp:inline distT="0" distB="0" distL="0" distR="0" wp14:anchorId="5AAC84A4" wp14:editId="27697892">
                  <wp:extent cx="825500" cy="825500"/>
                  <wp:effectExtent l="0" t="0" r="0" b="0"/>
                  <wp:docPr id="4898" name="finance-professionals-capability-set.jpg" descr="human-resources-professionals-capability-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34035" cy="834035"/>
                          </a:xfrm>
                          <a:prstGeom prst="rect">
                            <a:avLst/>
                          </a:prstGeom>
                          <a:noFill/>
                          <a:ln>
                            <a:noFill/>
                          </a:ln>
                        </pic:spPr>
                      </pic:pic>
                    </a:graphicData>
                  </a:graphic>
                </wp:inline>
              </w:drawing>
            </w:r>
          </w:p>
        </w:tc>
        <w:tc>
          <w:tcPr>
            <w:tcW w:w="2838" w:type="dxa"/>
          </w:tcPr>
          <w:p w14:paraId="42AF1BE8" w14:textId="77777777" w:rsidR="00397ACB" w:rsidRDefault="00397ACB" w:rsidP="00CC0D7A">
            <w:pPr>
              <w:rPr>
                <w:rFonts w:cs="Arial"/>
                <w:b/>
                <w:bCs/>
                <w:color w:val="000000"/>
                <w:sz w:val="20"/>
              </w:rPr>
            </w:pPr>
            <w:proofErr w:type="spellStart"/>
            <w:r w:rsidRPr="00372FE9">
              <w:rPr>
                <w:rFonts w:cs="Arial"/>
                <w:b/>
                <w:bCs/>
                <w:color w:val="000000"/>
                <w:sz w:val="20"/>
              </w:rPr>
              <w:t>Organisational</w:t>
            </w:r>
            <w:proofErr w:type="spellEnd"/>
            <w:r w:rsidRPr="00372FE9">
              <w:rPr>
                <w:rFonts w:cs="Arial"/>
                <w:b/>
                <w:bCs/>
                <w:color w:val="000000"/>
                <w:sz w:val="20"/>
              </w:rPr>
              <w:t xml:space="preserve"> culture</w:t>
            </w:r>
          </w:p>
          <w:p w14:paraId="52CE72F7" w14:textId="77777777" w:rsidR="00397ACB" w:rsidRPr="00667FCB" w:rsidRDefault="00397ACB" w:rsidP="00CC0D7A">
            <w:pPr>
              <w:rPr>
                <w:rFonts w:cs="Arial"/>
                <w:b/>
                <w:bCs/>
                <w:color w:val="000000"/>
                <w:sz w:val="20"/>
              </w:rPr>
            </w:pPr>
            <w:r w:rsidRPr="00372FE9">
              <w:rPr>
                <w:rFonts w:cs="Arial"/>
                <w:color w:val="000000"/>
                <w:sz w:val="20"/>
              </w:rPr>
              <w:t xml:space="preserve">Identify, assess and encourage workplace values and </w:t>
            </w:r>
            <w:proofErr w:type="spellStart"/>
            <w:r w:rsidRPr="00372FE9">
              <w:rPr>
                <w:rFonts w:cs="Arial"/>
                <w:color w:val="000000"/>
                <w:sz w:val="20"/>
              </w:rPr>
              <w:t>behaviours</w:t>
            </w:r>
            <w:proofErr w:type="spellEnd"/>
            <w:r w:rsidRPr="00372FE9">
              <w:rPr>
                <w:rFonts w:cs="Arial"/>
                <w:color w:val="000000"/>
                <w:sz w:val="20"/>
              </w:rPr>
              <w:t xml:space="preserve"> to foster an engaged, inclusive and high performing workforce</w:t>
            </w:r>
          </w:p>
        </w:tc>
        <w:tc>
          <w:tcPr>
            <w:tcW w:w="5103" w:type="dxa"/>
          </w:tcPr>
          <w:p w14:paraId="551D45D8" w14:textId="77777777" w:rsidR="00397ACB" w:rsidRPr="00A00465" w:rsidRDefault="00397ACB" w:rsidP="00CC0D7A">
            <w:pPr>
              <w:pStyle w:val="TableBullet"/>
              <w:rPr>
                <w:lang w:val="en-US"/>
              </w:rPr>
            </w:pPr>
            <w:r w:rsidRPr="00372FE9">
              <w:rPr>
                <w:rFonts w:cs="Arial"/>
                <w:color w:val="000000"/>
              </w:rPr>
              <w:t>Support managers to foster understanding of the relationships between the Employee Value Proposition, organisational culture, employee engagement, and achieving business outcomes.</w:t>
            </w:r>
            <w:r w:rsidRPr="00A00465">
              <w:rPr>
                <w:rFonts w:cs="Arial"/>
                <w:color w:val="000000"/>
              </w:rPr>
              <w:t xml:space="preserve"> </w:t>
            </w:r>
          </w:p>
          <w:p w14:paraId="5F0D60AF" w14:textId="77777777" w:rsidR="00397ACB" w:rsidRPr="00A00465" w:rsidRDefault="00397ACB" w:rsidP="00CC0D7A">
            <w:pPr>
              <w:pStyle w:val="TableBullet"/>
              <w:rPr>
                <w:lang w:val="en-US"/>
              </w:rPr>
            </w:pPr>
            <w:r w:rsidRPr="00372FE9">
              <w:rPr>
                <w:rFonts w:cs="Arial"/>
                <w:color w:val="000000"/>
              </w:rPr>
              <w:t>Advise managers on how to assess their workforce management practices and their team's culture and level of engagement against desired values, ethics and expected behaviours, to establish the basis for future action.</w:t>
            </w:r>
            <w:r w:rsidRPr="00A00465">
              <w:rPr>
                <w:rFonts w:cs="Arial"/>
                <w:color w:val="000000"/>
              </w:rPr>
              <w:t xml:space="preserve"> </w:t>
            </w:r>
          </w:p>
          <w:p w14:paraId="1F430506" w14:textId="77777777" w:rsidR="00397ACB" w:rsidRPr="00A00465" w:rsidRDefault="00397ACB" w:rsidP="00CC0D7A">
            <w:pPr>
              <w:pStyle w:val="TableBullet"/>
              <w:rPr>
                <w:lang w:val="en-US"/>
              </w:rPr>
            </w:pPr>
            <w:r w:rsidRPr="00372FE9">
              <w:rPr>
                <w:rFonts w:cs="Arial"/>
                <w:color w:val="000000"/>
              </w:rPr>
              <w:t>Support managers to create and drive employee engagement initiatives, tailored to their employees' unique needs and motivations.</w:t>
            </w:r>
            <w:r w:rsidRPr="00A00465">
              <w:rPr>
                <w:rFonts w:cs="Arial"/>
                <w:color w:val="000000"/>
              </w:rPr>
              <w:t xml:space="preserve"> </w:t>
            </w:r>
          </w:p>
          <w:p w14:paraId="69247CC9" w14:textId="77777777" w:rsidR="00397ACB" w:rsidRPr="00A00465" w:rsidRDefault="00397ACB" w:rsidP="00CC0D7A">
            <w:pPr>
              <w:pStyle w:val="TableBullet"/>
              <w:rPr>
                <w:lang w:val="en-US"/>
              </w:rPr>
            </w:pPr>
            <w:r w:rsidRPr="00372FE9">
              <w:rPr>
                <w:rFonts w:cs="Arial"/>
                <w:color w:val="000000"/>
              </w:rPr>
              <w:t>Facilitate the conditions for employees to do good, innovative work by coaching managers to role model and shape a diverse, inclusive, flexible and collaborative team culture.</w:t>
            </w:r>
            <w:r w:rsidRPr="00A00465">
              <w:rPr>
                <w:rFonts w:cs="Arial"/>
                <w:color w:val="000000"/>
              </w:rPr>
              <w:t xml:space="preserve"> </w:t>
            </w:r>
          </w:p>
          <w:p w14:paraId="37D42168" w14:textId="77777777" w:rsidR="00397ACB" w:rsidRPr="00A00465" w:rsidRDefault="00397ACB" w:rsidP="00CC0D7A">
            <w:pPr>
              <w:pStyle w:val="TableBullet"/>
              <w:rPr>
                <w:lang w:val="en-US"/>
              </w:rPr>
            </w:pPr>
            <w:r w:rsidRPr="00372FE9">
              <w:rPr>
                <w:rFonts w:cs="Arial"/>
                <w:color w:val="000000"/>
              </w:rPr>
              <w:t xml:space="preserve">Support employees and managers to understand and use proactive, confidential and supportive short-term, </w:t>
            </w:r>
            <w:proofErr w:type="gramStart"/>
            <w:r w:rsidRPr="00372FE9">
              <w:rPr>
                <w:rFonts w:cs="Arial"/>
                <w:color w:val="000000"/>
              </w:rPr>
              <w:t>solution oriented</w:t>
            </w:r>
            <w:proofErr w:type="gramEnd"/>
            <w:r w:rsidRPr="00372FE9">
              <w:rPr>
                <w:rFonts w:cs="Arial"/>
                <w:color w:val="000000"/>
              </w:rPr>
              <w:t xml:space="preserve"> coaching and advisory services on a wide range of personal and work-related issues.</w:t>
            </w:r>
            <w:r w:rsidRPr="00A00465">
              <w:rPr>
                <w:rFonts w:cs="Arial"/>
                <w:color w:val="000000"/>
              </w:rPr>
              <w:t xml:space="preserve"> </w:t>
            </w:r>
          </w:p>
          <w:p w14:paraId="60126C52" w14:textId="77777777" w:rsidR="00397ACB" w:rsidRPr="00A00465" w:rsidRDefault="00397ACB" w:rsidP="00CC0D7A">
            <w:pPr>
              <w:pStyle w:val="TableBullet"/>
              <w:rPr>
                <w:lang w:val="en-US"/>
              </w:rPr>
            </w:pPr>
            <w:r w:rsidRPr="00372FE9">
              <w:rPr>
                <w:rFonts w:cs="Arial"/>
                <w:color w:val="000000"/>
              </w:rPr>
              <w:t>Develop managers and employees in taking early steps to address and/or report instances of behaviour contrary to organisational values and expectations.</w:t>
            </w:r>
            <w:r w:rsidRPr="00A00465">
              <w:rPr>
                <w:rFonts w:cs="Arial"/>
                <w:color w:val="000000"/>
              </w:rPr>
              <w:t xml:space="preserve"> </w:t>
            </w:r>
          </w:p>
          <w:p w14:paraId="3DD261F4" w14:textId="77777777" w:rsidR="00397ACB" w:rsidRPr="00A00465" w:rsidRDefault="00397ACB" w:rsidP="00CC0D7A">
            <w:pPr>
              <w:pStyle w:val="TableBullet"/>
              <w:rPr>
                <w:lang w:val="en-US"/>
              </w:rPr>
            </w:pPr>
            <w:r w:rsidRPr="00372FE9">
              <w:rPr>
                <w:rFonts w:cs="Arial"/>
                <w:color w:val="000000"/>
              </w:rPr>
              <w:t>Support managers in identifying potential systemic issues affecting the workplace environment and employee wellbeing and developing and implementing solutions for these issues.</w:t>
            </w:r>
            <w:r w:rsidRPr="00A00465">
              <w:rPr>
                <w:rFonts w:cs="Arial"/>
                <w:color w:val="000000"/>
              </w:rPr>
              <w:t xml:space="preserve"> </w:t>
            </w:r>
          </w:p>
          <w:p w14:paraId="4B049127" w14:textId="77777777" w:rsidR="00397ACB" w:rsidRPr="00A00465" w:rsidRDefault="00397ACB" w:rsidP="00CC0D7A">
            <w:pPr>
              <w:pStyle w:val="TableBullet"/>
              <w:rPr>
                <w:lang w:val="en-US"/>
              </w:rPr>
            </w:pPr>
            <w:r w:rsidRPr="00372FE9">
              <w:rPr>
                <w:rFonts w:cs="Arial"/>
                <w:color w:val="000000"/>
              </w:rPr>
              <w:t>Support managers in taking early steps to address issues that put positive workplace culture at risk.</w:t>
            </w:r>
            <w:r w:rsidRPr="00A00465">
              <w:rPr>
                <w:rFonts w:cs="Arial"/>
                <w:color w:val="000000"/>
              </w:rPr>
              <w:t xml:space="preserve"> </w:t>
            </w:r>
          </w:p>
        </w:tc>
        <w:tc>
          <w:tcPr>
            <w:tcW w:w="1132" w:type="dxa"/>
          </w:tcPr>
          <w:p w14:paraId="094151E6" w14:textId="77777777" w:rsidR="00397ACB" w:rsidRPr="00372FE9" w:rsidRDefault="00397ACB" w:rsidP="00CC0D7A">
            <w:pPr>
              <w:pStyle w:val="TableText"/>
            </w:pPr>
            <w:r w:rsidRPr="00372FE9">
              <w:t>Level 2</w:t>
            </w:r>
          </w:p>
        </w:tc>
      </w:tr>
    </w:tbl>
    <w:p w14:paraId="67A83C93" w14:textId="77777777" w:rsidR="00397ACB" w:rsidRDefault="00397ACB" w:rsidP="00397ACB"/>
    <w:p w14:paraId="2875403B" w14:textId="77777777" w:rsidR="00397ACB" w:rsidRDefault="00397ACB" w:rsidP="00397ACB"/>
    <w:p w14:paraId="3C0CD8F1" w14:textId="77777777" w:rsidR="00397ACB" w:rsidRDefault="00397ACB" w:rsidP="00397ACB"/>
    <w:p w14:paraId="09C9C4C1" w14:textId="77777777" w:rsidR="00397ACB" w:rsidRDefault="00397ACB" w:rsidP="00397ACB"/>
    <w:p w14:paraId="089372AD" w14:textId="77777777" w:rsidR="00397ACB" w:rsidRDefault="00397ACB" w:rsidP="00397ACB"/>
    <w:p w14:paraId="5A81F04B" w14:textId="77777777" w:rsidR="00397ACB" w:rsidRDefault="00397ACB" w:rsidP="00397ACB"/>
    <w:p w14:paraId="18D995D7" w14:textId="77777777" w:rsidR="00397ACB" w:rsidRDefault="00397ACB" w:rsidP="00397ACB"/>
    <w:p w14:paraId="7A9CEEB7" w14:textId="77777777" w:rsidR="00397ACB" w:rsidRDefault="00397ACB" w:rsidP="00397ACB"/>
    <w:p w14:paraId="2941828D" w14:textId="77777777" w:rsidR="00397ACB" w:rsidRDefault="00397ACB" w:rsidP="00397ACB"/>
    <w:p w14:paraId="3DE7DCF4" w14:textId="77777777" w:rsidR="00397ACB" w:rsidRDefault="00397ACB" w:rsidP="00397ACB"/>
    <w:p w14:paraId="3C28D328" w14:textId="77777777" w:rsidR="00397ACB" w:rsidRPr="00397ACB" w:rsidRDefault="00397ACB" w:rsidP="00397ACB">
      <w:pPr>
        <w:pStyle w:val="Heading2"/>
        <w:rPr>
          <w:iCs w:val="0"/>
          <w:color w:val="auto"/>
          <w:kern w:val="32"/>
          <w:sz w:val="26"/>
          <w:szCs w:val="32"/>
        </w:rPr>
      </w:pPr>
      <w:r w:rsidRPr="00397ACB">
        <w:rPr>
          <w:iCs w:val="0"/>
          <w:color w:val="auto"/>
          <w:kern w:val="32"/>
          <w:sz w:val="26"/>
          <w:szCs w:val="32"/>
        </w:rPr>
        <w:lastRenderedPageBreak/>
        <w:t>Complementary capabilities</w:t>
      </w:r>
    </w:p>
    <w:p w14:paraId="053973C3" w14:textId="77777777" w:rsidR="00397ACB" w:rsidRPr="003927AE" w:rsidRDefault="00397ACB" w:rsidP="00397ACB">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081AA53C" w14:textId="77777777" w:rsidR="00397ACB" w:rsidRDefault="00397ACB" w:rsidP="00397ACB">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141946A" w14:textId="77777777" w:rsidR="00397ACB" w:rsidRDefault="00397ACB" w:rsidP="00397ACB">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97ACB" w:rsidRPr="00372FE9" w14:paraId="620D8763" w14:textId="77777777" w:rsidTr="00CC0D7A">
        <w:trPr>
          <w:cantSplit/>
        </w:trPr>
        <w:tc>
          <w:tcPr>
            <w:tcW w:w="1276" w:type="dxa"/>
            <w:shd w:val="clear" w:color="auto" w:fill="BFBFBF" w:themeFill="background1" w:themeFillShade="BF"/>
            <w:vAlign w:val="center"/>
          </w:tcPr>
          <w:p w14:paraId="4BE76107" w14:textId="77777777" w:rsidR="00397ACB" w:rsidRPr="00372FE9" w:rsidRDefault="00397ACB" w:rsidP="00CC0D7A">
            <w:pPr>
              <w:rPr>
                <w:sz w:val="20"/>
              </w:rPr>
            </w:pPr>
            <w:r w:rsidRPr="00372FE9">
              <w:rPr>
                <w:b/>
                <w:sz w:val="20"/>
              </w:rPr>
              <w:t>Capability group/sets</w:t>
            </w:r>
          </w:p>
        </w:tc>
        <w:tc>
          <w:tcPr>
            <w:tcW w:w="2693" w:type="dxa"/>
            <w:shd w:val="clear" w:color="auto" w:fill="BFBFBF" w:themeFill="background1" w:themeFillShade="BF"/>
          </w:tcPr>
          <w:p w14:paraId="06821E11" w14:textId="77777777" w:rsidR="00397ACB" w:rsidRPr="00372FE9" w:rsidRDefault="00397ACB" w:rsidP="00CC0D7A">
            <w:pPr>
              <w:rPr>
                <w:sz w:val="20"/>
              </w:rPr>
            </w:pPr>
            <w:r w:rsidRPr="00372FE9">
              <w:rPr>
                <w:b/>
                <w:sz w:val="20"/>
              </w:rPr>
              <w:t>Capability name</w:t>
            </w:r>
          </w:p>
        </w:tc>
        <w:tc>
          <w:tcPr>
            <w:tcW w:w="4851" w:type="dxa"/>
            <w:shd w:val="clear" w:color="auto" w:fill="BFBFBF" w:themeFill="background1" w:themeFillShade="BF"/>
          </w:tcPr>
          <w:p w14:paraId="48C82CEB" w14:textId="77777777" w:rsidR="00397ACB" w:rsidRPr="00372FE9" w:rsidRDefault="00397ACB" w:rsidP="00CC0D7A">
            <w:pPr>
              <w:rPr>
                <w:sz w:val="20"/>
              </w:rPr>
            </w:pPr>
            <w:r w:rsidRPr="00372FE9">
              <w:rPr>
                <w:b/>
                <w:sz w:val="20"/>
              </w:rPr>
              <w:t>Description</w:t>
            </w:r>
          </w:p>
        </w:tc>
        <w:tc>
          <w:tcPr>
            <w:tcW w:w="1668" w:type="dxa"/>
            <w:shd w:val="clear" w:color="auto" w:fill="BFBFBF" w:themeFill="background1" w:themeFillShade="BF"/>
          </w:tcPr>
          <w:p w14:paraId="42701CCC" w14:textId="77777777" w:rsidR="00397ACB" w:rsidRPr="00372FE9" w:rsidRDefault="00397ACB" w:rsidP="00CC0D7A">
            <w:pPr>
              <w:rPr>
                <w:b/>
                <w:bCs/>
                <w:sz w:val="20"/>
              </w:rPr>
            </w:pPr>
            <w:r w:rsidRPr="00372FE9">
              <w:rPr>
                <w:b/>
                <w:bCs/>
                <w:sz w:val="20"/>
              </w:rPr>
              <w:t>Level</w:t>
            </w:r>
          </w:p>
        </w:tc>
      </w:tr>
      <w:tr w:rsidR="00397ACB" w:rsidRPr="00372FE9" w14:paraId="196A52A6" w14:textId="77777777" w:rsidTr="00CC0D7A">
        <w:trPr>
          <w:cantSplit/>
        </w:trPr>
        <w:tc>
          <w:tcPr>
            <w:tcW w:w="1276" w:type="dxa"/>
          </w:tcPr>
          <w:p w14:paraId="3C0FD388" w14:textId="77777777" w:rsidR="00397ACB" w:rsidRPr="00372FE9" w:rsidRDefault="00397ACB" w:rsidP="00CC0D7A">
            <w:pPr>
              <w:rPr>
                <w:sz w:val="20"/>
              </w:rPr>
            </w:pPr>
            <w:r w:rsidRPr="00372FE9">
              <w:rPr>
                <w:noProof/>
                <w:sz w:val="20"/>
                <w:lang w:eastAsia="en-AU"/>
              </w:rPr>
              <w:drawing>
                <wp:inline distT="0" distB="0" distL="0" distR="0" wp14:anchorId="14434F96" wp14:editId="7550D919">
                  <wp:extent cx="416966" cy="416966"/>
                  <wp:effectExtent l="0" t="0" r="2540" b="2540"/>
                  <wp:docPr id="848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32D7D5" w14:textId="77777777" w:rsidR="00397ACB" w:rsidRPr="00372FE9" w:rsidRDefault="00397ACB" w:rsidP="00CC0D7A">
            <w:pPr>
              <w:pStyle w:val="TableText"/>
            </w:pPr>
            <w:r w:rsidRPr="00372FE9">
              <w:t>Display Resilience and Courage</w:t>
            </w:r>
          </w:p>
        </w:tc>
        <w:tc>
          <w:tcPr>
            <w:tcW w:w="4851" w:type="dxa"/>
          </w:tcPr>
          <w:p w14:paraId="278ECE89" w14:textId="77777777" w:rsidR="00397ACB" w:rsidRPr="00372FE9" w:rsidRDefault="00397ACB" w:rsidP="00CC0D7A">
            <w:pPr>
              <w:pStyle w:val="TableText"/>
            </w:pPr>
            <w:r w:rsidRPr="00372FE9">
              <w:t>Be open and honest, prepared to express your views, and willing to accept and commit to change</w:t>
            </w:r>
          </w:p>
        </w:tc>
        <w:tc>
          <w:tcPr>
            <w:tcW w:w="1668" w:type="dxa"/>
          </w:tcPr>
          <w:p w14:paraId="2C96348A" w14:textId="77777777" w:rsidR="00397ACB" w:rsidRPr="00372FE9" w:rsidRDefault="00397ACB" w:rsidP="00CC0D7A">
            <w:pPr>
              <w:pStyle w:val="TableText"/>
            </w:pPr>
            <w:r w:rsidRPr="004C659E">
              <w:t>Adept</w:t>
            </w:r>
          </w:p>
        </w:tc>
      </w:tr>
      <w:tr w:rsidR="00397ACB" w:rsidRPr="00372FE9" w14:paraId="11667026" w14:textId="77777777" w:rsidTr="00CC0D7A">
        <w:trPr>
          <w:cantSplit/>
        </w:trPr>
        <w:tc>
          <w:tcPr>
            <w:tcW w:w="1276" w:type="dxa"/>
          </w:tcPr>
          <w:p w14:paraId="1EF16CD8" w14:textId="77777777" w:rsidR="00397ACB" w:rsidRPr="00372FE9" w:rsidRDefault="00397ACB" w:rsidP="00CC0D7A">
            <w:pPr>
              <w:rPr>
                <w:sz w:val="20"/>
              </w:rPr>
            </w:pPr>
            <w:r w:rsidRPr="00372FE9">
              <w:rPr>
                <w:noProof/>
                <w:sz w:val="20"/>
                <w:lang w:eastAsia="en-AU"/>
              </w:rPr>
              <w:drawing>
                <wp:inline distT="0" distB="0" distL="0" distR="0" wp14:anchorId="39A58958" wp14:editId="1E92D926">
                  <wp:extent cx="416966" cy="416966"/>
                  <wp:effectExtent l="0" t="0" r="2540" b="2540"/>
                  <wp:docPr id="684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E95956" w14:textId="77777777" w:rsidR="00397ACB" w:rsidRPr="00372FE9" w:rsidRDefault="00397ACB" w:rsidP="00CC0D7A">
            <w:pPr>
              <w:pStyle w:val="TableText"/>
            </w:pPr>
            <w:r w:rsidRPr="00372FE9">
              <w:t>Manage Self</w:t>
            </w:r>
          </w:p>
        </w:tc>
        <w:tc>
          <w:tcPr>
            <w:tcW w:w="4851" w:type="dxa"/>
          </w:tcPr>
          <w:p w14:paraId="4914FAEE" w14:textId="77777777" w:rsidR="00397ACB" w:rsidRPr="00372FE9" w:rsidRDefault="00397ACB" w:rsidP="00CC0D7A">
            <w:pPr>
              <w:pStyle w:val="TableText"/>
            </w:pPr>
            <w:r w:rsidRPr="00372FE9">
              <w:t>Show drive and motivation, an ability to self-reflect and a commitment to learning</w:t>
            </w:r>
          </w:p>
        </w:tc>
        <w:tc>
          <w:tcPr>
            <w:tcW w:w="1668" w:type="dxa"/>
          </w:tcPr>
          <w:p w14:paraId="44EB4943" w14:textId="77777777" w:rsidR="00397ACB" w:rsidRPr="00372FE9" w:rsidRDefault="00397ACB" w:rsidP="00CC0D7A">
            <w:pPr>
              <w:pStyle w:val="TableText"/>
            </w:pPr>
            <w:r w:rsidRPr="004C659E">
              <w:t>Intermediate</w:t>
            </w:r>
          </w:p>
        </w:tc>
      </w:tr>
      <w:tr w:rsidR="00397ACB" w:rsidRPr="00372FE9" w14:paraId="26D36AE4" w14:textId="77777777" w:rsidTr="00CC0D7A">
        <w:trPr>
          <w:cantSplit/>
        </w:trPr>
        <w:tc>
          <w:tcPr>
            <w:tcW w:w="1276" w:type="dxa"/>
          </w:tcPr>
          <w:p w14:paraId="21E92F5C" w14:textId="77777777" w:rsidR="00397ACB" w:rsidRPr="00372FE9" w:rsidRDefault="00397ACB" w:rsidP="00CC0D7A">
            <w:pPr>
              <w:rPr>
                <w:sz w:val="20"/>
              </w:rPr>
            </w:pPr>
            <w:r w:rsidRPr="00372FE9">
              <w:rPr>
                <w:noProof/>
                <w:sz w:val="20"/>
                <w:lang w:eastAsia="en-AU"/>
              </w:rPr>
              <w:drawing>
                <wp:inline distT="0" distB="0" distL="0" distR="0" wp14:anchorId="02A15B07" wp14:editId="032DD551">
                  <wp:extent cx="416966" cy="416966"/>
                  <wp:effectExtent l="0" t="0" r="2540" b="2540"/>
                  <wp:docPr id="44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CA8FD4" w14:textId="77777777" w:rsidR="00397ACB" w:rsidRPr="00372FE9" w:rsidRDefault="00397ACB" w:rsidP="00CC0D7A">
            <w:pPr>
              <w:pStyle w:val="TableText"/>
            </w:pPr>
            <w:r w:rsidRPr="00372FE9">
              <w:t>Commit to Customer Service</w:t>
            </w:r>
          </w:p>
        </w:tc>
        <w:tc>
          <w:tcPr>
            <w:tcW w:w="4851" w:type="dxa"/>
          </w:tcPr>
          <w:p w14:paraId="3AFC5C5B" w14:textId="77777777" w:rsidR="00397ACB" w:rsidRPr="00372FE9" w:rsidRDefault="00397ACB" w:rsidP="00CC0D7A">
            <w:pPr>
              <w:pStyle w:val="TableText"/>
            </w:pPr>
            <w:r w:rsidRPr="00372FE9">
              <w:t>Provide customer-focused services in line with public sector and organisational objectives</w:t>
            </w:r>
          </w:p>
        </w:tc>
        <w:tc>
          <w:tcPr>
            <w:tcW w:w="1668" w:type="dxa"/>
          </w:tcPr>
          <w:p w14:paraId="7E6FEC91" w14:textId="77777777" w:rsidR="00397ACB" w:rsidRPr="00372FE9" w:rsidRDefault="00397ACB" w:rsidP="00CC0D7A">
            <w:pPr>
              <w:pStyle w:val="TableText"/>
            </w:pPr>
            <w:r w:rsidRPr="004C659E">
              <w:t>Adept</w:t>
            </w:r>
          </w:p>
        </w:tc>
      </w:tr>
      <w:tr w:rsidR="00397ACB" w:rsidRPr="00372FE9" w14:paraId="4F1345A5" w14:textId="77777777" w:rsidTr="00CC0D7A">
        <w:trPr>
          <w:cantSplit/>
        </w:trPr>
        <w:tc>
          <w:tcPr>
            <w:tcW w:w="1276" w:type="dxa"/>
          </w:tcPr>
          <w:p w14:paraId="17B87C2E" w14:textId="77777777" w:rsidR="00397ACB" w:rsidRPr="00372FE9" w:rsidRDefault="00397ACB" w:rsidP="00CC0D7A">
            <w:pPr>
              <w:rPr>
                <w:sz w:val="20"/>
              </w:rPr>
            </w:pPr>
            <w:r w:rsidRPr="00372FE9">
              <w:rPr>
                <w:noProof/>
                <w:sz w:val="20"/>
                <w:lang w:eastAsia="en-AU"/>
              </w:rPr>
              <w:drawing>
                <wp:inline distT="0" distB="0" distL="0" distR="0" wp14:anchorId="105D39A1" wp14:editId="63789E9D">
                  <wp:extent cx="416966" cy="416966"/>
                  <wp:effectExtent l="0" t="0" r="2540" b="2540"/>
                  <wp:docPr id="402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80B1E7" w14:textId="77777777" w:rsidR="00397ACB" w:rsidRPr="00372FE9" w:rsidRDefault="00397ACB" w:rsidP="00CC0D7A">
            <w:pPr>
              <w:pStyle w:val="TableText"/>
            </w:pPr>
            <w:r w:rsidRPr="00372FE9">
              <w:t xml:space="preserve">Influence and </w:t>
            </w:r>
            <w:proofErr w:type="gramStart"/>
            <w:r w:rsidRPr="00372FE9">
              <w:t>Negotiate</w:t>
            </w:r>
            <w:proofErr w:type="gramEnd"/>
          </w:p>
        </w:tc>
        <w:tc>
          <w:tcPr>
            <w:tcW w:w="4851" w:type="dxa"/>
          </w:tcPr>
          <w:p w14:paraId="33359F72" w14:textId="77777777" w:rsidR="00397ACB" w:rsidRPr="00372FE9" w:rsidRDefault="00397ACB" w:rsidP="00CC0D7A">
            <w:pPr>
              <w:pStyle w:val="TableText"/>
            </w:pPr>
            <w:r w:rsidRPr="00372FE9">
              <w:t>Gain consensus and commitment from others, and resolve issues and conflicts</w:t>
            </w:r>
          </w:p>
        </w:tc>
        <w:tc>
          <w:tcPr>
            <w:tcW w:w="1668" w:type="dxa"/>
          </w:tcPr>
          <w:p w14:paraId="2B32988E" w14:textId="77777777" w:rsidR="00397ACB" w:rsidRPr="00372FE9" w:rsidRDefault="00397ACB" w:rsidP="00CC0D7A">
            <w:pPr>
              <w:pStyle w:val="TableText"/>
            </w:pPr>
            <w:r w:rsidRPr="004C659E">
              <w:t>Adept</w:t>
            </w:r>
          </w:p>
        </w:tc>
      </w:tr>
      <w:tr w:rsidR="00397ACB" w:rsidRPr="00372FE9" w14:paraId="1392CB9E" w14:textId="77777777" w:rsidTr="00CC0D7A">
        <w:trPr>
          <w:cantSplit/>
        </w:trPr>
        <w:tc>
          <w:tcPr>
            <w:tcW w:w="1276" w:type="dxa"/>
          </w:tcPr>
          <w:p w14:paraId="31639E6A" w14:textId="77777777" w:rsidR="00397ACB" w:rsidRPr="00372FE9" w:rsidRDefault="00397ACB" w:rsidP="00CC0D7A">
            <w:pPr>
              <w:rPr>
                <w:sz w:val="20"/>
              </w:rPr>
            </w:pPr>
            <w:r w:rsidRPr="00372FE9">
              <w:rPr>
                <w:noProof/>
                <w:sz w:val="20"/>
                <w:lang w:eastAsia="en-AU"/>
              </w:rPr>
              <w:drawing>
                <wp:inline distT="0" distB="0" distL="0" distR="0" wp14:anchorId="2569CA0B" wp14:editId="6678C390">
                  <wp:extent cx="416966" cy="416966"/>
                  <wp:effectExtent l="0" t="0" r="2540" b="2540"/>
                  <wp:docPr id="239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C10952" w14:textId="77777777" w:rsidR="00397ACB" w:rsidRPr="00372FE9" w:rsidRDefault="00397ACB" w:rsidP="00CC0D7A">
            <w:pPr>
              <w:pStyle w:val="TableText"/>
            </w:pPr>
            <w:r w:rsidRPr="00372FE9">
              <w:t>Deliver Results</w:t>
            </w:r>
          </w:p>
        </w:tc>
        <w:tc>
          <w:tcPr>
            <w:tcW w:w="4851" w:type="dxa"/>
          </w:tcPr>
          <w:p w14:paraId="698F6D32" w14:textId="77777777" w:rsidR="00397ACB" w:rsidRPr="00372FE9" w:rsidRDefault="00397ACB" w:rsidP="00CC0D7A">
            <w:pPr>
              <w:pStyle w:val="TableText"/>
            </w:pPr>
            <w:r w:rsidRPr="00372FE9">
              <w:t>Achieve results through the efficient use of resources and a commitment to quality outcomes</w:t>
            </w:r>
          </w:p>
        </w:tc>
        <w:tc>
          <w:tcPr>
            <w:tcW w:w="1668" w:type="dxa"/>
          </w:tcPr>
          <w:p w14:paraId="3E5D1246" w14:textId="77777777" w:rsidR="00397ACB" w:rsidRPr="00372FE9" w:rsidRDefault="00397ACB" w:rsidP="00CC0D7A">
            <w:pPr>
              <w:pStyle w:val="TableText"/>
            </w:pPr>
            <w:r w:rsidRPr="004C659E">
              <w:t>Adept</w:t>
            </w:r>
          </w:p>
        </w:tc>
      </w:tr>
      <w:tr w:rsidR="00397ACB" w:rsidRPr="00372FE9" w14:paraId="41F2E212" w14:textId="77777777" w:rsidTr="00CC0D7A">
        <w:trPr>
          <w:cantSplit/>
        </w:trPr>
        <w:tc>
          <w:tcPr>
            <w:tcW w:w="1276" w:type="dxa"/>
          </w:tcPr>
          <w:p w14:paraId="019A2B1E" w14:textId="77777777" w:rsidR="00397ACB" w:rsidRPr="00372FE9" w:rsidRDefault="00397ACB" w:rsidP="00CC0D7A">
            <w:pPr>
              <w:rPr>
                <w:sz w:val="20"/>
              </w:rPr>
            </w:pPr>
            <w:r w:rsidRPr="00372FE9">
              <w:rPr>
                <w:noProof/>
                <w:sz w:val="20"/>
                <w:lang w:eastAsia="en-AU"/>
              </w:rPr>
              <w:drawing>
                <wp:inline distT="0" distB="0" distL="0" distR="0" wp14:anchorId="41F354A9" wp14:editId="2F03C012">
                  <wp:extent cx="416966" cy="416966"/>
                  <wp:effectExtent l="0" t="0" r="2540" b="2540"/>
                  <wp:docPr id="597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74D2A7" w14:textId="77777777" w:rsidR="00397ACB" w:rsidRPr="00372FE9" w:rsidRDefault="00397ACB" w:rsidP="00CC0D7A">
            <w:pPr>
              <w:pStyle w:val="TableText"/>
            </w:pPr>
            <w:r w:rsidRPr="00372FE9">
              <w:t>Think and Solve Problems</w:t>
            </w:r>
          </w:p>
        </w:tc>
        <w:tc>
          <w:tcPr>
            <w:tcW w:w="4851" w:type="dxa"/>
          </w:tcPr>
          <w:p w14:paraId="26C1FF5A" w14:textId="77777777" w:rsidR="00397ACB" w:rsidRPr="00372FE9" w:rsidRDefault="00397ACB" w:rsidP="00CC0D7A">
            <w:pPr>
              <w:pStyle w:val="TableText"/>
            </w:pPr>
            <w:r w:rsidRPr="00372FE9">
              <w:t>Think, analyse and consider the broader context to develop practical solutions</w:t>
            </w:r>
          </w:p>
        </w:tc>
        <w:tc>
          <w:tcPr>
            <w:tcW w:w="1668" w:type="dxa"/>
          </w:tcPr>
          <w:p w14:paraId="7B6DE4E3" w14:textId="77777777" w:rsidR="00397ACB" w:rsidRPr="00372FE9" w:rsidRDefault="00397ACB" w:rsidP="00CC0D7A">
            <w:pPr>
              <w:pStyle w:val="TableText"/>
            </w:pPr>
            <w:r w:rsidRPr="004C659E">
              <w:t>Advanced</w:t>
            </w:r>
          </w:p>
        </w:tc>
      </w:tr>
      <w:tr w:rsidR="00397ACB" w:rsidRPr="00372FE9" w14:paraId="799C0F11" w14:textId="77777777" w:rsidTr="00CC0D7A">
        <w:trPr>
          <w:cantSplit/>
        </w:trPr>
        <w:tc>
          <w:tcPr>
            <w:tcW w:w="1276" w:type="dxa"/>
          </w:tcPr>
          <w:p w14:paraId="1DD7A9AD" w14:textId="77777777" w:rsidR="00397ACB" w:rsidRPr="00372FE9" w:rsidRDefault="00397ACB" w:rsidP="00CC0D7A">
            <w:pPr>
              <w:rPr>
                <w:sz w:val="20"/>
              </w:rPr>
            </w:pPr>
            <w:r w:rsidRPr="00372FE9">
              <w:rPr>
                <w:noProof/>
                <w:sz w:val="20"/>
                <w:lang w:eastAsia="en-AU"/>
              </w:rPr>
              <w:drawing>
                <wp:inline distT="0" distB="0" distL="0" distR="0" wp14:anchorId="3DEC42DD" wp14:editId="2BCDE756">
                  <wp:extent cx="416966" cy="416966"/>
                  <wp:effectExtent l="0" t="0" r="2540" b="2540"/>
                  <wp:docPr id="434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952338" w14:textId="77777777" w:rsidR="00397ACB" w:rsidRPr="00372FE9" w:rsidRDefault="00397ACB" w:rsidP="00CC0D7A">
            <w:pPr>
              <w:pStyle w:val="TableText"/>
            </w:pPr>
            <w:r w:rsidRPr="00372FE9">
              <w:t>Demonstrate Accountability</w:t>
            </w:r>
          </w:p>
        </w:tc>
        <w:tc>
          <w:tcPr>
            <w:tcW w:w="4851" w:type="dxa"/>
          </w:tcPr>
          <w:p w14:paraId="7574FF38" w14:textId="77777777" w:rsidR="00397ACB" w:rsidRPr="00372FE9" w:rsidRDefault="00397ACB" w:rsidP="00CC0D7A">
            <w:pPr>
              <w:pStyle w:val="TableText"/>
            </w:pPr>
            <w:r w:rsidRPr="00372FE9">
              <w:t>Be proactive and responsible for own actions, and adhere to legislation, policy and guidelines</w:t>
            </w:r>
          </w:p>
        </w:tc>
        <w:tc>
          <w:tcPr>
            <w:tcW w:w="1668" w:type="dxa"/>
          </w:tcPr>
          <w:p w14:paraId="24700C7E" w14:textId="77777777" w:rsidR="00397ACB" w:rsidRPr="00372FE9" w:rsidRDefault="00397ACB" w:rsidP="00CC0D7A">
            <w:pPr>
              <w:pStyle w:val="TableText"/>
            </w:pPr>
            <w:r w:rsidRPr="004C659E">
              <w:t>Adept</w:t>
            </w:r>
          </w:p>
        </w:tc>
      </w:tr>
      <w:tr w:rsidR="00397ACB" w:rsidRPr="00372FE9" w14:paraId="2EA7BBEA" w14:textId="77777777" w:rsidTr="00CC0D7A">
        <w:trPr>
          <w:cantSplit/>
        </w:trPr>
        <w:tc>
          <w:tcPr>
            <w:tcW w:w="1276" w:type="dxa"/>
          </w:tcPr>
          <w:p w14:paraId="72FB0273" w14:textId="77777777" w:rsidR="00397ACB" w:rsidRPr="00372FE9" w:rsidRDefault="00397ACB" w:rsidP="00CC0D7A">
            <w:pPr>
              <w:rPr>
                <w:sz w:val="20"/>
              </w:rPr>
            </w:pPr>
            <w:r w:rsidRPr="00372FE9">
              <w:rPr>
                <w:noProof/>
                <w:sz w:val="20"/>
                <w:lang w:eastAsia="en-AU"/>
              </w:rPr>
              <w:drawing>
                <wp:inline distT="0" distB="0" distL="0" distR="0" wp14:anchorId="153099EC" wp14:editId="048DB7BF">
                  <wp:extent cx="416966" cy="416966"/>
                  <wp:effectExtent l="0" t="0" r="2540" b="2540"/>
                  <wp:docPr id="792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299D89C" w14:textId="77777777" w:rsidR="00397ACB" w:rsidRPr="00372FE9" w:rsidRDefault="00397ACB" w:rsidP="00CC0D7A">
            <w:pPr>
              <w:pStyle w:val="TableText"/>
            </w:pPr>
            <w:r w:rsidRPr="00372FE9">
              <w:t>Finance</w:t>
            </w:r>
          </w:p>
        </w:tc>
        <w:tc>
          <w:tcPr>
            <w:tcW w:w="4851" w:type="dxa"/>
          </w:tcPr>
          <w:p w14:paraId="0317A2A1" w14:textId="77777777" w:rsidR="00397ACB" w:rsidRPr="00372FE9" w:rsidRDefault="00397ACB" w:rsidP="00CC0D7A">
            <w:pPr>
              <w:pStyle w:val="TableText"/>
            </w:pPr>
            <w:r w:rsidRPr="00372FE9">
              <w:t>Understand and apply financial processes to achieve value for money and minimise financial risk</w:t>
            </w:r>
          </w:p>
        </w:tc>
        <w:tc>
          <w:tcPr>
            <w:tcW w:w="1668" w:type="dxa"/>
          </w:tcPr>
          <w:p w14:paraId="3CC6B8AE" w14:textId="77777777" w:rsidR="00397ACB" w:rsidRPr="00372FE9" w:rsidRDefault="00397ACB" w:rsidP="00CC0D7A">
            <w:pPr>
              <w:pStyle w:val="TableText"/>
            </w:pPr>
            <w:r w:rsidRPr="004C659E">
              <w:t>Intermediate</w:t>
            </w:r>
          </w:p>
        </w:tc>
      </w:tr>
      <w:tr w:rsidR="00397ACB" w:rsidRPr="00372FE9" w14:paraId="4DEC2585" w14:textId="77777777" w:rsidTr="00CC0D7A">
        <w:trPr>
          <w:cantSplit/>
        </w:trPr>
        <w:tc>
          <w:tcPr>
            <w:tcW w:w="1276" w:type="dxa"/>
          </w:tcPr>
          <w:p w14:paraId="73E0BC2C" w14:textId="77777777" w:rsidR="00397ACB" w:rsidRPr="00372FE9" w:rsidRDefault="00397ACB" w:rsidP="00CC0D7A">
            <w:pPr>
              <w:rPr>
                <w:sz w:val="20"/>
              </w:rPr>
            </w:pPr>
            <w:r w:rsidRPr="00372FE9">
              <w:rPr>
                <w:noProof/>
                <w:sz w:val="20"/>
                <w:lang w:eastAsia="en-AU"/>
              </w:rPr>
              <w:drawing>
                <wp:inline distT="0" distB="0" distL="0" distR="0" wp14:anchorId="4BCED907" wp14:editId="5968B5B0">
                  <wp:extent cx="416966" cy="416966"/>
                  <wp:effectExtent l="0" t="0" r="2540" b="2540"/>
                  <wp:docPr id="152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F9FDEB8" w14:textId="77777777" w:rsidR="00397ACB" w:rsidRPr="00372FE9" w:rsidRDefault="00397ACB" w:rsidP="00CC0D7A">
            <w:pPr>
              <w:pStyle w:val="TableText"/>
            </w:pPr>
            <w:r w:rsidRPr="00372FE9">
              <w:t>Technology</w:t>
            </w:r>
          </w:p>
        </w:tc>
        <w:tc>
          <w:tcPr>
            <w:tcW w:w="4851" w:type="dxa"/>
          </w:tcPr>
          <w:p w14:paraId="033000B4" w14:textId="77777777" w:rsidR="00397ACB" w:rsidRPr="00372FE9" w:rsidRDefault="00397ACB" w:rsidP="00CC0D7A">
            <w:pPr>
              <w:pStyle w:val="TableText"/>
            </w:pPr>
            <w:r w:rsidRPr="00372FE9">
              <w:t>Understand and use available technologies to maximise efficiencies and effectiveness</w:t>
            </w:r>
          </w:p>
        </w:tc>
        <w:tc>
          <w:tcPr>
            <w:tcW w:w="1668" w:type="dxa"/>
          </w:tcPr>
          <w:p w14:paraId="6397B448" w14:textId="77777777" w:rsidR="00397ACB" w:rsidRPr="00372FE9" w:rsidRDefault="00397ACB" w:rsidP="00CC0D7A">
            <w:pPr>
              <w:pStyle w:val="TableText"/>
            </w:pPr>
            <w:r w:rsidRPr="004C659E">
              <w:t>Intermediate</w:t>
            </w:r>
          </w:p>
        </w:tc>
      </w:tr>
      <w:tr w:rsidR="00397ACB" w:rsidRPr="00372FE9" w14:paraId="41E59326" w14:textId="77777777" w:rsidTr="00CC0D7A">
        <w:trPr>
          <w:cantSplit/>
        </w:trPr>
        <w:tc>
          <w:tcPr>
            <w:tcW w:w="1276" w:type="dxa"/>
          </w:tcPr>
          <w:p w14:paraId="7768375B" w14:textId="77777777" w:rsidR="00397ACB" w:rsidRPr="00372FE9" w:rsidRDefault="00397ACB" w:rsidP="00CC0D7A">
            <w:pPr>
              <w:rPr>
                <w:sz w:val="20"/>
              </w:rPr>
            </w:pPr>
            <w:r w:rsidRPr="00372FE9">
              <w:rPr>
                <w:noProof/>
                <w:sz w:val="20"/>
                <w:lang w:eastAsia="en-AU"/>
              </w:rPr>
              <w:drawing>
                <wp:inline distT="0" distB="0" distL="0" distR="0" wp14:anchorId="210EFA1B" wp14:editId="569D9721">
                  <wp:extent cx="416966" cy="416966"/>
                  <wp:effectExtent l="0" t="0" r="2540" b="2540"/>
                  <wp:docPr id="987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20884E" w14:textId="77777777" w:rsidR="00397ACB" w:rsidRPr="00372FE9" w:rsidRDefault="00397ACB" w:rsidP="00CC0D7A">
            <w:pPr>
              <w:pStyle w:val="TableText"/>
            </w:pPr>
            <w:r w:rsidRPr="00372FE9">
              <w:t>Procurement and Contract Management</w:t>
            </w:r>
          </w:p>
        </w:tc>
        <w:tc>
          <w:tcPr>
            <w:tcW w:w="4851" w:type="dxa"/>
          </w:tcPr>
          <w:p w14:paraId="1F1A080E" w14:textId="77777777" w:rsidR="00397ACB" w:rsidRPr="00372FE9" w:rsidRDefault="00397ACB" w:rsidP="00CC0D7A">
            <w:pPr>
              <w:pStyle w:val="TableText"/>
            </w:pPr>
            <w:r w:rsidRPr="00372FE9">
              <w:t>Understand and apply procurement processes to ensure effective purchasing and contract performance</w:t>
            </w:r>
          </w:p>
        </w:tc>
        <w:tc>
          <w:tcPr>
            <w:tcW w:w="1668" w:type="dxa"/>
          </w:tcPr>
          <w:p w14:paraId="44B3D455" w14:textId="77777777" w:rsidR="00397ACB" w:rsidRPr="00372FE9" w:rsidRDefault="00397ACB" w:rsidP="00CC0D7A">
            <w:pPr>
              <w:pStyle w:val="TableText"/>
            </w:pPr>
            <w:r w:rsidRPr="004C659E">
              <w:t>Intermediate</w:t>
            </w:r>
          </w:p>
        </w:tc>
      </w:tr>
      <w:tr w:rsidR="00397ACB" w:rsidRPr="00372FE9" w14:paraId="4D42EBCC" w14:textId="77777777" w:rsidTr="00CC0D7A">
        <w:trPr>
          <w:cantSplit/>
        </w:trPr>
        <w:tc>
          <w:tcPr>
            <w:tcW w:w="1276" w:type="dxa"/>
          </w:tcPr>
          <w:p w14:paraId="1F4B0394" w14:textId="77777777" w:rsidR="00397ACB" w:rsidRPr="00372FE9" w:rsidRDefault="00397ACB" w:rsidP="00CC0D7A">
            <w:pPr>
              <w:rPr>
                <w:sz w:val="20"/>
              </w:rPr>
            </w:pPr>
            <w:r w:rsidRPr="00372FE9">
              <w:rPr>
                <w:noProof/>
                <w:sz w:val="20"/>
                <w:lang w:eastAsia="en-AU"/>
              </w:rPr>
              <w:drawing>
                <wp:inline distT="0" distB="0" distL="0" distR="0" wp14:anchorId="76BBA51A" wp14:editId="17B9C7AA">
                  <wp:extent cx="416966" cy="416966"/>
                  <wp:effectExtent l="0" t="0" r="2540" b="2540"/>
                  <wp:docPr id="3471"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D51863" w14:textId="77777777" w:rsidR="00397ACB" w:rsidRPr="00372FE9" w:rsidRDefault="00397ACB" w:rsidP="00CC0D7A">
            <w:pPr>
              <w:pStyle w:val="TableText"/>
            </w:pPr>
            <w:r w:rsidRPr="00372FE9">
              <w:t>Inspire Direction and Purpose</w:t>
            </w:r>
          </w:p>
        </w:tc>
        <w:tc>
          <w:tcPr>
            <w:tcW w:w="4851" w:type="dxa"/>
          </w:tcPr>
          <w:p w14:paraId="59155CB7" w14:textId="77777777" w:rsidR="00397ACB" w:rsidRPr="00372FE9" w:rsidRDefault="00397ACB" w:rsidP="00CC0D7A">
            <w:pPr>
              <w:pStyle w:val="TableText"/>
            </w:pPr>
            <w:r w:rsidRPr="00372FE9">
              <w:t>Communicate goals, priorities and vision, and recognise achievements</w:t>
            </w:r>
          </w:p>
        </w:tc>
        <w:tc>
          <w:tcPr>
            <w:tcW w:w="1668" w:type="dxa"/>
          </w:tcPr>
          <w:p w14:paraId="2392AEA6" w14:textId="77777777" w:rsidR="00397ACB" w:rsidRPr="00372FE9" w:rsidRDefault="00397ACB" w:rsidP="00CC0D7A">
            <w:pPr>
              <w:pStyle w:val="TableText"/>
            </w:pPr>
            <w:r w:rsidRPr="004C659E">
              <w:t>Adept</w:t>
            </w:r>
          </w:p>
        </w:tc>
      </w:tr>
      <w:tr w:rsidR="00397ACB" w:rsidRPr="00372FE9" w14:paraId="43AA4AAF" w14:textId="77777777" w:rsidTr="00CC0D7A">
        <w:trPr>
          <w:cantSplit/>
        </w:trPr>
        <w:tc>
          <w:tcPr>
            <w:tcW w:w="1276" w:type="dxa"/>
          </w:tcPr>
          <w:p w14:paraId="1B5CD49E" w14:textId="77777777" w:rsidR="00397ACB" w:rsidRPr="00372FE9" w:rsidRDefault="00397ACB" w:rsidP="00CC0D7A">
            <w:pPr>
              <w:rPr>
                <w:sz w:val="20"/>
              </w:rPr>
            </w:pPr>
            <w:r w:rsidRPr="00372FE9">
              <w:rPr>
                <w:noProof/>
                <w:sz w:val="20"/>
                <w:lang w:eastAsia="en-AU"/>
              </w:rPr>
              <w:drawing>
                <wp:inline distT="0" distB="0" distL="0" distR="0" wp14:anchorId="4D2D89EB" wp14:editId="6710C8F2">
                  <wp:extent cx="416966" cy="416966"/>
                  <wp:effectExtent l="0" t="0" r="2540" b="2540"/>
                  <wp:docPr id="7055"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3556D44" w14:textId="77777777" w:rsidR="00397ACB" w:rsidRPr="00372FE9" w:rsidRDefault="00397ACB" w:rsidP="00CC0D7A">
            <w:pPr>
              <w:pStyle w:val="TableText"/>
            </w:pPr>
            <w:r w:rsidRPr="00372FE9">
              <w:t>Optimise Business Outcomes</w:t>
            </w:r>
          </w:p>
        </w:tc>
        <w:tc>
          <w:tcPr>
            <w:tcW w:w="4851" w:type="dxa"/>
          </w:tcPr>
          <w:p w14:paraId="0F4DA891" w14:textId="77777777" w:rsidR="00397ACB" w:rsidRPr="00372FE9" w:rsidRDefault="00397ACB" w:rsidP="00CC0D7A">
            <w:pPr>
              <w:pStyle w:val="TableText"/>
            </w:pPr>
            <w:r w:rsidRPr="00372FE9">
              <w:t>Manage people and resources effectively to achieve public value</w:t>
            </w:r>
          </w:p>
        </w:tc>
        <w:tc>
          <w:tcPr>
            <w:tcW w:w="1668" w:type="dxa"/>
          </w:tcPr>
          <w:p w14:paraId="31487481" w14:textId="77777777" w:rsidR="00397ACB" w:rsidRPr="00372FE9" w:rsidRDefault="00397ACB" w:rsidP="00CC0D7A">
            <w:pPr>
              <w:pStyle w:val="TableText"/>
            </w:pPr>
            <w:r w:rsidRPr="004C659E">
              <w:t>Intermediate</w:t>
            </w:r>
          </w:p>
        </w:tc>
      </w:tr>
      <w:tr w:rsidR="00397ACB" w:rsidRPr="00372FE9" w14:paraId="1AED9297" w14:textId="77777777" w:rsidTr="00CC0D7A">
        <w:trPr>
          <w:cantSplit/>
        </w:trPr>
        <w:tc>
          <w:tcPr>
            <w:tcW w:w="1276" w:type="dxa"/>
          </w:tcPr>
          <w:p w14:paraId="770002E6" w14:textId="77777777" w:rsidR="00397ACB" w:rsidRPr="00372FE9" w:rsidRDefault="00397ACB" w:rsidP="00CC0D7A">
            <w:pPr>
              <w:rPr>
                <w:sz w:val="20"/>
              </w:rPr>
            </w:pPr>
            <w:r w:rsidRPr="00372FE9">
              <w:rPr>
                <w:noProof/>
                <w:sz w:val="20"/>
                <w:lang w:eastAsia="en-AU"/>
              </w:rPr>
              <w:drawing>
                <wp:inline distT="0" distB="0" distL="0" distR="0" wp14:anchorId="09F9DE2F" wp14:editId="51CD64A0">
                  <wp:extent cx="416966" cy="416966"/>
                  <wp:effectExtent l="0" t="0" r="2540" b="2540"/>
                  <wp:docPr id="5420"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7C1DE6" w14:textId="77777777" w:rsidR="00397ACB" w:rsidRPr="00372FE9" w:rsidRDefault="00397ACB" w:rsidP="00CC0D7A">
            <w:pPr>
              <w:pStyle w:val="TableText"/>
            </w:pPr>
            <w:r w:rsidRPr="00372FE9">
              <w:t>Manage Reform and Change</w:t>
            </w:r>
          </w:p>
        </w:tc>
        <w:tc>
          <w:tcPr>
            <w:tcW w:w="4851" w:type="dxa"/>
          </w:tcPr>
          <w:p w14:paraId="7293F391" w14:textId="77777777" w:rsidR="00397ACB" w:rsidRPr="00372FE9" w:rsidRDefault="00397ACB" w:rsidP="00CC0D7A">
            <w:pPr>
              <w:pStyle w:val="TableText"/>
            </w:pPr>
            <w:r w:rsidRPr="00372FE9">
              <w:t>Support, promote and champion change, and assist others to engage with change</w:t>
            </w:r>
          </w:p>
        </w:tc>
        <w:tc>
          <w:tcPr>
            <w:tcW w:w="1668" w:type="dxa"/>
          </w:tcPr>
          <w:p w14:paraId="30F3FAE9" w14:textId="77777777" w:rsidR="00397ACB" w:rsidRPr="00372FE9" w:rsidRDefault="00397ACB" w:rsidP="00CC0D7A">
            <w:pPr>
              <w:pStyle w:val="TableText"/>
            </w:pPr>
            <w:r w:rsidRPr="004C659E">
              <w:t>Adept</w:t>
            </w:r>
          </w:p>
        </w:tc>
      </w:tr>
    </w:tbl>
    <w:p w14:paraId="14040504" w14:textId="77777777" w:rsidR="004D15E4" w:rsidRPr="0065421B" w:rsidRDefault="004D15E4" w:rsidP="003927AE">
      <w:pPr>
        <w:rPr>
          <w:lang w:val="en-AU"/>
        </w:rPr>
      </w:pPr>
    </w:p>
    <w:sectPr w:rsidR="004D15E4" w:rsidRPr="0065421B" w:rsidSect="009D747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11430" w14:textId="77777777" w:rsidR="004802AD" w:rsidRDefault="004802AD" w:rsidP="00BB532F">
      <w:pPr>
        <w:spacing w:after="0" w:line="240" w:lineRule="auto"/>
      </w:pPr>
      <w:r>
        <w:separator/>
      </w:r>
    </w:p>
  </w:endnote>
  <w:endnote w:type="continuationSeparator" w:id="0">
    <w:p w14:paraId="0216CE3B" w14:textId="77777777" w:rsidR="004802AD" w:rsidRDefault="004802AD" w:rsidP="00BB532F">
      <w:pPr>
        <w:spacing w:after="0" w:line="240" w:lineRule="auto"/>
      </w:pPr>
      <w:r>
        <w:continuationSeparator/>
      </w:r>
    </w:p>
  </w:endnote>
  <w:endnote w:type="continuationNotice" w:id="1">
    <w:p w14:paraId="5287C4C8" w14:textId="77777777" w:rsidR="004802AD" w:rsidRDefault="00480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E8F8" w14:textId="77777777" w:rsidR="005806DC" w:rsidRDefault="0058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18A7370" w14:textId="77777777" w:rsidTr="00C03AFD">
      <w:tc>
        <w:tcPr>
          <w:tcW w:w="2250" w:type="pct"/>
          <w:vAlign w:val="center"/>
        </w:tcPr>
        <w:p w14:paraId="259E167D" w14:textId="1D8E508F"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443BCB" w:rsidRPr="00443BCB">
            <w:rPr>
              <w:b/>
              <w:color w:val="928B81"/>
              <w:sz w:val="18"/>
            </w:rPr>
            <w:t>Manager</w:t>
          </w:r>
          <w:proofErr w:type="gramEnd"/>
          <w:r w:rsidR="00443BCB" w:rsidRPr="00443BCB">
            <w:rPr>
              <w:b/>
              <w:color w:val="928B81"/>
              <w:sz w:val="18"/>
            </w:rPr>
            <w:t xml:space="preserve"> Diversity </w:t>
          </w:r>
          <w:r w:rsidR="00E41FF2">
            <w:rPr>
              <w:b/>
              <w:color w:val="928B81"/>
              <w:sz w:val="18"/>
            </w:rPr>
            <w:t xml:space="preserve">, </w:t>
          </w:r>
          <w:r w:rsidR="00443BCB" w:rsidRPr="00443BCB">
            <w:rPr>
              <w:b/>
              <w:color w:val="928B81"/>
              <w:sz w:val="18"/>
            </w:rPr>
            <w:t>Inclusion</w:t>
          </w:r>
          <w:r w:rsidR="00E41FF2">
            <w:rPr>
              <w:b/>
              <w:color w:val="928B81"/>
              <w:sz w:val="18"/>
            </w:rPr>
            <w:t xml:space="preserve"> &amp; Belonging</w:t>
          </w:r>
        </w:p>
      </w:tc>
      <w:tc>
        <w:tcPr>
          <w:tcW w:w="250" w:type="pct"/>
          <w:vAlign w:val="center"/>
        </w:tcPr>
        <w:p w14:paraId="3CD1925A" w14:textId="15FDAC5B"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5B6694">
            <w:rPr>
              <w:noProof/>
              <w:color w:val="928B81"/>
              <w:sz w:val="18"/>
              <w:lang w:eastAsia="en-AU"/>
            </w:rPr>
            <w:t>8</w:t>
          </w:r>
          <w:r w:rsidRPr="00C03AFD">
            <w:rPr>
              <w:noProof/>
              <w:color w:val="928B81"/>
              <w:sz w:val="18"/>
              <w:lang w:eastAsia="en-AU"/>
            </w:rPr>
            <w:fldChar w:fldCharType="end"/>
          </w:r>
        </w:p>
      </w:tc>
      <w:tc>
        <w:tcPr>
          <w:tcW w:w="2350" w:type="pct"/>
        </w:tcPr>
        <w:p w14:paraId="4EE85179" w14:textId="09D37427" w:rsidR="00C03AFD" w:rsidRDefault="00C03AFD" w:rsidP="00C03AFD">
          <w:pPr>
            <w:pStyle w:val="Footer"/>
            <w:jc w:val="right"/>
          </w:pPr>
        </w:p>
      </w:tc>
    </w:tr>
  </w:tbl>
  <w:p w14:paraId="777B596A"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8D1DDAF" w14:textId="77777777" w:rsidTr="0047547E">
      <w:trPr>
        <w:trHeight w:val="811"/>
      </w:trPr>
      <w:tc>
        <w:tcPr>
          <w:tcW w:w="10005" w:type="dxa"/>
          <w:vAlign w:val="bottom"/>
        </w:tcPr>
        <w:p w14:paraId="41B0CBF3" w14:textId="46B0680C"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B6694">
            <w:rPr>
              <w:noProof/>
              <w:lang w:eastAsia="en-AU"/>
            </w:rPr>
            <w:t>1</w:t>
          </w:r>
          <w:r>
            <w:rPr>
              <w:noProof/>
              <w:lang w:eastAsia="en-AU"/>
            </w:rPr>
            <w:fldChar w:fldCharType="end"/>
          </w:r>
        </w:p>
      </w:tc>
      <w:tc>
        <w:tcPr>
          <w:tcW w:w="875" w:type="dxa"/>
        </w:tcPr>
        <w:p w14:paraId="368CF64E" w14:textId="49EBB7B8" w:rsidR="00BB532F" w:rsidRDefault="00BB532F" w:rsidP="00BD7BA7">
          <w:pPr>
            <w:pStyle w:val="Footer"/>
            <w:jc w:val="right"/>
          </w:pPr>
        </w:p>
      </w:tc>
    </w:tr>
  </w:tbl>
  <w:p w14:paraId="06326A2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E082" w14:textId="77777777" w:rsidR="004802AD" w:rsidRDefault="004802AD" w:rsidP="00BB532F">
      <w:pPr>
        <w:spacing w:after="0" w:line="240" w:lineRule="auto"/>
      </w:pPr>
      <w:r>
        <w:separator/>
      </w:r>
    </w:p>
  </w:footnote>
  <w:footnote w:type="continuationSeparator" w:id="0">
    <w:p w14:paraId="160F2876" w14:textId="77777777" w:rsidR="004802AD" w:rsidRDefault="004802AD" w:rsidP="00BB532F">
      <w:pPr>
        <w:spacing w:after="0" w:line="240" w:lineRule="auto"/>
      </w:pPr>
      <w:r>
        <w:continuationSeparator/>
      </w:r>
    </w:p>
  </w:footnote>
  <w:footnote w:type="continuationNotice" w:id="1">
    <w:p w14:paraId="52630089" w14:textId="77777777" w:rsidR="004802AD" w:rsidRDefault="00480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34B0" w14:textId="77777777" w:rsidR="005806DC" w:rsidRDefault="0058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43D6" w14:textId="77777777" w:rsidR="005806DC" w:rsidRDefault="00580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5247EA4D" w14:textId="77777777" w:rsidTr="00894A73">
      <w:trPr>
        <w:trHeight w:val="813"/>
      </w:trPr>
      <w:tc>
        <w:tcPr>
          <w:tcW w:w="7082" w:type="dxa"/>
        </w:tcPr>
        <w:p w14:paraId="04392475"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1F384784" w14:textId="41132006" w:rsidR="00935EE2" w:rsidRPr="00935EE2" w:rsidRDefault="00935EE2" w:rsidP="001C2248">
          <w:pPr>
            <w:pStyle w:val="TitleSub"/>
            <w:spacing w:after="0"/>
            <w:rPr>
              <w:rFonts w:ascii="Arial" w:hAnsi="Arial" w:cs="Arial"/>
              <w:b/>
            </w:rPr>
          </w:pPr>
          <w:r w:rsidRPr="00935EE2">
            <w:rPr>
              <w:rFonts w:ascii="Arial" w:hAnsi="Arial" w:cs="Arial"/>
              <w:b/>
            </w:rPr>
            <w:t>Manager Diversity</w:t>
          </w:r>
          <w:r w:rsidR="00FD747A">
            <w:rPr>
              <w:rFonts w:ascii="Arial" w:hAnsi="Arial" w:cs="Arial"/>
              <w:b/>
            </w:rPr>
            <w:t>,</w:t>
          </w:r>
          <w:r w:rsidRPr="00935EE2">
            <w:rPr>
              <w:rFonts w:ascii="Arial" w:hAnsi="Arial" w:cs="Arial"/>
              <w:b/>
            </w:rPr>
            <w:t xml:space="preserve"> Inclusion</w:t>
          </w:r>
          <w:r w:rsidR="00FD747A">
            <w:rPr>
              <w:rFonts w:ascii="Arial" w:hAnsi="Arial" w:cs="Arial"/>
              <w:b/>
            </w:rPr>
            <w:t xml:space="preserve"> and Belonging</w:t>
          </w:r>
        </w:p>
      </w:tc>
      <w:tc>
        <w:tcPr>
          <w:tcW w:w="3688" w:type="dxa"/>
        </w:tcPr>
        <w:p w14:paraId="4D1C5078" w14:textId="65A88690" w:rsidR="000477E1" w:rsidRPr="000477E1" w:rsidRDefault="00A22859" w:rsidP="00030565">
          <w:pPr>
            <w:jc w:val="right"/>
          </w:pPr>
          <w:r>
            <w:rPr>
              <w:rFonts w:cs="Arial"/>
              <w:noProof/>
            </w:rPr>
            <w:drawing>
              <wp:anchor distT="0" distB="0" distL="114300" distR="114300" simplePos="0" relativeHeight="251658240" behindDoc="0" locked="0" layoutInCell="1" allowOverlap="1" wp14:anchorId="4215CB19" wp14:editId="39809FF7">
                <wp:simplePos x="0" y="0"/>
                <wp:positionH relativeFrom="column">
                  <wp:posOffset>1426210</wp:posOffset>
                </wp:positionH>
                <wp:positionV relativeFrom="paragraph">
                  <wp:posOffset>0</wp:posOffset>
                </wp:positionV>
                <wp:extent cx="847090" cy="899795"/>
                <wp:effectExtent l="0" t="0" r="0" b="0"/>
                <wp:wrapThrough wrapText="bothSides">
                  <wp:wrapPolygon edited="0">
                    <wp:start x="0" y="0"/>
                    <wp:lineTo x="0" y="21036"/>
                    <wp:lineTo x="20888" y="21036"/>
                    <wp:lineTo x="20888" y="0"/>
                    <wp:lineTo x="0" y="0"/>
                  </wp:wrapPolygon>
                </wp:wrapThrough>
                <wp:docPr id="1659717014" name="Picture 1"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17014" name="Picture 1" descr="A red flower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090" cy="899795"/>
                        </a:xfrm>
                        <a:prstGeom prst="rect">
                          <a:avLst/>
                        </a:prstGeom>
                      </pic:spPr>
                    </pic:pic>
                  </a:graphicData>
                </a:graphic>
              </wp:anchor>
            </w:drawing>
          </w:r>
        </w:p>
      </w:tc>
    </w:tr>
  </w:tbl>
  <w:p w14:paraId="2BF47C9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6D035B"/>
    <w:multiLevelType w:val="hybridMultilevel"/>
    <w:tmpl w:val="ED464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697EBF"/>
    <w:multiLevelType w:val="hybridMultilevel"/>
    <w:tmpl w:val="81A8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5075D"/>
    <w:multiLevelType w:val="hybridMultilevel"/>
    <w:tmpl w:val="45624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B462B8"/>
    <w:multiLevelType w:val="hybridMultilevel"/>
    <w:tmpl w:val="EE0E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9874108">
    <w:abstractNumId w:val="0"/>
  </w:num>
  <w:num w:numId="2" w16cid:durableId="684794492">
    <w:abstractNumId w:val="3"/>
  </w:num>
  <w:num w:numId="3" w16cid:durableId="703747025">
    <w:abstractNumId w:val="4"/>
  </w:num>
  <w:num w:numId="4" w16cid:durableId="921060803">
    <w:abstractNumId w:val="6"/>
  </w:num>
  <w:num w:numId="5" w16cid:durableId="743064229">
    <w:abstractNumId w:val="0"/>
  </w:num>
  <w:num w:numId="6" w16cid:durableId="76946791">
    <w:abstractNumId w:val="0"/>
  </w:num>
  <w:num w:numId="7" w16cid:durableId="598417968">
    <w:abstractNumId w:val="0"/>
  </w:num>
  <w:num w:numId="8" w16cid:durableId="869297604">
    <w:abstractNumId w:val="0"/>
  </w:num>
  <w:num w:numId="9" w16cid:durableId="1587231755">
    <w:abstractNumId w:val="0"/>
  </w:num>
  <w:num w:numId="10" w16cid:durableId="2009747573">
    <w:abstractNumId w:val="1"/>
  </w:num>
  <w:num w:numId="11" w16cid:durableId="251934849">
    <w:abstractNumId w:val="2"/>
  </w:num>
  <w:num w:numId="12" w16cid:durableId="1987934744">
    <w:abstractNumId w:val="7"/>
  </w:num>
  <w:num w:numId="13" w16cid:durableId="210286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69F"/>
    <w:rsid w:val="00005219"/>
    <w:rsid w:val="0001016C"/>
    <w:rsid w:val="0001706E"/>
    <w:rsid w:val="00020023"/>
    <w:rsid w:val="00022223"/>
    <w:rsid w:val="00024E73"/>
    <w:rsid w:val="00026543"/>
    <w:rsid w:val="00027E23"/>
    <w:rsid w:val="00030565"/>
    <w:rsid w:val="00031827"/>
    <w:rsid w:val="0003263C"/>
    <w:rsid w:val="00035639"/>
    <w:rsid w:val="0003564E"/>
    <w:rsid w:val="00037FD5"/>
    <w:rsid w:val="000411F6"/>
    <w:rsid w:val="000477E1"/>
    <w:rsid w:val="00060B58"/>
    <w:rsid w:val="000610A6"/>
    <w:rsid w:val="000645C8"/>
    <w:rsid w:val="00066DAB"/>
    <w:rsid w:val="00067161"/>
    <w:rsid w:val="00071332"/>
    <w:rsid w:val="00080C74"/>
    <w:rsid w:val="000945F3"/>
    <w:rsid w:val="000A2621"/>
    <w:rsid w:val="000B5C49"/>
    <w:rsid w:val="000C00E5"/>
    <w:rsid w:val="000C08F7"/>
    <w:rsid w:val="000C2FBA"/>
    <w:rsid w:val="000C3CC8"/>
    <w:rsid w:val="000C5B48"/>
    <w:rsid w:val="000C651F"/>
    <w:rsid w:val="000D12B3"/>
    <w:rsid w:val="000D799A"/>
    <w:rsid w:val="000F231F"/>
    <w:rsid w:val="001000A0"/>
    <w:rsid w:val="00104EC7"/>
    <w:rsid w:val="001336E8"/>
    <w:rsid w:val="0013413E"/>
    <w:rsid w:val="00134F5E"/>
    <w:rsid w:val="00136C3A"/>
    <w:rsid w:val="001452A6"/>
    <w:rsid w:val="00152835"/>
    <w:rsid w:val="00153F10"/>
    <w:rsid w:val="00162560"/>
    <w:rsid w:val="00163EE4"/>
    <w:rsid w:val="001652EE"/>
    <w:rsid w:val="00165754"/>
    <w:rsid w:val="001671DC"/>
    <w:rsid w:val="0017247D"/>
    <w:rsid w:val="00172DFE"/>
    <w:rsid w:val="0018091E"/>
    <w:rsid w:val="001815E8"/>
    <w:rsid w:val="00185ABC"/>
    <w:rsid w:val="0019291A"/>
    <w:rsid w:val="00194A32"/>
    <w:rsid w:val="00194E98"/>
    <w:rsid w:val="001A00F1"/>
    <w:rsid w:val="001A1AA1"/>
    <w:rsid w:val="001A1EC8"/>
    <w:rsid w:val="001A411D"/>
    <w:rsid w:val="001A4F0B"/>
    <w:rsid w:val="001B1F0F"/>
    <w:rsid w:val="001B446D"/>
    <w:rsid w:val="001B5DFD"/>
    <w:rsid w:val="001B75A6"/>
    <w:rsid w:val="001C0E5F"/>
    <w:rsid w:val="001C2248"/>
    <w:rsid w:val="001C23F4"/>
    <w:rsid w:val="001C5166"/>
    <w:rsid w:val="001C5A46"/>
    <w:rsid w:val="001D097C"/>
    <w:rsid w:val="001E2792"/>
    <w:rsid w:val="001E27DB"/>
    <w:rsid w:val="001E49B2"/>
    <w:rsid w:val="001F2503"/>
    <w:rsid w:val="001F41D4"/>
    <w:rsid w:val="001F4B2B"/>
    <w:rsid w:val="001F6BE4"/>
    <w:rsid w:val="00201E8B"/>
    <w:rsid w:val="00205A8A"/>
    <w:rsid w:val="00211F68"/>
    <w:rsid w:val="002309B5"/>
    <w:rsid w:val="00237421"/>
    <w:rsid w:val="00240A8E"/>
    <w:rsid w:val="00241FAB"/>
    <w:rsid w:val="002454DB"/>
    <w:rsid w:val="00263ACB"/>
    <w:rsid w:val="00266912"/>
    <w:rsid w:val="002761F7"/>
    <w:rsid w:val="00280887"/>
    <w:rsid w:val="00281C66"/>
    <w:rsid w:val="0028314F"/>
    <w:rsid w:val="00287C54"/>
    <w:rsid w:val="002A648F"/>
    <w:rsid w:val="002B0B83"/>
    <w:rsid w:val="002B1F76"/>
    <w:rsid w:val="002B4AA6"/>
    <w:rsid w:val="002B5704"/>
    <w:rsid w:val="002C2823"/>
    <w:rsid w:val="002C3DE9"/>
    <w:rsid w:val="002C616A"/>
    <w:rsid w:val="002D336D"/>
    <w:rsid w:val="002D36BB"/>
    <w:rsid w:val="00300C40"/>
    <w:rsid w:val="00301747"/>
    <w:rsid w:val="00312D69"/>
    <w:rsid w:val="00315310"/>
    <w:rsid w:val="00325E9D"/>
    <w:rsid w:val="00327F5C"/>
    <w:rsid w:val="00336011"/>
    <w:rsid w:val="00340ADC"/>
    <w:rsid w:val="00343491"/>
    <w:rsid w:val="00345199"/>
    <w:rsid w:val="00346551"/>
    <w:rsid w:val="00346D51"/>
    <w:rsid w:val="00351826"/>
    <w:rsid w:val="00351C3F"/>
    <w:rsid w:val="00351D50"/>
    <w:rsid w:val="003549AA"/>
    <w:rsid w:val="00361F4E"/>
    <w:rsid w:val="0037257A"/>
    <w:rsid w:val="00372A99"/>
    <w:rsid w:val="00373737"/>
    <w:rsid w:val="00375289"/>
    <w:rsid w:val="00377118"/>
    <w:rsid w:val="003927AE"/>
    <w:rsid w:val="0039395B"/>
    <w:rsid w:val="00397ACB"/>
    <w:rsid w:val="003A1185"/>
    <w:rsid w:val="003A2AFA"/>
    <w:rsid w:val="003A3538"/>
    <w:rsid w:val="003B0F42"/>
    <w:rsid w:val="003B403A"/>
    <w:rsid w:val="003C00FD"/>
    <w:rsid w:val="003C031F"/>
    <w:rsid w:val="003C2846"/>
    <w:rsid w:val="003C476D"/>
    <w:rsid w:val="003C4DD6"/>
    <w:rsid w:val="003C5EB3"/>
    <w:rsid w:val="003D3521"/>
    <w:rsid w:val="003D5227"/>
    <w:rsid w:val="003E2663"/>
    <w:rsid w:val="00411F3E"/>
    <w:rsid w:val="0041525E"/>
    <w:rsid w:val="00416D58"/>
    <w:rsid w:val="004203B4"/>
    <w:rsid w:val="00420AA6"/>
    <w:rsid w:val="00421ED6"/>
    <w:rsid w:val="00424539"/>
    <w:rsid w:val="00436621"/>
    <w:rsid w:val="00442732"/>
    <w:rsid w:val="00443BCB"/>
    <w:rsid w:val="0045299A"/>
    <w:rsid w:val="00460D66"/>
    <w:rsid w:val="00465A49"/>
    <w:rsid w:val="00466287"/>
    <w:rsid w:val="0047547E"/>
    <w:rsid w:val="00477EB1"/>
    <w:rsid w:val="004802AD"/>
    <w:rsid w:val="0048614C"/>
    <w:rsid w:val="00492AA6"/>
    <w:rsid w:val="004951A1"/>
    <w:rsid w:val="00497EC1"/>
    <w:rsid w:val="004B5C1E"/>
    <w:rsid w:val="004B639C"/>
    <w:rsid w:val="004C3D42"/>
    <w:rsid w:val="004C45E2"/>
    <w:rsid w:val="004D0C22"/>
    <w:rsid w:val="004D15E4"/>
    <w:rsid w:val="004D20F2"/>
    <w:rsid w:val="004D27C8"/>
    <w:rsid w:val="004D68A6"/>
    <w:rsid w:val="004E44A5"/>
    <w:rsid w:val="004E474E"/>
    <w:rsid w:val="004E6DA5"/>
    <w:rsid w:val="004E7F32"/>
    <w:rsid w:val="004F3EA9"/>
    <w:rsid w:val="004F78D1"/>
    <w:rsid w:val="00502DBF"/>
    <w:rsid w:val="00506B3A"/>
    <w:rsid w:val="0050754A"/>
    <w:rsid w:val="00521D19"/>
    <w:rsid w:val="00523CFF"/>
    <w:rsid w:val="00527FCF"/>
    <w:rsid w:val="005307BA"/>
    <w:rsid w:val="00545AC6"/>
    <w:rsid w:val="00551038"/>
    <w:rsid w:val="005806DC"/>
    <w:rsid w:val="0059035B"/>
    <w:rsid w:val="005A397B"/>
    <w:rsid w:val="005A3B77"/>
    <w:rsid w:val="005B10E1"/>
    <w:rsid w:val="005B5053"/>
    <w:rsid w:val="005B6694"/>
    <w:rsid w:val="005C3952"/>
    <w:rsid w:val="005C7AF5"/>
    <w:rsid w:val="005D1F78"/>
    <w:rsid w:val="005D4AF1"/>
    <w:rsid w:val="005D71EA"/>
    <w:rsid w:val="005E6C59"/>
    <w:rsid w:val="005E75FC"/>
    <w:rsid w:val="005F4B69"/>
    <w:rsid w:val="005F5FD1"/>
    <w:rsid w:val="005F7EE8"/>
    <w:rsid w:val="00600C7E"/>
    <w:rsid w:val="006022B4"/>
    <w:rsid w:val="00603D53"/>
    <w:rsid w:val="00612673"/>
    <w:rsid w:val="00612AFA"/>
    <w:rsid w:val="00614552"/>
    <w:rsid w:val="00617E37"/>
    <w:rsid w:val="00621D45"/>
    <w:rsid w:val="00623950"/>
    <w:rsid w:val="00625A71"/>
    <w:rsid w:val="00626492"/>
    <w:rsid w:val="0063544E"/>
    <w:rsid w:val="00640189"/>
    <w:rsid w:val="006538BF"/>
    <w:rsid w:val="0065421B"/>
    <w:rsid w:val="00674D4C"/>
    <w:rsid w:val="00683870"/>
    <w:rsid w:val="00695EAB"/>
    <w:rsid w:val="006A2280"/>
    <w:rsid w:val="006A2A7F"/>
    <w:rsid w:val="006B723B"/>
    <w:rsid w:val="006C2473"/>
    <w:rsid w:val="006C4218"/>
    <w:rsid w:val="006D1FBC"/>
    <w:rsid w:val="006D75C8"/>
    <w:rsid w:val="006E28E7"/>
    <w:rsid w:val="006F6652"/>
    <w:rsid w:val="006F7124"/>
    <w:rsid w:val="006F7EEA"/>
    <w:rsid w:val="006F7FA4"/>
    <w:rsid w:val="00701F8B"/>
    <w:rsid w:val="007041EA"/>
    <w:rsid w:val="00704F25"/>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1C94"/>
    <w:rsid w:val="007C21C8"/>
    <w:rsid w:val="007D008C"/>
    <w:rsid w:val="007D0E2E"/>
    <w:rsid w:val="007D5420"/>
    <w:rsid w:val="007D73ED"/>
    <w:rsid w:val="007E2FB7"/>
    <w:rsid w:val="007E77DC"/>
    <w:rsid w:val="00801E41"/>
    <w:rsid w:val="008044BB"/>
    <w:rsid w:val="00805561"/>
    <w:rsid w:val="00805729"/>
    <w:rsid w:val="0080642E"/>
    <w:rsid w:val="00806FE1"/>
    <w:rsid w:val="00807ED1"/>
    <w:rsid w:val="00817B11"/>
    <w:rsid w:val="008203EE"/>
    <w:rsid w:val="008267A0"/>
    <w:rsid w:val="008308A7"/>
    <w:rsid w:val="0083547C"/>
    <w:rsid w:val="008365DC"/>
    <w:rsid w:val="00842468"/>
    <w:rsid w:val="00843197"/>
    <w:rsid w:val="008476E6"/>
    <w:rsid w:val="0085706D"/>
    <w:rsid w:val="00860904"/>
    <w:rsid w:val="00861804"/>
    <w:rsid w:val="00864E4F"/>
    <w:rsid w:val="00865E50"/>
    <w:rsid w:val="00867782"/>
    <w:rsid w:val="00884BB6"/>
    <w:rsid w:val="00894A73"/>
    <w:rsid w:val="00895190"/>
    <w:rsid w:val="008A0EBB"/>
    <w:rsid w:val="008A13AC"/>
    <w:rsid w:val="008B2BE2"/>
    <w:rsid w:val="008B74C1"/>
    <w:rsid w:val="008C0B4D"/>
    <w:rsid w:val="008C37C8"/>
    <w:rsid w:val="008C3F33"/>
    <w:rsid w:val="008D3A8B"/>
    <w:rsid w:val="008D7766"/>
    <w:rsid w:val="008E054D"/>
    <w:rsid w:val="008E08E3"/>
    <w:rsid w:val="008F23E9"/>
    <w:rsid w:val="008F2648"/>
    <w:rsid w:val="00902EC0"/>
    <w:rsid w:val="009077E2"/>
    <w:rsid w:val="00910F45"/>
    <w:rsid w:val="00911725"/>
    <w:rsid w:val="00917E5E"/>
    <w:rsid w:val="00925171"/>
    <w:rsid w:val="00926AD1"/>
    <w:rsid w:val="009351E9"/>
    <w:rsid w:val="00935EE2"/>
    <w:rsid w:val="00940C04"/>
    <w:rsid w:val="0094286B"/>
    <w:rsid w:val="00942DBE"/>
    <w:rsid w:val="009478AB"/>
    <w:rsid w:val="009523EC"/>
    <w:rsid w:val="00956E94"/>
    <w:rsid w:val="00957666"/>
    <w:rsid w:val="00963288"/>
    <w:rsid w:val="00964A6C"/>
    <w:rsid w:val="00970179"/>
    <w:rsid w:val="00977E40"/>
    <w:rsid w:val="00980F00"/>
    <w:rsid w:val="00981D06"/>
    <w:rsid w:val="00982D33"/>
    <w:rsid w:val="00985984"/>
    <w:rsid w:val="009933C3"/>
    <w:rsid w:val="00994DCE"/>
    <w:rsid w:val="0099587E"/>
    <w:rsid w:val="009979FA"/>
    <w:rsid w:val="009A2E65"/>
    <w:rsid w:val="009B3103"/>
    <w:rsid w:val="009C12FA"/>
    <w:rsid w:val="009D72FE"/>
    <w:rsid w:val="009D747B"/>
    <w:rsid w:val="009E0FD8"/>
    <w:rsid w:val="009F1178"/>
    <w:rsid w:val="009F61B1"/>
    <w:rsid w:val="009F6E9D"/>
    <w:rsid w:val="00A00C30"/>
    <w:rsid w:val="00A02AEF"/>
    <w:rsid w:val="00A105EA"/>
    <w:rsid w:val="00A14A03"/>
    <w:rsid w:val="00A2122C"/>
    <w:rsid w:val="00A22859"/>
    <w:rsid w:val="00A24264"/>
    <w:rsid w:val="00A329B7"/>
    <w:rsid w:val="00A32CD7"/>
    <w:rsid w:val="00A35FCC"/>
    <w:rsid w:val="00A40DED"/>
    <w:rsid w:val="00A41E4E"/>
    <w:rsid w:val="00A4412E"/>
    <w:rsid w:val="00A47353"/>
    <w:rsid w:val="00A62BCA"/>
    <w:rsid w:val="00A6675F"/>
    <w:rsid w:val="00A707E0"/>
    <w:rsid w:val="00A73C38"/>
    <w:rsid w:val="00A77B0C"/>
    <w:rsid w:val="00A83932"/>
    <w:rsid w:val="00A85305"/>
    <w:rsid w:val="00A8686E"/>
    <w:rsid w:val="00A8732A"/>
    <w:rsid w:val="00A91173"/>
    <w:rsid w:val="00A929AC"/>
    <w:rsid w:val="00A970A2"/>
    <w:rsid w:val="00AA34F3"/>
    <w:rsid w:val="00AA3812"/>
    <w:rsid w:val="00AB120A"/>
    <w:rsid w:val="00AB2191"/>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448F7"/>
    <w:rsid w:val="00B635E3"/>
    <w:rsid w:val="00B63FED"/>
    <w:rsid w:val="00B710DA"/>
    <w:rsid w:val="00B72B4F"/>
    <w:rsid w:val="00B75270"/>
    <w:rsid w:val="00B81BA9"/>
    <w:rsid w:val="00B835C0"/>
    <w:rsid w:val="00B8584B"/>
    <w:rsid w:val="00B876AF"/>
    <w:rsid w:val="00B9055C"/>
    <w:rsid w:val="00B9419F"/>
    <w:rsid w:val="00BA353B"/>
    <w:rsid w:val="00BA759E"/>
    <w:rsid w:val="00BB12E9"/>
    <w:rsid w:val="00BB532F"/>
    <w:rsid w:val="00BC162D"/>
    <w:rsid w:val="00BC2FE4"/>
    <w:rsid w:val="00BD4DDA"/>
    <w:rsid w:val="00BE4EAE"/>
    <w:rsid w:val="00BE6E24"/>
    <w:rsid w:val="00BF5DDE"/>
    <w:rsid w:val="00C01CED"/>
    <w:rsid w:val="00C03AFD"/>
    <w:rsid w:val="00C12D69"/>
    <w:rsid w:val="00C15332"/>
    <w:rsid w:val="00C171B1"/>
    <w:rsid w:val="00C23E79"/>
    <w:rsid w:val="00C2457A"/>
    <w:rsid w:val="00C246CB"/>
    <w:rsid w:val="00C271F9"/>
    <w:rsid w:val="00C4447B"/>
    <w:rsid w:val="00C45474"/>
    <w:rsid w:val="00C470CB"/>
    <w:rsid w:val="00C517B6"/>
    <w:rsid w:val="00C520C4"/>
    <w:rsid w:val="00C63F0F"/>
    <w:rsid w:val="00C70636"/>
    <w:rsid w:val="00C70842"/>
    <w:rsid w:val="00C73B63"/>
    <w:rsid w:val="00C740FF"/>
    <w:rsid w:val="00C8578E"/>
    <w:rsid w:val="00C861F7"/>
    <w:rsid w:val="00C86DBA"/>
    <w:rsid w:val="00C87650"/>
    <w:rsid w:val="00CA3DE5"/>
    <w:rsid w:val="00CA76B5"/>
    <w:rsid w:val="00CB418A"/>
    <w:rsid w:val="00CB4DD0"/>
    <w:rsid w:val="00CC12BF"/>
    <w:rsid w:val="00CC76F2"/>
    <w:rsid w:val="00CD323E"/>
    <w:rsid w:val="00CD3EF1"/>
    <w:rsid w:val="00CE105E"/>
    <w:rsid w:val="00CE1E5E"/>
    <w:rsid w:val="00CF0F36"/>
    <w:rsid w:val="00CF2A85"/>
    <w:rsid w:val="00D015F9"/>
    <w:rsid w:val="00D21D88"/>
    <w:rsid w:val="00D312DA"/>
    <w:rsid w:val="00D351CC"/>
    <w:rsid w:val="00D42207"/>
    <w:rsid w:val="00D42D91"/>
    <w:rsid w:val="00D55E55"/>
    <w:rsid w:val="00D6084A"/>
    <w:rsid w:val="00D64165"/>
    <w:rsid w:val="00D663ED"/>
    <w:rsid w:val="00D66BB4"/>
    <w:rsid w:val="00D67A17"/>
    <w:rsid w:val="00D74882"/>
    <w:rsid w:val="00D759EE"/>
    <w:rsid w:val="00D75A0B"/>
    <w:rsid w:val="00D77083"/>
    <w:rsid w:val="00D956AA"/>
    <w:rsid w:val="00DA45C4"/>
    <w:rsid w:val="00DA543F"/>
    <w:rsid w:val="00DA68D9"/>
    <w:rsid w:val="00DC0173"/>
    <w:rsid w:val="00DC11EA"/>
    <w:rsid w:val="00DC4056"/>
    <w:rsid w:val="00DC6FA6"/>
    <w:rsid w:val="00DD3357"/>
    <w:rsid w:val="00DD5E57"/>
    <w:rsid w:val="00DE2472"/>
    <w:rsid w:val="00DE36BC"/>
    <w:rsid w:val="00DE498C"/>
    <w:rsid w:val="00DE58C6"/>
    <w:rsid w:val="00DE6C80"/>
    <w:rsid w:val="00DF1540"/>
    <w:rsid w:val="00DF2209"/>
    <w:rsid w:val="00DF5EB4"/>
    <w:rsid w:val="00E246D9"/>
    <w:rsid w:val="00E25470"/>
    <w:rsid w:val="00E27471"/>
    <w:rsid w:val="00E310E1"/>
    <w:rsid w:val="00E41FF2"/>
    <w:rsid w:val="00E44564"/>
    <w:rsid w:val="00E55704"/>
    <w:rsid w:val="00E565B9"/>
    <w:rsid w:val="00E71DB3"/>
    <w:rsid w:val="00E72D70"/>
    <w:rsid w:val="00E747B4"/>
    <w:rsid w:val="00E80A46"/>
    <w:rsid w:val="00E8335A"/>
    <w:rsid w:val="00E83B02"/>
    <w:rsid w:val="00E85FA0"/>
    <w:rsid w:val="00E87997"/>
    <w:rsid w:val="00E95F38"/>
    <w:rsid w:val="00EA33CB"/>
    <w:rsid w:val="00EA7A67"/>
    <w:rsid w:val="00EB18C3"/>
    <w:rsid w:val="00EB6719"/>
    <w:rsid w:val="00EB7C82"/>
    <w:rsid w:val="00EC0B04"/>
    <w:rsid w:val="00EC4A51"/>
    <w:rsid w:val="00EC5C1D"/>
    <w:rsid w:val="00ED176B"/>
    <w:rsid w:val="00ED358D"/>
    <w:rsid w:val="00ED5CC6"/>
    <w:rsid w:val="00ED7943"/>
    <w:rsid w:val="00EE2CCA"/>
    <w:rsid w:val="00EF159C"/>
    <w:rsid w:val="00F07C69"/>
    <w:rsid w:val="00F15669"/>
    <w:rsid w:val="00F22F9C"/>
    <w:rsid w:val="00F26790"/>
    <w:rsid w:val="00F31B35"/>
    <w:rsid w:val="00F339CD"/>
    <w:rsid w:val="00F33A43"/>
    <w:rsid w:val="00F41650"/>
    <w:rsid w:val="00F43294"/>
    <w:rsid w:val="00F47143"/>
    <w:rsid w:val="00F51B9E"/>
    <w:rsid w:val="00F664F5"/>
    <w:rsid w:val="00F67F40"/>
    <w:rsid w:val="00F83D95"/>
    <w:rsid w:val="00F94BAA"/>
    <w:rsid w:val="00F9569D"/>
    <w:rsid w:val="00FB1B90"/>
    <w:rsid w:val="00FB43E8"/>
    <w:rsid w:val="00FC0DF0"/>
    <w:rsid w:val="00FC306C"/>
    <w:rsid w:val="00FC3C9C"/>
    <w:rsid w:val="00FC6457"/>
    <w:rsid w:val="00FC6ECA"/>
    <w:rsid w:val="00FD3076"/>
    <w:rsid w:val="00FD46BA"/>
    <w:rsid w:val="00FD747A"/>
    <w:rsid w:val="00FE1CBC"/>
    <w:rsid w:val="00FE2E58"/>
    <w:rsid w:val="00FE4DA4"/>
    <w:rsid w:val="00FE5458"/>
    <w:rsid w:val="00FF35CF"/>
    <w:rsid w:val="00FF467A"/>
    <w:rsid w:val="00FF6513"/>
    <w:rsid w:val="014948AA"/>
    <w:rsid w:val="0B8A74A3"/>
    <w:rsid w:val="0F64A077"/>
    <w:rsid w:val="611E8922"/>
    <w:rsid w:val="6C0E62E9"/>
    <w:rsid w:val="6FB3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9818"/>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normaltextrun1">
    <w:name w:val="normaltextrun1"/>
    <w:basedOn w:val="DefaultParagraphFont"/>
    <w:rsid w:val="00421ED6"/>
  </w:style>
  <w:style w:type="paragraph" w:styleId="Revision">
    <w:name w:val="Revision"/>
    <w:hidden/>
    <w:uiPriority w:val="99"/>
    <w:semiHidden/>
    <w:rsid w:val="00A35FCC"/>
    <w:pPr>
      <w:spacing w:after="0" w:line="240" w:lineRule="auto"/>
    </w:pPr>
  </w:style>
  <w:style w:type="paragraph" w:styleId="CommentSubject">
    <w:name w:val="annotation subject"/>
    <w:basedOn w:val="CommentText"/>
    <w:next w:val="CommentText"/>
    <w:link w:val="CommentSubjectChar"/>
    <w:uiPriority w:val="99"/>
    <w:semiHidden/>
    <w:unhideWhenUsed/>
    <w:rsid w:val="00C45474"/>
    <w:rPr>
      <w:b/>
      <w:bCs/>
    </w:rPr>
  </w:style>
  <w:style w:type="character" w:customStyle="1" w:styleId="CommentSubjectChar">
    <w:name w:val="Comment Subject Char"/>
    <w:basedOn w:val="CommentTextChar"/>
    <w:link w:val="CommentSubject"/>
    <w:uiPriority w:val="99"/>
    <w:semiHidden/>
    <w:rsid w:val="00C45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_Flow_SignoffStatus xmlns="61124d02-a506-4a4e-a704-85d172cd7910" xsi:nil="tru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12FD3-E084-4E5E-9318-234086CA3F33}">
  <ds:schemaRefs>
    <ds:schemaRef ds:uri="http://schemas.openxmlformats.org/officeDocument/2006/bibliography"/>
  </ds:schemaRefs>
</ds:datastoreItem>
</file>

<file path=customXml/itemProps2.xml><?xml version="1.0" encoding="utf-8"?>
<ds:datastoreItem xmlns:ds="http://schemas.openxmlformats.org/officeDocument/2006/customXml" ds:itemID="{ACF29A30-B257-40C3-B6C3-17BA04BF8863}">
  <ds:schemaRefs>
    <ds:schemaRef ds:uri="http://schemas.microsoft.com/office/2006/metadata/properties"/>
    <ds:schemaRef ds:uri="http://schemas.microsoft.com/office/infopath/2007/PartnerControls"/>
    <ds:schemaRef ds:uri="bac1863c-06b3-44a4-9f25-8f25fa15185b"/>
    <ds:schemaRef ds:uri="61124d02-a506-4a4e-a704-85d172cd7910"/>
  </ds:schemaRefs>
</ds:datastoreItem>
</file>

<file path=customXml/itemProps3.xml><?xml version="1.0" encoding="utf-8"?>
<ds:datastoreItem xmlns:ds="http://schemas.openxmlformats.org/officeDocument/2006/customXml" ds:itemID="{A4C57E27-EB33-4676-82DB-CBBF796C42F5}">
  <ds:schemaRefs>
    <ds:schemaRef ds:uri="http://schemas.microsoft.com/sharepoint/v3/contenttype/forms"/>
  </ds:schemaRefs>
</ds:datastoreItem>
</file>

<file path=customXml/itemProps4.xml><?xml version="1.0" encoding="utf-8"?>
<ds:datastoreItem xmlns:ds="http://schemas.openxmlformats.org/officeDocument/2006/customXml" ds:itemID="{2B26F818-E713-446A-9B05-D864400EE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23</TotalTime>
  <Pages>9</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Manager Diversity and Inclusion</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Diversity and Inclusion</dc:title>
  <dc:creator>Anbarasu Palanisamy</dc:creator>
  <cp:lastModifiedBy>Yana Suslik</cp:lastModifiedBy>
  <cp:revision>7</cp:revision>
  <dcterms:created xsi:type="dcterms:W3CDTF">2024-10-29T03:28:00Z</dcterms:created>
  <dcterms:modified xsi:type="dcterms:W3CDTF">2024-10-29T03:54:00Z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rdHierarchyBusinessEnablers">
    <vt:lpwstr>112;#Finance: Complementary - Intermediate|4e8290b5-6d26-4576-923a-d3f45bb854da;#113;#Technology: Complementary - Intermediate|fbffaaea-6753-4f68-a87c-4a53183b1f1f;#114;#Procurement and Contract Management: Complementary - Intermediate|510733f5-86d4-4359-996b-8e2ecbdcb63e;#166;#Project Management: Focus - Adept|cae699f5-b808-47cd-85ec-ddd6a72b3805</vt:lpwstr>
  </property>
  <property fmtid="{D5CDD505-2E9C-101B-9397-08002B2CF9AE}" pid="4" name="Order">
    <vt:r8>100</vt:r8>
  </property>
  <property fmtid="{D5CDD505-2E9C-101B-9397-08002B2CF9AE}" pid="5" name="rdHierarchyResults">
    <vt:lpwstr>236;#Deliver Results: Complementary - Adept|a17ec156-261e-4829-9a68-9f5de18a533d;#180;#Plan and Prioritise: Focus - Advanced|86fc6d63-4b76-40c9-9e89-b288440961f3;#199;#Think and Solve Problems: Complementary - Advanced|18fdcc18-ff1d-4da0-a5bb-23636a4af2e5;#233;#Demonstrate Accountability: Complementary - Adept|5e981667-f24f-4b6d-8484-1b53dc48f58a</vt:lpwstr>
  </property>
  <property fmtid="{D5CDD505-2E9C-101B-9397-08002B2CF9AE}" pid="6" name="rdHierarchyRelationships">
    <vt:lpwstr/>
  </property>
  <property fmtid="{D5CDD505-2E9C-101B-9397-08002B2CF9AE}" pid="7" name="rdHierarchyOccupationSpecific">
    <vt:lpwstr>97;#Human Resources|666e1e35-025f-4b1b-afd0-c8f4a426333c</vt:lpwstr>
  </property>
  <property fmtid="{D5CDD505-2E9C-101B-9397-08002B2CF9AE}" pid="8" name="rdHierarchyPersonalAttributes">
    <vt:lpwstr/>
  </property>
  <property fmtid="{D5CDD505-2E9C-101B-9397-08002B2CF9AE}" pid="9" name="rdHierarchyPeopleManagement">
    <vt:lpwstr>160;#Manage and Develop People: Focus - Adept|97b5555d-f9ff-48f3-b68b-85c10f8350f9;#229;#Inspire Direction and Purpose: Complementary - Adept|7f1bcc24-3447-4262-bf4b-c58b89e6949a;#221;#Optimise Business Outcomes: Complementary - Intermediate|0fb8e570-b898-4f3d-bd21-60941b1f5cb7;#161;#Manage Reform and Change: Focus - Adept|2dfe28c6-8b81-413a-b3c7-c68157f7a080</vt:lpwstr>
  </property>
  <property fmtid="{D5CDD505-2E9C-101B-9397-08002B2CF9AE}" pid="10" name="_ExtendedDescription">
    <vt:lpwstr/>
  </property>
</Properties>
</file>