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GillSans Light" w:hAnsi="GillSans Light" w:cs="Arial"/>
          <w:b/>
          <w:bCs/>
          <w:noProof/>
          <w:sz w:val="32"/>
          <w:szCs w:val="32"/>
        </w:rPr>
      </w:pPr>
      <w:r w:rsidRPr="002A0C2C">
        <w:rPr>
          <w:color w:val="000000"/>
          <w:sz w:val="32"/>
          <w:szCs w:val="32"/>
          <w:lang w:val="en-GB"/>
        </w:rPr>
        <w:t>Department of Natural Resources and Environment Tasmania</w:t>
      </w:r>
    </w:p>
    <w:p w14:paraId="28E31F0F" w14:textId="4404A866" w:rsidR="005D5969" w:rsidRPr="002A0C2C" w:rsidRDefault="002A0C2C" w:rsidP="00855A41">
      <w:pPr>
        <w:widowControl w:val="0"/>
        <w:tabs>
          <w:tab w:val="right" w:pos="17987"/>
        </w:tabs>
        <w:suppressAutoHyphens/>
        <w:autoSpaceDE w:val="0"/>
        <w:autoSpaceDN w:val="0"/>
        <w:adjustRightInd w:val="0"/>
        <w:spacing w:after="240" w:line="288" w:lineRule="auto"/>
        <w:textAlignment w:val="baseline"/>
        <w:rPr>
          <w:rFonts w:cs="Arial"/>
          <w:b/>
          <w:bCs/>
          <w:noProof/>
          <w:sz w:val="32"/>
          <w:szCs w:val="32"/>
        </w:rPr>
      </w:pPr>
      <w:r>
        <w:rPr>
          <w:rFonts w:cs="Arial"/>
          <w:b/>
          <w:bCs/>
          <w:noProof/>
          <w:sz w:val="32"/>
          <w:szCs w:val="32"/>
        </w:rPr>
        <w:tab/>
      </w:r>
      <w:r w:rsidR="005D5969" w:rsidRPr="002A0C2C">
        <w:rPr>
          <w:rFonts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077533" w14:paraId="32D4C51B" w14:textId="77777777" w:rsidTr="005830C4">
        <w:tc>
          <w:tcPr>
            <w:tcW w:w="3823" w:type="dxa"/>
          </w:tcPr>
          <w:p w14:paraId="4A0AB1A8" w14:textId="5A82C7F2" w:rsidR="00077533" w:rsidRDefault="00077533" w:rsidP="002A0C2C">
            <w:pPr>
              <w:rPr>
                <w:b/>
                <w:bCs/>
                <w:szCs w:val="24"/>
              </w:rPr>
            </w:pPr>
            <w:r w:rsidRPr="00ED325E">
              <w:rPr>
                <w:b/>
                <w:bCs/>
                <w:szCs w:val="24"/>
              </w:rPr>
              <w:t xml:space="preserve">Position </w:t>
            </w:r>
            <w:r>
              <w:rPr>
                <w:b/>
                <w:bCs/>
                <w:szCs w:val="24"/>
              </w:rPr>
              <w:t>t</w:t>
            </w:r>
            <w:r w:rsidRPr="00ED325E">
              <w:rPr>
                <w:b/>
                <w:bCs/>
                <w:szCs w:val="24"/>
              </w:rPr>
              <w:t>itle</w:t>
            </w:r>
            <w:r w:rsidRPr="00C02A44">
              <w:rPr>
                <w:szCs w:val="24"/>
              </w:rPr>
              <w:tab/>
            </w:r>
          </w:p>
        </w:tc>
        <w:tc>
          <w:tcPr>
            <w:tcW w:w="5237" w:type="dxa"/>
          </w:tcPr>
          <w:p w14:paraId="174E530D" w14:textId="41296B45" w:rsidR="00077533" w:rsidRPr="003E2631" w:rsidRDefault="00711353" w:rsidP="002A0C2C">
            <w:pPr>
              <w:rPr>
                <w:szCs w:val="24"/>
              </w:rPr>
            </w:pPr>
            <w:r w:rsidRPr="00711353">
              <w:rPr>
                <w:szCs w:val="24"/>
              </w:rPr>
              <w:t>Aboriginal Community Engagement Officer</w:t>
            </w:r>
          </w:p>
        </w:tc>
      </w:tr>
      <w:tr w:rsidR="00077533" w14:paraId="357C3FB3" w14:textId="77777777" w:rsidTr="005830C4">
        <w:tc>
          <w:tcPr>
            <w:tcW w:w="3823" w:type="dxa"/>
          </w:tcPr>
          <w:p w14:paraId="279A7D2B" w14:textId="2C51A6E0" w:rsidR="00077533" w:rsidRDefault="00077533" w:rsidP="002A0C2C">
            <w:pPr>
              <w:rPr>
                <w:b/>
                <w:bCs/>
                <w:szCs w:val="24"/>
              </w:rPr>
            </w:pPr>
            <w:r w:rsidRPr="00ED325E">
              <w:rPr>
                <w:rStyle w:val="Heading3Char"/>
                <w:szCs w:val="24"/>
              </w:rPr>
              <w:t>Position number</w:t>
            </w:r>
          </w:p>
        </w:tc>
        <w:tc>
          <w:tcPr>
            <w:tcW w:w="5237" w:type="dxa"/>
          </w:tcPr>
          <w:p w14:paraId="6CC0A4B9" w14:textId="37C8E570" w:rsidR="00077533" w:rsidRPr="00C63346" w:rsidRDefault="00805FF6" w:rsidP="00077533">
            <w:pPr>
              <w:tabs>
                <w:tab w:val="clear" w:pos="2835"/>
                <w:tab w:val="left" w:pos="3261"/>
              </w:tabs>
              <w:rPr>
                <w:szCs w:val="24"/>
              </w:rPr>
            </w:pPr>
            <w:r>
              <w:rPr>
                <w:szCs w:val="24"/>
              </w:rPr>
              <w:t>709812 &amp; 709813</w:t>
            </w:r>
          </w:p>
        </w:tc>
      </w:tr>
      <w:tr w:rsidR="00077533" w14:paraId="5C1271B1" w14:textId="77777777" w:rsidTr="005830C4">
        <w:tc>
          <w:tcPr>
            <w:tcW w:w="3823" w:type="dxa"/>
          </w:tcPr>
          <w:p w14:paraId="7AA47E7B" w14:textId="53115264" w:rsidR="00077533" w:rsidRDefault="00077533" w:rsidP="002A0C2C">
            <w:pPr>
              <w:rPr>
                <w:b/>
                <w:bCs/>
                <w:szCs w:val="24"/>
              </w:rPr>
            </w:pPr>
            <w:r w:rsidRPr="00ED325E">
              <w:rPr>
                <w:rStyle w:val="Heading3Char"/>
                <w:szCs w:val="24"/>
              </w:rPr>
              <w:t>Division/Business Unit/Branch</w:t>
            </w:r>
            <w:r w:rsidRPr="00C02A44">
              <w:rPr>
                <w:rStyle w:val="Heading3Char"/>
                <w:b w:val="0"/>
                <w:bCs/>
                <w:szCs w:val="24"/>
              </w:rPr>
              <w:tab/>
            </w:r>
          </w:p>
        </w:tc>
        <w:tc>
          <w:tcPr>
            <w:tcW w:w="5237" w:type="dxa"/>
          </w:tcPr>
          <w:p w14:paraId="13952754" w14:textId="18607F57" w:rsidR="00077533" w:rsidRPr="003E2631" w:rsidRDefault="00C63346" w:rsidP="00711353">
            <w:pPr>
              <w:jc w:val="both"/>
              <w:rPr>
                <w:szCs w:val="24"/>
              </w:rPr>
            </w:pPr>
            <w:r>
              <w:rPr>
                <w:szCs w:val="24"/>
              </w:rPr>
              <w:t>Parks and Wildlife Service</w:t>
            </w:r>
            <w:r w:rsidR="005A7BF3">
              <w:rPr>
                <w:szCs w:val="24"/>
              </w:rPr>
              <w:t xml:space="preserve"> / </w:t>
            </w:r>
            <w:r w:rsidR="00711353" w:rsidRPr="00711353">
              <w:rPr>
                <w:szCs w:val="24"/>
              </w:rPr>
              <w:t>Landscape Programs</w:t>
            </w:r>
            <w:r w:rsidR="00711353">
              <w:rPr>
                <w:szCs w:val="24"/>
              </w:rPr>
              <w:t xml:space="preserve"> </w:t>
            </w:r>
            <w:r w:rsidR="00711353" w:rsidRPr="00711353">
              <w:rPr>
                <w:szCs w:val="24"/>
              </w:rPr>
              <w:t>/ Caring for Country</w:t>
            </w:r>
          </w:p>
        </w:tc>
      </w:tr>
      <w:tr w:rsidR="00077533" w14:paraId="522C2BA3" w14:textId="77777777" w:rsidTr="005830C4">
        <w:tc>
          <w:tcPr>
            <w:tcW w:w="3823" w:type="dxa"/>
          </w:tcPr>
          <w:p w14:paraId="4AA08BA3" w14:textId="0D1A6478" w:rsidR="00077533" w:rsidRDefault="00077533" w:rsidP="002A0C2C">
            <w:pPr>
              <w:rPr>
                <w:b/>
                <w:bCs/>
                <w:szCs w:val="24"/>
              </w:rPr>
            </w:pPr>
            <w:r>
              <w:rPr>
                <w:rStyle w:val="Heading3Char"/>
                <w:szCs w:val="24"/>
              </w:rPr>
              <w:t>A</w:t>
            </w:r>
            <w:r w:rsidRPr="00ED325E">
              <w:rPr>
                <w:rStyle w:val="Heading3Char"/>
                <w:szCs w:val="24"/>
              </w:rPr>
              <w:t>ward/Agreement</w:t>
            </w:r>
          </w:p>
        </w:tc>
        <w:tc>
          <w:tcPr>
            <w:tcW w:w="5237" w:type="dxa"/>
          </w:tcPr>
          <w:p w14:paraId="0C19BB1E" w14:textId="3F8E56F6" w:rsidR="00077533" w:rsidRDefault="00077533" w:rsidP="002A0C2C">
            <w:pPr>
              <w:rPr>
                <w:b/>
                <w:bCs/>
                <w:szCs w:val="24"/>
              </w:rPr>
            </w:pPr>
            <w:r w:rsidRPr="00ED325E">
              <w:rPr>
                <w:rFonts w:cs="Arial"/>
                <w:szCs w:val="24"/>
              </w:rPr>
              <w:t>Tasmanian State Service Award</w:t>
            </w:r>
          </w:p>
        </w:tc>
      </w:tr>
      <w:tr w:rsidR="00077533" w14:paraId="3113CE41" w14:textId="77777777" w:rsidTr="005830C4">
        <w:tc>
          <w:tcPr>
            <w:tcW w:w="3823" w:type="dxa"/>
          </w:tcPr>
          <w:p w14:paraId="0392FFD5" w14:textId="5F5D4A3F" w:rsidR="00077533" w:rsidRDefault="00077533" w:rsidP="002A0C2C">
            <w:pPr>
              <w:rPr>
                <w:b/>
                <w:bCs/>
                <w:szCs w:val="24"/>
              </w:rPr>
            </w:pPr>
            <w:r w:rsidRPr="00ED325E">
              <w:rPr>
                <w:rStyle w:val="Heading3Char"/>
                <w:szCs w:val="24"/>
              </w:rPr>
              <w:t>Classification</w:t>
            </w:r>
          </w:p>
        </w:tc>
        <w:tc>
          <w:tcPr>
            <w:tcW w:w="5237" w:type="dxa"/>
          </w:tcPr>
          <w:p w14:paraId="396D4C45" w14:textId="7AACF403" w:rsidR="00077533" w:rsidRDefault="00077533" w:rsidP="002A0C2C">
            <w:pPr>
              <w:rPr>
                <w:b/>
                <w:bCs/>
                <w:szCs w:val="24"/>
              </w:rPr>
            </w:pPr>
            <w:r w:rsidRPr="00ED325E">
              <w:rPr>
                <w:szCs w:val="24"/>
              </w:rPr>
              <w:t xml:space="preserve">General Stream, Band </w:t>
            </w:r>
            <w:r w:rsidR="00711353">
              <w:rPr>
                <w:szCs w:val="24"/>
              </w:rPr>
              <w:t>5</w:t>
            </w:r>
          </w:p>
        </w:tc>
      </w:tr>
      <w:tr w:rsidR="00077533" w14:paraId="423B1FC8" w14:textId="77777777" w:rsidTr="005830C4">
        <w:tc>
          <w:tcPr>
            <w:tcW w:w="3823" w:type="dxa"/>
          </w:tcPr>
          <w:p w14:paraId="5FDC6FA0" w14:textId="66907D1D" w:rsidR="00077533" w:rsidRDefault="00077533" w:rsidP="002A0C2C">
            <w:pPr>
              <w:rPr>
                <w:b/>
                <w:bCs/>
                <w:szCs w:val="24"/>
              </w:rPr>
            </w:pPr>
            <w:r>
              <w:rPr>
                <w:rStyle w:val="Heading3Char"/>
                <w:szCs w:val="24"/>
              </w:rPr>
              <w:t>Position Status</w:t>
            </w:r>
          </w:p>
        </w:tc>
        <w:tc>
          <w:tcPr>
            <w:tcW w:w="5237" w:type="dxa"/>
          </w:tcPr>
          <w:p w14:paraId="26B32910" w14:textId="22909DDC" w:rsidR="00077533" w:rsidRPr="00C63346" w:rsidRDefault="00F160E2" w:rsidP="002A0C2C">
            <w:pPr>
              <w:rPr>
                <w:szCs w:val="24"/>
              </w:rPr>
            </w:pPr>
            <w:r>
              <w:rPr>
                <w:szCs w:val="24"/>
              </w:rPr>
              <w:t>Fixed</w:t>
            </w:r>
            <w:r w:rsidR="00065420">
              <w:rPr>
                <w:szCs w:val="24"/>
              </w:rPr>
              <w:t xml:space="preserve"> T</w:t>
            </w:r>
            <w:r>
              <w:rPr>
                <w:szCs w:val="24"/>
              </w:rPr>
              <w:t>erm</w:t>
            </w:r>
          </w:p>
        </w:tc>
      </w:tr>
      <w:tr w:rsidR="00077533" w14:paraId="093C0DB0" w14:textId="77777777" w:rsidTr="005830C4">
        <w:tc>
          <w:tcPr>
            <w:tcW w:w="3823" w:type="dxa"/>
          </w:tcPr>
          <w:p w14:paraId="713F14BE" w14:textId="761E8D29" w:rsidR="00077533" w:rsidRDefault="00077533" w:rsidP="002A0C2C">
            <w:pPr>
              <w:rPr>
                <w:b/>
                <w:bCs/>
                <w:szCs w:val="24"/>
              </w:rPr>
            </w:pPr>
            <w:r w:rsidRPr="00ED325E">
              <w:rPr>
                <w:rStyle w:val="Heading3Char"/>
                <w:szCs w:val="24"/>
              </w:rPr>
              <w:t>Full Time Equivalent (FTE)</w:t>
            </w:r>
            <w:r w:rsidRPr="00ED325E">
              <w:rPr>
                <w:szCs w:val="24"/>
              </w:rPr>
              <w:tab/>
            </w:r>
          </w:p>
        </w:tc>
        <w:tc>
          <w:tcPr>
            <w:tcW w:w="5237" w:type="dxa"/>
          </w:tcPr>
          <w:p w14:paraId="1C0BBC1B" w14:textId="43324412" w:rsidR="00077533" w:rsidRPr="00711353" w:rsidRDefault="00711353" w:rsidP="002A0C2C">
            <w:pPr>
              <w:rPr>
                <w:szCs w:val="24"/>
              </w:rPr>
            </w:pPr>
            <w:r w:rsidRPr="00711353">
              <w:rPr>
                <w:szCs w:val="24"/>
              </w:rPr>
              <w:t>0.5 FTE</w:t>
            </w:r>
          </w:p>
        </w:tc>
      </w:tr>
      <w:tr w:rsidR="00077533" w14:paraId="0FDF8285" w14:textId="77777777" w:rsidTr="005830C4">
        <w:tc>
          <w:tcPr>
            <w:tcW w:w="3823" w:type="dxa"/>
          </w:tcPr>
          <w:p w14:paraId="5FE5BD0D" w14:textId="6616F9D2" w:rsidR="00077533" w:rsidRDefault="00077533" w:rsidP="002A0C2C">
            <w:pPr>
              <w:rPr>
                <w:b/>
                <w:bCs/>
                <w:szCs w:val="24"/>
              </w:rPr>
            </w:pPr>
            <w:r w:rsidRPr="00ED325E">
              <w:rPr>
                <w:rStyle w:val="Heading3Char"/>
                <w:szCs w:val="24"/>
              </w:rPr>
              <w:t>Ordinary hours per week</w:t>
            </w:r>
          </w:p>
        </w:tc>
        <w:tc>
          <w:tcPr>
            <w:tcW w:w="5237" w:type="dxa"/>
          </w:tcPr>
          <w:p w14:paraId="0B928AB2" w14:textId="7630545C" w:rsidR="00077533" w:rsidRPr="00711353" w:rsidRDefault="00E972DC" w:rsidP="002A0C2C">
            <w:pPr>
              <w:rPr>
                <w:szCs w:val="24"/>
              </w:rPr>
            </w:pPr>
            <w:r>
              <w:rPr>
                <w:szCs w:val="24"/>
              </w:rPr>
              <w:t>18.38</w:t>
            </w:r>
            <w:r w:rsidR="00711353" w:rsidRPr="00711353">
              <w:rPr>
                <w:szCs w:val="24"/>
              </w:rPr>
              <w:t xml:space="preserve"> hours </w:t>
            </w:r>
          </w:p>
        </w:tc>
      </w:tr>
      <w:tr w:rsidR="00711353" w14:paraId="4F29054A" w14:textId="77777777" w:rsidTr="005830C4">
        <w:tc>
          <w:tcPr>
            <w:tcW w:w="3823" w:type="dxa"/>
          </w:tcPr>
          <w:p w14:paraId="756B260E" w14:textId="092C443F" w:rsidR="00711353" w:rsidRPr="00ED325E" w:rsidRDefault="00711353" w:rsidP="00711353">
            <w:pPr>
              <w:rPr>
                <w:rStyle w:val="Heading3Char"/>
                <w:szCs w:val="24"/>
              </w:rPr>
            </w:pPr>
            <w:r w:rsidRPr="00ED325E">
              <w:rPr>
                <w:rStyle w:val="Heading3Char"/>
                <w:szCs w:val="24"/>
              </w:rPr>
              <w:t>Location</w:t>
            </w:r>
          </w:p>
        </w:tc>
        <w:tc>
          <w:tcPr>
            <w:tcW w:w="5237" w:type="dxa"/>
          </w:tcPr>
          <w:p w14:paraId="2A9FCA84" w14:textId="27FFB8C7" w:rsidR="00711353" w:rsidRPr="003E2631" w:rsidRDefault="00711353" w:rsidP="00711353">
            <w:pPr>
              <w:rPr>
                <w:szCs w:val="24"/>
              </w:rPr>
            </w:pPr>
            <w:r>
              <w:rPr>
                <w:szCs w:val="24"/>
              </w:rPr>
              <w:t>Hobart and Launceston</w:t>
            </w:r>
            <w:r w:rsidRPr="00711353">
              <w:rPr>
                <w:szCs w:val="24"/>
              </w:rPr>
              <w:t xml:space="preserve"> </w:t>
            </w:r>
          </w:p>
        </w:tc>
      </w:tr>
      <w:tr w:rsidR="00711353" w14:paraId="7A5B2FF4" w14:textId="77777777" w:rsidTr="005830C4">
        <w:tc>
          <w:tcPr>
            <w:tcW w:w="3823" w:type="dxa"/>
          </w:tcPr>
          <w:p w14:paraId="53382AB2" w14:textId="1731A1C0" w:rsidR="00711353" w:rsidRPr="00ED325E" w:rsidRDefault="00711353" w:rsidP="00711353">
            <w:pPr>
              <w:rPr>
                <w:rStyle w:val="Heading3Char"/>
                <w:szCs w:val="24"/>
              </w:rPr>
            </w:pPr>
            <w:r>
              <w:rPr>
                <w:rStyle w:val="Heading3Char"/>
                <w:szCs w:val="24"/>
              </w:rPr>
              <w:t>Reports to</w:t>
            </w:r>
          </w:p>
        </w:tc>
        <w:tc>
          <w:tcPr>
            <w:tcW w:w="5237" w:type="dxa"/>
          </w:tcPr>
          <w:p w14:paraId="2CCAC7AE" w14:textId="5A6A7AD7" w:rsidR="00711353" w:rsidRPr="003E2631" w:rsidRDefault="00711353" w:rsidP="00711353">
            <w:pPr>
              <w:rPr>
                <w:szCs w:val="24"/>
              </w:rPr>
            </w:pPr>
            <w:r w:rsidRPr="00711353">
              <w:rPr>
                <w:szCs w:val="24"/>
              </w:rPr>
              <w:t>Manager, Caring for Country</w:t>
            </w:r>
          </w:p>
        </w:tc>
      </w:tr>
    </w:tbl>
    <w:p w14:paraId="28E31F1B" w14:textId="1B9F4E38" w:rsidR="00CD42F8" w:rsidRPr="00DA5C52" w:rsidRDefault="00CD42F8" w:rsidP="005830C4">
      <w:pPr>
        <w:tabs>
          <w:tab w:val="left" w:pos="2977"/>
          <w:tab w:val="left" w:pos="3686"/>
          <w:tab w:val="left" w:pos="5103"/>
          <w:tab w:val="left" w:pos="5812"/>
          <w:tab w:val="left" w:pos="7088"/>
        </w:tabs>
        <w:spacing w:before="240" w:line="240" w:lineRule="auto"/>
        <w:jc w:val="both"/>
        <w:rPr>
          <w:rFonts w:cs="Arial"/>
          <w:b/>
          <w:sz w:val="28"/>
          <w:szCs w:val="28"/>
        </w:rPr>
      </w:pPr>
      <w:r w:rsidRPr="00DA5C52">
        <w:rPr>
          <w:rFonts w:cs="Arial"/>
          <w:b/>
          <w:sz w:val="28"/>
          <w:szCs w:val="28"/>
        </w:rPr>
        <w:t xml:space="preserve">Position </w:t>
      </w:r>
      <w:r w:rsidR="00AC157D" w:rsidRPr="00DA5C52">
        <w:rPr>
          <w:rFonts w:cs="Arial"/>
          <w:b/>
          <w:sz w:val="28"/>
          <w:szCs w:val="28"/>
        </w:rPr>
        <w:t>Purpose</w:t>
      </w:r>
    </w:p>
    <w:p w14:paraId="0B458862" w14:textId="77777777" w:rsidR="00711353" w:rsidRPr="00711353" w:rsidRDefault="00711353" w:rsidP="00711353">
      <w:pPr>
        <w:tabs>
          <w:tab w:val="left" w:pos="2977"/>
          <w:tab w:val="left" w:pos="3686"/>
          <w:tab w:val="left" w:pos="5103"/>
          <w:tab w:val="left" w:pos="5812"/>
          <w:tab w:val="left" w:pos="7088"/>
        </w:tabs>
        <w:spacing w:before="0" w:line="240" w:lineRule="auto"/>
        <w:jc w:val="both"/>
        <w:rPr>
          <w:rFonts w:eastAsia="Times New Roman" w:cs="Arial"/>
          <w:szCs w:val="24"/>
          <w:lang w:eastAsia="en-AU"/>
        </w:rPr>
      </w:pPr>
      <w:r w:rsidRPr="00711353">
        <w:rPr>
          <w:rFonts w:eastAsia="Times New Roman" w:cs="Arial"/>
          <w:szCs w:val="24"/>
          <w:lang w:eastAsia="en-AU"/>
        </w:rPr>
        <w:t xml:space="preserve">The Aboriginal Working on Country (WoC) Ranger Program is set to transition to a community led model over the coming years. To ensure that the process is co-designed with Tasmanian Aboriginal people, these roles have been developed to help lead engagement and provide opportunities for Tasmanian Aboriginal people to shape the framework that will support the transition of the WoC Program to a community led model. </w:t>
      </w:r>
    </w:p>
    <w:p w14:paraId="2B342A3F" w14:textId="0E7938FD" w:rsidR="00711353" w:rsidRPr="00711353" w:rsidRDefault="00711353" w:rsidP="00711353">
      <w:pPr>
        <w:tabs>
          <w:tab w:val="left" w:pos="2977"/>
          <w:tab w:val="left" w:pos="3686"/>
          <w:tab w:val="left" w:pos="5103"/>
          <w:tab w:val="left" w:pos="5812"/>
          <w:tab w:val="left" w:pos="7088"/>
        </w:tabs>
        <w:spacing w:before="240" w:line="240" w:lineRule="auto"/>
        <w:jc w:val="both"/>
        <w:rPr>
          <w:rFonts w:eastAsia="Times New Roman" w:cs="Arial"/>
          <w:szCs w:val="24"/>
          <w:lang w:eastAsia="en-AU"/>
        </w:rPr>
      </w:pPr>
      <w:r w:rsidRPr="00711353">
        <w:rPr>
          <w:rFonts w:eastAsia="Times New Roman" w:cs="Arial"/>
          <w:szCs w:val="24"/>
          <w:lang w:eastAsia="en-AU"/>
        </w:rPr>
        <w:t xml:space="preserve">The purpose of this role will be to lead the consultation and engagement with Tasmanian Aboriginal people on the transition of the WoC Program to a community led model. </w:t>
      </w:r>
    </w:p>
    <w:p w14:paraId="28E31F1E" w14:textId="7704CA9E" w:rsidR="00CD42F8" w:rsidRDefault="00E2671B" w:rsidP="00711353">
      <w:pPr>
        <w:tabs>
          <w:tab w:val="clear" w:pos="2835"/>
          <w:tab w:val="center" w:pos="4513"/>
        </w:tabs>
        <w:spacing w:before="240" w:line="240" w:lineRule="auto"/>
        <w:jc w:val="both"/>
        <w:rPr>
          <w:rFonts w:cs="Arial"/>
          <w:b/>
          <w:sz w:val="28"/>
          <w:szCs w:val="28"/>
        </w:rPr>
      </w:pPr>
      <w:r w:rsidRPr="00C63346">
        <w:rPr>
          <w:rFonts w:cs="Arial"/>
          <w:b/>
          <w:sz w:val="28"/>
          <w:szCs w:val="28"/>
        </w:rPr>
        <w:t xml:space="preserve">Major </w:t>
      </w:r>
      <w:r w:rsidR="00FE4F02" w:rsidRPr="00C63346">
        <w:rPr>
          <w:rFonts w:cs="Arial"/>
          <w:b/>
          <w:sz w:val="28"/>
          <w:szCs w:val="28"/>
        </w:rPr>
        <w:t>Duties</w:t>
      </w:r>
    </w:p>
    <w:p w14:paraId="5F19692A" w14:textId="77777777"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t>Engaging widely across Tasmanian Aboriginal community groups to help co-design a framework which will shape the transition of the current WoC Program to a community led model.</w:t>
      </w:r>
    </w:p>
    <w:p w14:paraId="6CE4606C" w14:textId="77777777"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t>Working in partnership with Tasmanian Aboriginal community groups to understand current community led Ranger Programs and how the transition of the WoC program may interact with them.</w:t>
      </w:r>
    </w:p>
    <w:p w14:paraId="10540C38" w14:textId="77777777"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t>Identifying, in partnership with Tasmanian Aboriginal community groups, any potential barriers for transitioning the WoC Program to a community led model and helping to develop solutions to address these potential barriers.</w:t>
      </w:r>
    </w:p>
    <w:p w14:paraId="036572ED" w14:textId="77777777"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t>Facilitating workshops and sessions with Tasmanian Aboriginal community groups to help collate feedback and input which will shape the framework for the transition.</w:t>
      </w:r>
    </w:p>
    <w:p w14:paraId="65F69283" w14:textId="77777777"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lastRenderedPageBreak/>
        <w:t>Assisting to create the framework for transition based on the input from Tasmanian Aboriginal people.</w:t>
      </w:r>
    </w:p>
    <w:p w14:paraId="22E74D6D" w14:textId="62A1FB2B" w:rsidR="00711353" w:rsidRPr="00711353" w:rsidRDefault="00711353" w:rsidP="00711353">
      <w:pPr>
        <w:numPr>
          <w:ilvl w:val="0"/>
          <w:numId w:val="5"/>
        </w:numPr>
        <w:tabs>
          <w:tab w:val="clear" w:pos="2835"/>
          <w:tab w:val="left" w:pos="2977"/>
          <w:tab w:val="left" w:pos="3686"/>
          <w:tab w:val="left" w:pos="5103"/>
          <w:tab w:val="left" w:pos="5812"/>
          <w:tab w:val="left" w:pos="7088"/>
        </w:tabs>
        <w:spacing w:before="0" w:line="240" w:lineRule="auto"/>
        <w:jc w:val="both"/>
        <w:rPr>
          <w:szCs w:val="24"/>
        </w:rPr>
      </w:pPr>
      <w:r w:rsidRPr="00711353">
        <w:rPr>
          <w:szCs w:val="24"/>
        </w:rPr>
        <w:t>Helping to improve Departmental understanding of the cultural values and aspirations of Tasmanian Aboriginal people related to working on Country programs and strengthen their ability to communicate more effectively with Tasmanian Aboriginal people.</w:t>
      </w:r>
    </w:p>
    <w:p w14:paraId="28E31F25" w14:textId="78ED6A52" w:rsidR="00CD42F8" w:rsidRPr="00E84AB2" w:rsidRDefault="00855A41" w:rsidP="00711353">
      <w:pPr>
        <w:tabs>
          <w:tab w:val="left" w:pos="567"/>
          <w:tab w:val="left" w:pos="1134"/>
          <w:tab w:val="left" w:pos="2977"/>
          <w:tab w:val="left" w:pos="3686"/>
          <w:tab w:val="left" w:pos="5103"/>
          <w:tab w:val="left" w:pos="5812"/>
          <w:tab w:val="left" w:pos="7088"/>
        </w:tabs>
        <w:spacing w:before="240" w:after="0" w:line="240" w:lineRule="auto"/>
        <w:jc w:val="both"/>
        <w:rPr>
          <w:rFonts w:cs="Arial"/>
          <w:b/>
          <w:sz w:val="28"/>
          <w:szCs w:val="28"/>
        </w:rPr>
      </w:pPr>
      <w:r w:rsidRPr="009D5187">
        <w:rPr>
          <w:rFonts w:cs="Arial"/>
          <w:b/>
          <w:sz w:val="28"/>
          <w:szCs w:val="28"/>
        </w:rPr>
        <w:t xml:space="preserve">Responsibility, </w:t>
      </w:r>
      <w:r w:rsidR="00A04D5D" w:rsidRPr="009D5187">
        <w:rPr>
          <w:rFonts w:cs="Arial"/>
          <w:b/>
          <w:sz w:val="28"/>
          <w:szCs w:val="28"/>
        </w:rPr>
        <w:t xml:space="preserve">Decision </w:t>
      </w:r>
      <w:r w:rsidR="002533F2" w:rsidRPr="009D5187">
        <w:rPr>
          <w:rFonts w:cs="Arial"/>
          <w:b/>
          <w:sz w:val="28"/>
          <w:szCs w:val="28"/>
        </w:rPr>
        <w:t xml:space="preserve">Making and </w:t>
      </w:r>
      <w:r w:rsidR="00A04D5D" w:rsidRPr="009D5187">
        <w:rPr>
          <w:rFonts w:cs="Arial"/>
          <w:b/>
          <w:sz w:val="28"/>
          <w:szCs w:val="28"/>
        </w:rPr>
        <w:t>Direction</w:t>
      </w:r>
    </w:p>
    <w:p w14:paraId="28E31F27" w14:textId="77777777" w:rsidR="00CD42F8" w:rsidRPr="00AC157D" w:rsidRDefault="00CD42F8" w:rsidP="00711353">
      <w:pPr>
        <w:spacing w:before="60" w:line="240" w:lineRule="auto"/>
        <w:jc w:val="both"/>
        <w:rPr>
          <w:rFonts w:cs="Arial"/>
          <w:szCs w:val="24"/>
        </w:rPr>
      </w:pPr>
      <w:r w:rsidRPr="00AC157D">
        <w:rPr>
          <w:rFonts w:cs="Arial"/>
          <w:szCs w:val="24"/>
        </w:rPr>
        <w:t>The occupant of the position is responsible for:</w:t>
      </w:r>
    </w:p>
    <w:p w14:paraId="68C268B1" w14:textId="56E9B766" w:rsidR="00711353" w:rsidRPr="00711353" w:rsidRDefault="00711353" w:rsidP="00711353">
      <w:pPr>
        <w:pStyle w:val="ListParagraph"/>
        <w:numPr>
          <w:ilvl w:val="0"/>
          <w:numId w:val="2"/>
        </w:numPr>
        <w:spacing w:line="240" w:lineRule="auto"/>
        <w:contextualSpacing w:val="0"/>
        <w:jc w:val="both"/>
        <w:rPr>
          <w:rFonts w:cs="Arial"/>
          <w:bCs/>
          <w:color w:val="000000"/>
          <w:szCs w:val="24"/>
        </w:rPr>
      </w:pPr>
      <w:r>
        <w:rPr>
          <w:rFonts w:cs="Arial"/>
          <w:bCs/>
          <w:color w:val="000000"/>
          <w:szCs w:val="24"/>
        </w:rPr>
        <w:t>e</w:t>
      </w:r>
      <w:r w:rsidRPr="00711353">
        <w:rPr>
          <w:rFonts w:cs="Arial"/>
          <w:bCs/>
          <w:color w:val="000000"/>
          <w:szCs w:val="24"/>
        </w:rPr>
        <w:t xml:space="preserve">nsuring expertise is effectively applied to provide program and service delivery outcomes consistent with the operational </w:t>
      </w:r>
      <w:proofErr w:type="gramStart"/>
      <w:r w:rsidRPr="00711353">
        <w:rPr>
          <w:rFonts w:cs="Arial"/>
          <w:bCs/>
          <w:color w:val="000000"/>
          <w:szCs w:val="24"/>
        </w:rPr>
        <w:t>framework;</w:t>
      </w:r>
      <w:proofErr w:type="gramEnd"/>
    </w:p>
    <w:p w14:paraId="0537430B" w14:textId="7362B39F" w:rsidR="00711353" w:rsidRPr="00711353" w:rsidRDefault="00711353" w:rsidP="00711353">
      <w:pPr>
        <w:pStyle w:val="ListParagraph"/>
        <w:numPr>
          <w:ilvl w:val="0"/>
          <w:numId w:val="2"/>
        </w:numPr>
        <w:spacing w:line="240" w:lineRule="auto"/>
        <w:contextualSpacing w:val="0"/>
        <w:jc w:val="both"/>
        <w:rPr>
          <w:rFonts w:cs="Arial"/>
          <w:bCs/>
          <w:color w:val="000000"/>
          <w:szCs w:val="24"/>
        </w:rPr>
      </w:pPr>
      <w:r>
        <w:rPr>
          <w:rFonts w:cs="Arial"/>
          <w:bCs/>
          <w:color w:val="000000"/>
          <w:szCs w:val="24"/>
        </w:rPr>
        <w:t>p</w:t>
      </w:r>
      <w:r w:rsidRPr="00711353">
        <w:rPr>
          <w:rFonts w:cs="Arial"/>
          <w:bCs/>
          <w:color w:val="000000"/>
          <w:szCs w:val="24"/>
        </w:rPr>
        <w:t xml:space="preserve">roviding leadership, </w:t>
      </w:r>
      <w:proofErr w:type="gramStart"/>
      <w:r w:rsidRPr="00711353">
        <w:rPr>
          <w:rFonts w:cs="Arial"/>
          <w:bCs/>
          <w:color w:val="000000"/>
          <w:szCs w:val="24"/>
        </w:rPr>
        <w:t>instruction</w:t>
      </w:r>
      <w:proofErr w:type="gramEnd"/>
      <w:r w:rsidRPr="00711353">
        <w:rPr>
          <w:rFonts w:cs="Arial"/>
          <w:bCs/>
          <w:color w:val="000000"/>
          <w:szCs w:val="24"/>
        </w:rPr>
        <w:t xml:space="preserve"> and guidance to less qualified or experienced associates in the specific discipline or area of expertise; and</w:t>
      </w:r>
    </w:p>
    <w:p w14:paraId="02BF046E" w14:textId="4889BF63" w:rsidR="00685E09" w:rsidRPr="00547D57" w:rsidRDefault="00711353" w:rsidP="00711353">
      <w:pPr>
        <w:pStyle w:val="ListParagraph"/>
        <w:numPr>
          <w:ilvl w:val="0"/>
          <w:numId w:val="2"/>
        </w:numPr>
        <w:spacing w:line="240" w:lineRule="auto"/>
        <w:ind w:left="357" w:hanging="357"/>
        <w:contextualSpacing w:val="0"/>
        <w:jc w:val="both"/>
        <w:rPr>
          <w:rFonts w:cs="Arial"/>
          <w:bCs/>
          <w:color w:val="000000"/>
          <w:szCs w:val="24"/>
        </w:rPr>
      </w:pPr>
      <w:r w:rsidRPr="00A56A66">
        <w:rPr>
          <w:rFonts w:cs="Arial"/>
          <w:bCs/>
          <w:color w:val="000000"/>
          <w:szCs w:val="24"/>
        </w:rPr>
        <w:t>ensuring a</w:t>
      </w:r>
      <w:r w:rsidR="00685E09" w:rsidRPr="00547D57">
        <w:rPr>
          <w:rFonts w:cs="Arial"/>
          <w:bCs/>
          <w:color w:val="000000"/>
          <w:szCs w:val="24"/>
        </w:rPr>
        <w:t xml:space="preserve"> safe working environment by complying with relevant Work Health and Safety (WHS) legislation, codes of practice and policies, procedures and guidelines issued under the Department’s WHS Management System.</w:t>
      </w:r>
    </w:p>
    <w:p w14:paraId="28E31F2C" w14:textId="3D0686A8" w:rsidR="00CD42F8" w:rsidRPr="00613C54" w:rsidRDefault="00CD42F8" w:rsidP="00613C54">
      <w:pPr>
        <w:widowControl w:val="0"/>
        <w:spacing w:before="240" w:after="0" w:line="240" w:lineRule="auto"/>
        <w:jc w:val="both"/>
        <w:rPr>
          <w:color w:val="000000"/>
          <w:szCs w:val="24"/>
        </w:rPr>
      </w:pPr>
      <w:r w:rsidRPr="00613C54">
        <w:rPr>
          <w:color w:val="000000"/>
          <w:szCs w:val="24"/>
        </w:rPr>
        <w:t>The decision making and direction in relation to the role are</w:t>
      </w:r>
      <w:r w:rsidR="00FE4F02" w:rsidRPr="00613C54">
        <w:rPr>
          <w:color w:val="000000"/>
          <w:szCs w:val="24"/>
        </w:rPr>
        <w:t xml:space="preserve"> that</w:t>
      </w:r>
      <w:r w:rsidRPr="00613C54">
        <w:rPr>
          <w:color w:val="000000"/>
          <w:szCs w:val="24"/>
        </w:rPr>
        <w:t>:</w:t>
      </w:r>
    </w:p>
    <w:p w14:paraId="626EAC65" w14:textId="382F7E58" w:rsidR="00711353" w:rsidRPr="00711353" w:rsidRDefault="00711353" w:rsidP="00711353">
      <w:pPr>
        <w:pStyle w:val="ListParagraph"/>
        <w:numPr>
          <w:ilvl w:val="0"/>
          <w:numId w:val="19"/>
        </w:numPr>
        <w:spacing w:line="240" w:lineRule="auto"/>
        <w:ind w:left="357" w:hanging="357"/>
        <w:contextualSpacing w:val="0"/>
        <w:jc w:val="both"/>
        <w:rPr>
          <w:color w:val="000000"/>
          <w:szCs w:val="24"/>
        </w:rPr>
      </w:pPr>
      <w:r>
        <w:rPr>
          <w:color w:val="000000"/>
          <w:szCs w:val="24"/>
        </w:rPr>
        <w:t>w</w:t>
      </w:r>
      <w:r w:rsidRPr="00711353">
        <w:rPr>
          <w:color w:val="000000"/>
          <w:szCs w:val="24"/>
        </w:rPr>
        <w:t>ork is undertaken within established operational guidelines, systems and processes with limited guidance required in applying highly developed expertise</w:t>
      </w:r>
      <w:r>
        <w:rPr>
          <w:color w:val="000000"/>
          <w:szCs w:val="24"/>
        </w:rPr>
        <w:t>; and</w:t>
      </w:r>
    </w:p>
    <w:p w14:paraId="613FAA21" w14:textId="7E3BE168" w:rsidR="00711353" w:rsidRPr="00711353" w:rsidRDefault="00711353" w:rsidP="00711353">
      <w:pPr>
        <w:pStyle w:val="ListParagraph"/>
        <w:numPr>
          <w:ilvl w:val="0"/>
          <w:numId w:val="19"/>
        </w:numPr>
        <w:spacing w:line="240" w:lineRule="auto"/>
        <w:ind w:left="357" w:hanging="357"/>
        <w:contextualSpacing w:val="0"/>
        <w:jc w:val="both"/>
        <w:rPr>
          <w:color w:val="000000"/>
          <w:szCs w:val="24"/>
        </w:rPr>
      </w:pPr>
      <w:r>
        <w:rPr>
          <w:color w:val="000000"/>
          <w:szCs w:val="24"/>
        </w:rPr>
        <w:t>t</w:t>
      </w:r>
      <w:r w:rsidRPr="00711353">
        <w:rPr>
          <w:color w:val="000000"/>
          <w:szCs w:val="24"/>
        </w:rPr>
        <w: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28E31F30" w14:textId="07CED871" w:rsidR="00CD42F8"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cs="Arial"/>
          <w:b/>
          <w:sz w:val="28"/>
          <w:szCs w:val="28"/>
        </w:rPr>
      </w:pPr>
      <w:r w:rsidRPr="00DA5C52">
        <w:rPr>
          <w:rFonts w:cs="Arial"/>
          <w:b/>
          <w:sz w:val="28"/>
          <w:szCs w:val="28"/>
        </w:rPr>
        <w:t>Knowledge</w:t>
      </w:r>
      <w:r w:rsidR="00B2568D">
        <w:rPr>
          <w:rFonts w:cs="Arial"/>
          <w:b/>
          <w:sz w:val="28"/>
          <w:szCs w:val="28"/>
        </w:rPr>
        <w:t xml:space="preserve">, </w:t>
      </w:r>
      <w:proofErr w:type="gramStart"/>
      <w:r w:rsidR="00B2568D">
        <w:rPr>
          <w:rFonts w:cs="Arial"/>
          <w:b/>
          <w:sz w:val="28"/>
          <w:szCs w:val="28"/>
        </w:rPr>
        <w:t>Skills</w:t>
      </w:r>
      <w:proofErr w:type="gramEnd"/>
      <w:r w:rsidR="00B2568D">
        <w:rPr>
          <w:rFonts w:cs="Arial"/>
          <w:b/>
          <w:sz w:val="28"/>
          <w:szCs w:val="28"/>
        </w:rPr>
        <w:t xml:space="preserve"> and </w:t>
      </w:r>
      <w:r w:rsidRPr="00DA5C52">
        <w:rPr>
          <w:rFonts w:cs="Arial"/>
          <w:b/>
          <w:sz w:val="28"/>
          <w:szCs w:val="28"/>
        </w:rPr>
        <w:t>Experience</w:t>
      </w:r>
      <w:r w:rsidR="003A6246">
        <w:rPr>
          <w:rFonts w:cs="Arial"/>
          <w:b/>
          <w:sz w:val="28"/>
          <w:szCs w:val="28"/>
        </w:rPr>
        <w:t xml:space="preserve"> (Selection Criteria</w:t>
      </w:r>
      <w:r w:rsidR="00B2568D">
        <w:rPr>
          <w:rFonts w:cs="Arial"/>
          <w:b/>
          <w:sz w:val="28"/>
          <w:szCs w:val="28"/>
        </w:rPr>
        <w:t>)</w:t>
      </w:r>
    </w:p>
    <w:p w14:paraId="2690A970" w14:textId="77777777"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Demonstrated experience in liaising, engaging, and working with Tasmanian Aboriginal people and culture, including a sound understanding of community protocols and cultural practices.</w:t>
      </w:r>
    </w:p>
    <w:p w14:paraId="16C0EDC1" w14:textId="77777777"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Prior experience in facilitating engagement sessions with stakeholders and providing feedback from those sessions.</w:t>
      </w:r>
    </w:p>
    <w:p w14:paraId="026DC435" w14:textId="77777777"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 xml:space="preserve">The ability to work independently and contribute as a member of a team with proven ability to exercise initiative, </w:t>
      </w:r>
      <w:proofErr w:type="gramStart"/>
      <w:r w:rsidRPr="00711353">
        <w:rPr>
          <w:szCs w:val="24"/>
        </w:rPr>
        <w:t>flexibility</w:t>
      </w:r>
      <w:proofErr w:type="gramEnd"/>
      <w:r w:rsidRPr="00711353">
        <w:rPr>
          <w:szCs w:val="24"/>
        </w:rPr>
        <w:t xml:space="preserve"> and creativity to address challenges.</w:t>
      </w:r>
    </w:p>
    <w:p w14:paraId="480CD67B" w14:textId="5A43414D"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Good communication and interpersonal skills which demonstrate an ability to provide clear spoken and written advice, reports and/or recommendations that are understood by others.</w:t>
      </w:r>
    </w:p>
    <w:p w14:paraId="2F8D137D" w14:textId="77777777"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 xml:space="preserve">Proven ability to make informed decisions, recommendations or propose alternative methods of approach to provide solutions for programs, </w:t>
      </w:r>
      <w:proofErr w:type="gramStart"/>
      <w:r w:rsidRPr="00711353">
        <w:rPr>
          <w:szCs w:val="24"/>
        </w:rPr>
        <w:t>projects</w:t>
      </w:r>
      <w:proofErr w:type="gramEnd"/>
      <w:r w:rsidRPr="00711353">
        <w:rPr>
          <w:szCs w:val="24"/>
        </w:rPr>
        <w:t xml:space="preserve"> or services.</w:t>
      </w:r>
    </w:p>
    <w:p w14:paraId="523174FB" w14:textId="77777777" w:rsidR="00711353" w:rsidRPr="00711353" w:rsidRDefault="00711353" w:rsidP="00711353">
      <w:pPr>
        <w:pStyle w:val="ListParagraph"/>
        <w:numPr>
          <w:ilvl w:val="0"/>
          <w:numId w:val="20"/>
        </w:numPr>
        <w:spacing w:line="240" w:lineRule="auto"/>
        <w:contextualSpacing w:val="0"/>
        <w:jc w:val="both"/>
        <w:rPr>
          <w:szCs w:val="24"/>
        </w:rPr>
      </w:pPr>
      <w:r w:rsidRPr="00711353">
        <w:rPr>
          <w:szCs w:val="24"/>
        </w:rPr>
        <w:t>Well-developed organisational skills with a proven capacity to work independently, determine priorities and deal with competing demands.</w:t>
      </w:r>
    </w:p>
    <w:p w14:paraId="5F56CA8A" w14:textId="77777777" w:rsidR="00711353" w:rsidRDefault="00711353" w:rsidP="00C63346">
      <w:pPr>
        <w:spacing w:before="240" w:line="240" w:lineRule="auto"/>
        <w:jc w:val="both"/>
        <w:rPr>
          <w:rFonts w:cs="Arial"/>
          <w:b/>
          <w:sz w:val="28"/>
          <w:szCs w:val="28"/>
        </w:rPr>
      </w:pPr>
      <w:r>
        <w:rPr>
          <w:rFonts w:cs="Arial"/>
          <w:b/>
          <w:sz w:val="28"/>
          <w:szCs w:val="28"/>
        </w:rPr>
        <w:br w:type="page"/>
      </w:r>
    </w:p>
    <w:p w14:paraId="125D251B" w14:textId="45B22C35" w:rsidR="00B2568D" w:rsidRDefault="00B2568D" w:rsidP="00C63346">
      <w:pPr>
        <w:spacing w:before="240" w:line="240" w:lineRule="auto"/>
        <w:jc w:val="both"/>
        <w:rPr>
          <w:rFonts w:cs="Arial"/>
          <w:b/>
          <w:sz w:val="28"/>
          <w:szCs w:val="28"/>
        </w:rPr>
      </w:pPr>
      <w:r>
        <w:rPr>
          <w:rFonts w:cs="Arial"/>
          <w:b/>
          <w:sz w:val="28"/>
          <w:szCs w:val="28"/>
        </w:rPr>
        <w:lastRenderedPageBreak/>
        <w:t>Position Requirements</w:t>
      </w:r>
    </w:p>
    <w:p w14:paraId="670942F7" w14:textId="1BC7885B" w:rsidR="00711353" w:rsidRDefault="00711353" w:rsidP="00711353">
      <w:pPr>
        <w:pStyle w:val="Headinglevel2"/>
        <w:spacing w:before="0" w:line="240" w:lineRule="auto"/>
        <w:jc w:val="both"/>
        <w:rPr>
          <w:rFonts w:ascii="Gill Sans MT" w:hAnsi="Gill Sans MT" w:cs="Arial"/>
          <w:color w:val="auto"/>
          <w:sz w:val="24"/>
        </w:rPr>
      </w:pPr>
      <w:r>
        <w:rPr>
          <w:rFonts w:ascii="Gill Sans MT" w:hAnsi="Gill Sans MT" w:cs="Arial"/>
          <w:color w:val="auto"/>
          <w:sz w:val="24"/>
        </w:rPr>
        <w:t>Essential</w:t>
      </w:r>
      <w:r w:rsidRPr="00B2568D">
        <w:rPr>
          <w:rFonts w:ascii="Gill Sans MT" w:hAnsi="Gill Sans MT" w:cs="Arial"/>
          <w:color w:val="auto"/>
          <w:sz w:val="24"/>
        </w:rPr>
        <w:t xml:space="preserve"> Requirements</w:t>
      </w:r>
    </w:p>
    <w:p w14:paraId="472A3916" w14:textId="416512BE" w:rsidR="00711353" w:rsidRPr="00711353" w:rsidRDefault="00711353" w:rsidP="00711353">
      <w:pPr>
        <w:pStyle w:val="ListParagraph"/>
        <w:numPr>
          <w:ilvl w:val="0"/>
          <w:numId w:val="11"/>
        </w:numPr>
        <w:spacing w:before="0" w:line="240" w:lineRule="auto"/>
        <w:jc w:val="both"/>
        <w:rPr>
          <w:rFonts w:cs="Arial"/>
          <w:szCs w:val="24"/>
        </w:rPr>
      </w:pPr>
      <w:r w:rsidRPr="00711353">
        <w:rPr>
          <w:rFonts w:cs="Arial"/>
          <w:szCs w:val="24"/>
        </w:rPr>
        <w:t xml:space="preserve">Aboriginality. The Head of the State Service has determined that this is an Aboriginal identified position and that it will be filled in accordance with the provisions of Employment Direction No. 10: Aboriginal and Torres Strait Islander Employment in the State Service. </w:t>
      </w:r>
    </w:p>
    <w:p w14:paraId="28E31F3E" w14:textId="77777777" w:rsidR="00CD42F8" w:rsidRPr="00B2568D" w:rsidRDefault="00CD42F8" w:rsidP="00711353">
      <w:pPr>
        <w:pStyle w:val="Headinglevel2"/>
        <w:spacing w:before="0" w:line="240" w:lineRule="auto"/>
        <w:jc w:val="both"/>
        <w:rPr>
          <w:rFonts w:ascii="Gill Sans MT" w:hAnsi="Gill Sans MT" w:cs="Arial"/>
          <w:color w:val="auto"/>
          <w:sz w:val="24"/>
        </w:rPr>
      </w:pPr>
      <w:r w:rsidRPr="00B2568D">
        <w:rPr>
          <w:rFonts w:ascii="Gill Sans MT" w:hAnsi="Gill Sans MT" w:cs="Arial"/>
          <w:color w:val="auto"/>
          <w:sz w:val="24"/>
        </w:rPr>
        <w:t>Desirable Qualifications and Requirements</w:t>
      </w:r>
    </w:p>
    <w:p w14:paraId="7AD6AC38" w14:textId="6E033AD6" w:rsidR="00C63346" w:rsidRPr="00780D8F" w:rsidRDefault="00C63346" w:rsidP="00E84AB2">
      <w:pPr>
        <w:pStyle w:val="ListParagraph"/>
        <w:numPr>
          <w:ilvl w:val="0"/>
          <w:numId w:val="11"/>
        </w:numPr>
        <w:spacing w:before="0" w:line="240" w:lineRule="auto"/>
        <w:jc w:val="both"/>
        <w:rPr>
          <w:rFonts w:cs="Arial"/>
          <w:szCs w:val="24"/>
        </w:rPr>
      </w:pPr>
      <w:r w:rsidRPr="00780D8F">
        <w:rPr>
          <w:rFonts w:cs="Arial"/>
          <w:szCs w:val="24"/>
        </w:rPr>
        <w:t>A current motor vehicle driver licence.</w:t>
      </w:r>
    </w:p>
    <w:p w14:paraId="34C54C6E" w14:textId="77777777" w:rsidR="00E84AB2" w:rsidRPr="00E84AB2" w:rsidRDefault="00E84AB2" w:rsidP="00A12351">
      <w:pPr>
        <w:spacing w:line="240" w:lineRule="auto"/>
        <w:jc w:val="both"/>
        <w:rPr>
          <w:b/>
          <w:sz w:val="2"/>
          <w:szCs w:val="2"/>
        </w:rPr>
      </w:pPr>
    </w:p>
    <w:p w14:paraId="281F7E7E" w14:textId="59F20561" w:rsidR="008B0AF3" w:rsidRDefault="00B2568D" w:rsidP="00A12351">
      <w:pPr>
        <w:spacing w:line="240" w:lineRule="auto"/>
        <w:jc w:val="both"/>
        <w:rPr>
          <w:b/>
          <w:sz w:val="28"/>
          <w:szCs w:val="28"/>
        </w:rPr>
      </w:pPr>
      <w:r w:rsidRPr="00B2568D">
        <w:rPr>
          <w:b/>
          <w:sz w:val="28"/>
          <w:szCs w:val="28"/>
        </w:rPr>
        <w:t>About Us</w:t>
      </w:r>
      <w:r w:rsidR="008B0AF3" w:rsidRPr="00B2568D">
        <w:rPr>
          <w:b/>
          <w:sz w:val="28"/>
          <w:szCs w:val="28"/>
        </w:rPr>
        <w:t xml:space="preserve"> </w:t>
      </w:r>
    </w:p>
    <w:p w14:paraId="5E868139" w14:textId="77777777" w:rsidR="00482081" w:rsidRPr="00AC157D" w:rsidRDefault="00482081" w:rsidP="00482081">
      <w:pPr>
        <w:spacing w:line="240" w:lineRule="auto"/>
        <w:jc w:val="both"/>
        <w:rPr>
          <w:rFonts w:cs="Arial"/>
          <w:color w:val="000000"/>
          <w:szCs w:val="24"/>
        </w:rPr>
      </w:pPr>
      <w:r w:rsidRPr="00AC157D">
        <w:rPr>
          <w:rFonts w:cs="Arial"/>
          <w:b/>
          <w:color w:val="000000"/>
          <w:szCs w:val="24"/>
        </w:rPr>
        <w:t>The Department of Natural Resources and Environment Tasmania (NRE Tas)</w:t>
      </w:r>
      <w:r w:rsidRPr="00AC157D">
        <w:rPr>
          <w:rFonts w:cs="Arial"/>
          <w:color w:val="000000"/>
          <w:szCs w:val="24"/>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691853C0" w14:textId="77777777" w:rsidR="00482081" w:rsidRPr="00AC157D" w:rsidRDefault="00482081" w:rsidP="00482081">
      <w:pPr>
        <w:autoSpaceDE w:val="0"/>
        <w:autoSpaceDN w:val="0"/>
        <w:adjustRightInd w:val="0"/>
        <w:spacing w:after="240" w:line="240" w:lineRule="auto"/>
        <w:jc w:val="both"/>
        <w:rPr>
          <w:rFonts w:cs="Arial"/>
          <w:color w:val="000000"/>
          <w:szCs w:val="24"/>
        </w:rPr>
      </w:pPr>
      <w:r w:rsidRPr="00AC157D">
        <w:rPr>
          <w:rFonts w:cs="Arial"/>
          <w:color w:val="000000"/>
          <w:szCs w:val="24"/>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w:t>
      </w:r>
      <w:r>
        <w:rPr>
          <w:rFonts w:cs="Arial"/>
          <w:color w:val="000000"/>
          <w:szCs w:val="24"/>
        </w:rPr>
        <w:t xml:space="preserve">and </w:t>
      </w:r>
      <w:r w:rsidRPr="00AC157D">
        <w:rPr>
          <w:rFonts w:cs="Arial"/>
          <w:color w:val="000000"/>
          <w:szCs w:val="24"/>
        </w:rPr>
        <w:t xml:space="preserve">sea inundation from storm surge.  </w:t>
      </w:r>
      <w:proofErr w:type="gramStart"/>
      <w:r w:rsidRPr="00AC157D">
        <w:rPr>
          <w:rFonts w:cs="Arial"/>
          <w:color w:val="000000"/>
          <w:szCs w:val="24"/>
        </w:rPr>
        <w:t>In regard to</w:t>
      </w:r>
      <w:proofErr w:type="gramEnd"/>
      <w:r w:rsidRPr="00AC157D">
        <w:rPr>
          <w:rFonts w:cs="Arial"/>
          <w:color w:val="000000"/>
          <w:szCs w:val="24"/>
        </w:rPr>
        <w:t xml:space="preserve"> those types of emergency prevention, preparedness and response activities are core business of this agency and potentially may involve all staff in some way.</w:t>
      </w:r>
    </w:p>
    <w:p w14:paraId="5A090699" w14:textId="77777777" w:rsidR="005A7BF3" w:rsidRDefault="00482081" w:rsidP="005A7BF3">
      <w:pPr>
        <w:spacing w:line="240" w:lineRule="auto"/>
        <w:jc w:val="both"/>
        <w:rPr>
          <w:rFonts w:cs="Arial"/>
          <w:color w:val="000000"/>
          <w:szCs w:val="24"/>
        </w:rPr>
      </w:pPr>
      <w:r w:rsidRPr="00AC157D">
        <w:rPr>
          <w:rFonts w:cs="Arial"/>
          <w:color w:val="000000"/>
          <w:szCs w:val="24"/>
        </w:rPr>
        <w:t xml:space="preserve">The Department’s website at </w:t>
      </w:r>
      <w:hyperlink r:id="rId11" w:history="1">
        <w:r w:rsidRPr="00AC157D">
          <w:rPr>
            <w:rStyle w:val="Hyperlink"/>
            <w:rFonts w:cs="Arial"/>
            <w:szCs w:val="24"/>
          </w:rPr>
          <w:t>www.nre.tas.gov.au</w:t>
        </w:r>
      </w:hyperlink>
      <w:r w:rsidRPr="00AC157D">
        <w:rPr>
          <w:rFonts w:cs="Arial"/>
          <w:color w:val="000000"/>
          <w:szCs w:val="24"/>
        </w:rPr>
        <w:t xml:space="preserve"> provides more information.</w:t>
      </w:r>
    </w:p>
    <w:p w14:paraId="4EA7E96D" w14:textId="77777777" w:rsidR="005A7BF3" w:rsidRPr="00E84AB2" w:rsidRDefault="005A7BF3" w:rsidP="005A7BF3">
      <w:pPr>
        <w:spacing w:line="240" w:lineRule="auto"/>
        <w:jc w:val="both"/>
        <w:rPr>
          <w:rFonts w:cs="Arial"/>
          <w:b/>
          <w:sz w:val="2"/>
          <w:szCs w:val="2"/>
        </w:rPr>
      </w:pPr>
    </w:p>
    <w:p w14:paraId="4611EBA9" w14:textId="1E5C1BEC" w:rsidR="005A7BF3" w:rsidRDefault="00DD1205" w:rsidP="005A7BF3">
      <w:pPr>
        <w:spacing w:line="240" w:lineRule="auto"/>
        <w:jc w:val="both"/>
        <w:rPr>
          <w:rFonts w:cs="Arial"/>
          <w:b/>
          <w:sz w:val="28"/>
        </w:rPr>
      </w:pPr>
      <w:r w:rsidRPr="00B2568D">
        <w:rPr>
          <w:rFonts w:cs="Arial"/>
          <w:b/>
          <w:sz w:val="28"/>
        </w:rPr>
        <w:t>Working Environment</w:t>
      </w:r>
      <w:bookmarkStart w:id="0" w:name="OLE_LINK1"/>
    </w:p>
    <w:p w14:paraId="411F1356" w14:textId="77777777" w:rsidR="005A7BF3" w:rsidRDefault="00DD1205" w:rsidP="005A7BF3">
      <w:pPr>
        <w:spacing w:line="240" w:lineRule="auto"/>
        <w:jc w:val="both"/>
        <w:rPr>
          <w:rFonts w:cs="Arial"/>
          <w:szCs w:val="24"/>
          <w:lang w:val="en-GB"/>
        </w:rPr>
      </w:pPr>
      <w:r w:rsidRPr="00AC157D">
        <w:rPr>
          <w:rFonts w:cs="Arial"/>
          <w:szCs w:val="24"/>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56987754" w14:textId="77777777" w:rsidR="005A7BF3" w:rsidRDefault="00104441" w:rsidP="005A7BF3">
      <w:pPr>
        <w:spacing w:line="240" w:lineRule="auto"/>
        <w:jc w:val="both"/>
        <w:rPr>
          <w:rFonts w:eastAsia="Times New Roman"/>
          <w:szCs w:val="24"/>
        </w:rPr>
      </w:pPr>
      <w:r w:rsidRPr="00AC157D">
        <w:rPr>
          <w:rFonts w:eastAsia="Times New Roman"/>
          <w:szCs w:val="24"/>
        </w:rPr>
        <w:t>NRE Tas</w:t>
      </w:r>
      <w:r w:rsidR="004707E8" w:rsidRPr="00AC157D">
        <w:rPr>
          <w:rFonts w:eastAsia="Calibri" w:cs="Arial"/>
          <w:color w:val="000000"/>
          <w:szCs w:val="24"/>
        </w:rPr>
        <w:t xml:space="preserve"> </w:t>
      </w:r>
      <w:r w:rsidR="00FE4F02" w:rsidRPr="00AC157D">
        <w:rPr>
          <w:rFonts w:eastAsia="Times New Roman"/>
          <w:szCs w:val="24"/>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51126BAD" w14:textId="77777777" w:rsidR="005A7BF3" w:rsidRDefault="00DD1205" w:rsidP="005A7BF3">
      <w:pPr>
        <w:spacing w:line="240" w:lineRule="auto"/>
        <w:jc w:val="both"/>
        <w:rPr>
          <w:rFonts w:eastAsia="Calibri" w:cs="Arial"/>
          <w:color w:val="000000"/>
          <w:szCs w:val="24"/>
        </w:rPr>
      </w:pPr>
      <w:r w:rsidRPr="00AC157D">
        <w:rPr>
          <w:rFonts w:eastAsia="Calibri" w:cs="Arial"/>
          <w:color w:val="000000"/>
          <w:szCs w:val="24"/>
        </w:rPr>
        <w:t xml:space="preserve">There is a strong emphasis on building leadership capacity throughout </w:t>
      </w:r>
      <w:r w:rsidR="00104441" w:rsidRPr="00AC157D">
        <w:rPr>
          <w:rFonts w:eastAsia="Calibri" w:cs="Arial"/>
          <w:color w:val="000000"/>
          <w:szCs w:val="24"/>
        </w:rPr>
        <w:t>NRE Tas</w:t>
      </w:r>
      <w:r w:rsidRPr="00AC157D">
        <w:rPr>
          <w:rFonts w:eastAsia="Calibri" w:cs="Arial"/>
          <w:color w:val="000000"/>
          <w:szCs w:val="24"/>
        </w:rPr>
        <w:t>.</w:t>
      </w:r>
    </w:p>
    <w:p w14:paraId="09B608AB" w14:textId="3205CC29" w:rsidR="004B1298" w:rsidRPr="00711353" w:rsidRDefault="00DD1205" w:rsidP="00711353">
      <w:pPr>
        <w:spacing w:line="240" w:lineRule="auto"/>
        <w:jc w:val="both"/>
        <w:rPr>
          <w:rFonts w:cs="Arial"/>
          <w:color w:val="000000"/>
          <w:szCs w:val="24"/>
        </w:rPr>
      </w:pPr>
      <w:r w:rsidRPr="00AC157D">
        <w:rPr>
          <w:rFonts w:cs="Arial"/>
          <w:szCs w:val="24"/>
          <w:lang w:val="en-GB"/>
        </w:rPr>
        <w:t xml:space="preserve">The expected behaviours and performance of the Department’s employees and managers are enshrined in the </w:t>
      </w:r>
      <w:r w:rsidRPr="00AC157D">
        <w:rPr>
          <w:rFonts w:cs="Arial"/>
          <w:i/>
          <w:szCs w:val="24"/>
          <w:lang w:val="en-GB"/>
        </w:rPr>
        <w:t>State Service Act 2000</w:t>
      </w:r>
      <w:r w:rsidRPr="00AC157D">
        <w:rPr>
          <w:rFonts w:cs="Arial"/>
          <w:szCs w:val="24"/>
          <w:lang w:val="en-GB"/>
        </w:rPr>
        <w:t xml:space="preserve"> through the State Service Principles and Code of Conduct. These can be located at </w:t>
      </w:r>
      <w:hyperlink r:id="rId12" w:history="1">
        <w:r w:rsidRPr="00AC157D">
          <w:rPr>
            <w:rStyle w:val="Hyperlink"/>
            <w:rFonts w:cs="Arial"/>
            <w:szCs w:val="24"/>
          </w:rPr>
          <w:t>www.dpac.tas.gov.au/divisions/ssmo</w:t>
        </w:r>
      </w:hyperlink>
      <w:r w:rsidRPr="00AC157D">
        <w:rPr>
          <w:rFonts w:cs="Arial"/>
          <w:szCs w:val="24"/>
        </w:rPr>
        <w:t>.</w:t>
      </w:r>
      <w:bookmarkEnd w:id="0"/>
    </w:p>
    <w:sectPr w:rsidR="004B1298" w:rsidRPr="00711353"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DBC80" w14:textId="77777777" w:rsidR="00B95DDD" w:rsidRDefault="00B95DDD" w:rsidP="00BC49A5">
      <w:r>
        <w:separator/>
      </w:r>
    </w:p>
  </w:endnote>
  <w:endnote w:type="continuationSeparator" w:id="0">
    <w:p w14:paraId="2134962C" w14:textId="77777777" w:rsidR="00B95DDD" w:rsidRDefault="00B95DDD"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6FA49"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71FF4ABB" w:rsidR="007F65DC" w:rsidRPr="007F65DC" w:rsidRDefault="007F65DC" w:rsidP="00E42668">
    <w:pPr>
      <w:pStyle w:val="Footer"/>
      <w:rPr>
        <w:sz w:val="18"/>
        <w:szCs w:val="18"/>
      </w:rPr>
    </w:pPr>
    <w:r w:rsidRPr="007F65DC">
      <w:rPr>
        <w:sz w:val="18"/>
        <w:szCs w:val="18"/>
      </w:rPr>
      <w:t>Revision Date</w:t>
    </w:r>
    <w:r w:rsidR="00DF0CB0">
      <w:rPr>
        <w:sz w:val="18"/>
        <w:szCs w:val="18"/>
      </w:rPr>
      <w:t xml:space="preserve">: </w:t>
    </w:r>
    <w:r w:rsidR="00E84AB2">
      <w:rPr>
        <w:sz w:val="18"/>
        <w:szCs w:val="18"/>
      </w:rPr>
      <w:t>12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ACBD" w14:textId="77777777" w:rsidR="00B95DDD" w:rsidRDefault="00B95DDD" w:rsidP="00BC49A5">
      <w:r>
        <w:separator/>
      </w:r>
    </w:p>
  </w:footnote>
  <w:footnote w:type="continuationSeparator" w:id="0">
    <w:p w14:paraId="7EFCF898" w14:textId="77777777" w:rsidR="00B95DDD" w:rsidRDefault="00B95DDD"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474"/>
    <w:multiLevelType w:val="hybridMultilevel"/>
    <w:tmpl w:val="0448A22A"/>
    <w:lvl w:ilvl="0" w:tplc="92A423E8">
      <w:start w:val="1"/>
      <w:numFmt w:val="decimal"/>
      <w:lvlText w:val="%1."/>
      <w:lvlJc w:val="left"/>
      <w:pPr>
        <w:ind w:left="340" w:hanging="34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EFA30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C63EAE"/>
    <w:multiLevelType w:val="multilevel"/>
    <w:tmpl w:val="995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4536C"/>
    <w:multiLevelType w:val="hybridMultilevel"/>
    <w:tmpl w:val="5C7E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950290"/>
    <w:multiLevelType w:val="hybridMultilevel"/>
    <w:tmpl w:val="07A6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A15323"/>
    <w:multiLevelType w:val="hybridMultilevel"/>
    <w:tmpl w:val="6A60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9E5BD4"/>
    <w:multiLevelType w:val="hybridMultilevel"/>
    <w:tmpl w:val="0AFA5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770527">
    <w:abstractNumId w:val="21"/>
  </w:num>
  <w:num w:numId="2" w16cid:durableId="255872934">
    <w:abstractNumId w:val="11"/>
  </w:num>
  <w:num w:numId="3" w16cid:durableId="1764253691">
    <w:abstractNumId w:val="16"/>
  </w:num>
  <w:num w:numId="4" w16cid:durableId="1585648422">
    <w:abstractNumId w:val="6"/>
  </w:num>
  <w:num w:numId="5" w16cid:durableId="867524433">
    <w:abstractNumId w:val="10"/>
  </w:num>
  <w:num w:numId="6" w16cid:durableId="1960724802">
    <w:abstractNumId w:val="14"/>
  </w:num>
  <w:num w:numId="7" w16cid:durableId="9334560">
    <w:abstractNumId w:val="5"/>
  </w:num>
  <w:num w:numId="8" w16cid:durableId="1051999303">
    <w:abstractNumId w:val="15"/>
  </w:num>
  <w:num w:numId="9" w16cid:durableId="21436915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497393">
    <w:abstractNumId w:val="7"/>
  </w:num>
  <w:num w:numId="11" w16cid:durableId="515582795">
    <w:abstractNumId w:val="19"/>
  </w:num>
  <w:num w:numId="12" w16cid:durableId="969097095">
    <w:abstractNumId w:val="8"/>
  </w:num>
  <w:num w:numId="13" w16cid:durableId="2130581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9748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033976">
    <w:abstractNumId w:val="1"/>
  </w:num>
  <w:num w:numId="16" w16cid:durableId="27609879">
    <w:abstractNumId w:val="18"/>
  </w:num>
  <w:num w:numId="17" w16cid:durableId="962542940">
    <w:abstractNumId w:val="12"/>
  </w:num>
  <w:num w:numId="18" w16cid:durableId="309486589">
    <w:abstractNumId w:val="25"/>
  </w:num>
  <w:num w:numId="19" w16cid:durableId="2124226368">
    <w:abstractNumId w:val="9"/>
  </w:num>
  <w:num w:numId="20" w16cid:durableId="1740591220">
    <w:abstractNumId w:val="0"/>
  </w:num>
  <w:num w:numId="21" w16cid:durableId="344091822">
    <w:abstractNumId w:val="4"/>
  </w:num>
  <w:num w:numId="22" w16cid:durableId="673651038">
    <w:abstractNumId w:val="2"/>
  </w:num>
  <w:num w:numId="23" w16cid:durableId="1781755281">
    <w:abstractNumId w:val="17"/>
  </w:num>
  <w:num w:numId="24" w16cid:durableId="1037243061">
    <w:abstractNumId w:val="20"/>
  </w:num>
  <w:num w:numId="25" w16cid:durableId="1126309581">
    <w:abstractNumId w:val="13"/>
  </w:num>
  <w:num w:numId="26" w16cid:durableId="250237259">
    <w:abstractNumId w:val="26"/>
  </w:num>
  <w:num w:numId="27" w16cid:durableId="2143842721">
    <w:abstractNumId w:val="24"/>
  </w:num>
  <w:num w:numId="28" w16cid:durableId="488785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61E45"/>
    <w:rsid w:val="00065420"/>
    <w:rsid w:val="00077533"/>
    <w:rsid w:val="00085651"/>
    <w:rsid w:val="000A687B"/>
    <w:rsid w:val="000C63C9"/>
    <w:rsid w:val="000F204A"/>
    <w:rsid w:val="00104441"/>
    <w:rsid w:val="001165AA"/>
    <w:rsid w:val="0016305A"/>
    <w:rsid w:val="00185A95"/>
    <w:rsid w:val="00185BDA"/>
    <w:rsid w:val="00192887"/>
    <w:rsid w:val="001947A1"/>
    <w:rsid w:val="001963E4"/>
    <w:rsid w:val="001C06F8"/>
    <w:rsid w:val="001E70C1"/>
    <w:rsid w:val="001E7B7E"/>
    <w:rsid w:val="00204218"/>
    <w:rsid w:val="00232C55"/>
    <w:rsid w:val="002533F2"/>
    <w:rsid w:val="00256B0A"/>
    <w:rsid w:val="00263E12"/>
    <w:rsid w:val="002831BF"/>
    <w:rsid w:val="00287BE7"/>
    <w:rsid w:val="002A0C2C"/>
    <w:rsid w:val="002A584C"/>
    <w:rsid w:val="002B18C9"/>
    <w:rsid w:val="002B5214"/>
    <w:rsid w:val="003058D6"/>
    <w:rsid w:val="00331842"/>
    <w:rsid w:val="00335B23"/>
    <w:rsid w:val="00341C21"/>
    <w:rsid w:val="003420FF"/>
    <w:rsid w:val="00351B4D"/>
    <w:rsid w:val="003669A2"/>
    <w:rsid w:val="00371F59"/>
    <w:rsid w:val="00376A21"/>
    <w:rsid w:val="00391075"/>
    <w:rsid w:val="003951E9"/>
    <w:rsid w:val="003A6246"/>
    <w:rsid w:val="003B0B94"/>
    <w:rsid w:val="003C5DE2"/>
    <w:rsid w:val="003E2631"/>
    <w:rsid w:val="003E4A5D"/>
    <w:rsid w:val="003F442E"/>
    <w:rsid w:val="003F7D4A"/>
    <w:rsid w:val="00411FA3"/>
    <w:rsid w:val="00417933"/>
    <w:rsid w:val="004707E8"/>
    <w:rsid w:val="00482081"/>
    <w:rsid w:val="00485CA0"/>
    <w:rsid w:val="00486C56"/>
    <w:rsid w:val="00490402"/>
    <w:rsid w:val="004B1298"/>
    <w:rsid w:val="004F2DAF"/>
    <w:rsid w:val="004F41AE"/>
    <w:rsid w:val="00542542"/>
    <w:rsid w:val="00543CF9"/>
    <w:rsid w:val="00547824"/>
    <w:rsid w:val="005601E2"/>
    <w:rsid w:val="005830C4"/>
    <w:rsid w:val="005A7BF3"/>
    <w:rsid w:val="005D5969"/>
    <w:rsid w:val="005F27AA"/>
    <w:rsid w:val="00600395"/>
    <w:rsid w:val="00613C54"/>
    <w:rsid w:val="00616754"/>
    <w:rsid w:val="00642E5D"/>
    <w:rsid w:val="0065181E"/>
    <w:rsid w:val="00655B5F"/>
    <w:rsid w:val="00685E09"/>
    <w:rsid w:val="006A6A88"/>
    <w:rsid w:val="006C547E"/>
    <w:rsid w:val="006D2B77"/>
    <w:rsid w:val="006F2AF5"/>
    <w:rsid w:val="006F6850"/>
    <w:rsid w:val="00710239"/>
    <w:rsid w:val="00711353"/>
    <w:rsid w:val="00725B28"/>
    <w:rsid w:val="00771662"/>
    <w:rsid w:val="007C007E"/>
    <w:rsid w:val="007C2B83"/>
    <w:rsid w:val="007C6A47"/>
    <w:rsid w:val="007E7D43"/>
    <w:rsid w:val="007F65DC"/>
    <w:rsid w:val="007F73E6"/>
    <w:rsid w:val="00805FF6"/>
    <w:rsid w:val="0085499D"/>
    <w:rsid w:val="00855A41"/>
    <w:rsid w:val="008732A5"/>
    <w:rsid w:val="0087544C"/>
    <w:rsid w:val="0088099D"/>
    <w:rsid w:val="0088223D"/>
    <w:rsid w:val="0089060C"/>
    <w:rsid w:val="008B0AF3"/>
    <w:rsid w:val="008F1AEF"/>
    <w:rsid w:val="008F3009"/>
    <w:rsid w:val="00900182"/>
    <w:rsid w:val="0093612C"/>
    <w:rsid w:val="00965A0F"/>
    <w:rsid w:val="00997371"/>
    <w:rsid w:val="009A0473"/>
    <w:rsid w:val="009A65F9"/>
    <w:rsid w:val="009B257D"/>
    <w:rsid w:val="009B4518"/>
    <w:rsid w:val="009D2359"/>
    <w:rsid w:val="009D5187"/>
    <w:rsid w:val="009D522C"/>
    <w:rsid w:val="009E18B9"/>
    <w:rsid w:val="009E6CDB"/>
    <w:rsid w:val="009F4D87"/>
    <w:rsid w:val="00A04D5D"/>
    <w:rsid w:val="00A12351"/>
    <w:rsid w:val="00A27736"/>
    <w:rsid w:val="00A44F84"/>
    <w:rsid w:val="00A4574A"/>
    <w:rsid w:val="00A5303A"/>
    <w:rsid w:val="00A55DB7"/>
    <w:rsid w:val="00A70D0F"/>
    <w:rsid w:val="00A7577E"/>
    <w:rsid w:val="00A83370"/>
    <w:rsid w:val="00A93F9C"/>
    <w:rsid w:val="00AB01F5"/>
    <w:rsid w:val="00AC0A6D"/>
    <w:rsid w:val="00AC157D"/>
    <w:rsid w:val="00AC6312"/>
    <w:rsid w:val="00AF1E81"/>
    <w:rsid w:val="00B232E2"/>
    <w:rsid w:val="00B2568D"/>
    <w:rsid w:val="00B47EB2"/>
    <w:rsid w:val="00B6253B"/>
    <w:rsid w:val="00B66A42"/>
    <w:rsid w:val="00B75281"/>
    <w:rsid w:val="00B95DDD"/>
    <w:rsid w:val="00BA4EC6"/>
    <w:rsid w:val="00BB79E6"/>
    <w:rsid w:val="00BC49A5"/>
    <w:rsid w:val="00BD238B"/>
    <w:rsid w:val="00BE0907"/>
    <w:rsid w:val="00BE678B"/>
    <w:rsid w:val="00BF28DD"/>
    <w:rsid w:val="00C02A44"/>
    <w:rsid w:val="00C43CCC"/>
    <w:rsid w:val="00C63346"/>
    <w:rsid w:val="00C96242"/>
    <w:rsid w:val="00CB5281"/>
    <w:rsid w:val="00CC6B72"/>
    <w:rsid w:val="00CD42F8"/>
    <w:rsid w:val="00CE7F45"/>
    <w:rsid w:val="00D0096D"/>
    <w:rsid w:val="00D251C0"/>
    <w:rsid w:val="00D36050"/>
    <w:rsid w:val="00D41184"/>
    <w:rsid w:val="00D627F0"/>
    <w:rsid w:val="00D97EBA"/>
    <w:rsid w:val="00DA191D"/>
    <w:rsid w:val="00DA5C52"/>
    <w:rsid w:val="00DD1205"/>
    <w:rsid w:val="00DE2299"/>
    <w:rsid w:val="00DE517B"/>
    <w:rsid w:val="00DE78CC"/>
    <w:rsid w:val="00DF0BB8"/>
    <w:rsid w:val="00DF0CB0"/>
    <w:rsid w:val="00E2671B"/>
    <w:rsid w:val="00E3049F"/>
    <w:rsid w:val="00E42668"/>
    <w:rsid w:val="00E537CB"/>
    <w:rsid w:val="00E84AB2"/>
    <w:rsid w:val="00E85F67"/>
    <w:rsid w:val="00E96058"/>
    <w:rsid w:val="00E972DC"/>
    <w:rsid w:val="00E97F1E"/>
    <w:rsid w:val="00EA47F5"/>
    <w:rsid w:val="00EB220A"/>
    <w:rsid w:val="00ED325E"/>
    <w:rsid w:val="00F160E2"/>
    <w:rsid w:val="00F2463C"/>
    <w:rsid w:val="00F36A96"/>
    <w:rsid w:val="00F53A56"/>
    <w:rsid w:val="00F56D90"/>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07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63346"/>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C63346"/>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CE7F45"/>
    <w:rPr>
      <w:sz w:val="16"/>
      <w:szCs w:val="16"/>
    </w:rPr>
  </w:style>
  <w:style w:type="paragraph" w:styleId="CommentText">
    <w:name w:val="annotation text"/>
    <w:basedOn w:val="Normal"/>
    <w:link w:val="CommentTextChar"/>
    <w:uiPriority w:val="99"/>
    <w:unhideWhenUsed/>
    <w:rsid w:val="00CE7F45"/>
    <w:pPr>
      <w:spacing w:line="240" w:lineRule="auto"/>
    </w:pPr>
    <w:rPr>
      <w:sz w:val="20"/>
      <w:szCs w:val="20"/>
    </w:rPr>
  </w:style>
  <w:style w:type="character" w:customStyle="1" w:styleId="CommentTextChar">
    <w:name w:val="Comment Text Char"/>
    <w:basedOn w:val="DefaultParagraphFont"/>
    <w:link w:val="CommentText"/>
    <w:uiPriority w:val="99"/>
    <w:rsid w:val="00CE7F4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CE7F45"/>
    <w:rPr>
      <w:b/>
      <w:bCs/>
    </w:rPr>
  </w:style>
  <w:style w:type="character" w:customStyle="1" w:styleId="CommentSubjectChar">
    <w:name w:val="Comment Subject Char"/>
    <w:basedOn w:val="CommentTextChar"/>
    <w:link w:val="CommentSubject"/>
    <w:uiPriority w:val="99"/>
    <w:semiHidden/>
    <w:rsid w:val="00CE7F45"/>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70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1006</Words>
  <Characters>6063</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Reading, Kayley</cp:lastModifiedBy>
  <cp:revision>7</cp:revision>
  <dcterms:created xsi:type="dcterms:W3CDTF">2024-06-12T02:55:00Z</dcterms:created>
  <dcterms:modified xsi:type="dcterms:W3CDTF">2024-06-12T04:01:00Z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