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79F9BB83" w:rsidR="00E42ADC" w:rsidRPr="00BD10E7" w:rsidRDefault="008A5E4D"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 xml:space="preserve">Lecturer, </w:t>
            </w:r>
            <w:r w:rsidR="0007151C">
              <w:rPr>
                <w:rFonts w:asciiTheme="minorHAnsi" w:hAnsiTheme="minorHAnsi" w:cstheme="minorHAnsi"/>
                <w:b/>
                <w:color w:val="000000"/>
                <w:sz w:val="28"/>
                <w:szCs w:val="28"/>
                <w:lang w:val="en-AU"/>
              </w:rPr>
              <w:t xml:space="preserve">Food, Nutrition and </w:t>
            </w:r>
            <w:r>
              <w:rPr>
                <w:rFonts w:asciiTheme="minorHAnsi" w:hAnsiTheme="minorHAnsi" w:cstheme="minorHAnsi"/>
                <w:b/>
                <w:color w:val="000000"/>
                <w:sz w:val="28"/>
                <w:szCs w:val="28"/>
                <w:lang w:val="en-AU"/>
              </w:rPr>
              <w:t>Dietetics</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234F1001" w:rsidR="00E42ADC" w:rsidRPr="002C0A2F" w:rsidRDefault="00E42ADC" w:rsidP="007011D4">
            <w:pPr>
              <w:rPr>
                <w:rFonts w:asciiTheme="minorHAnsi" w:hAnsiTheme="minorHAnsi" w:cstheme="minorHAnsi"/>
                <w:color w:val="000000"/>
                <w:sz w:val="22"/>
                <w:szCs w:val="22"/>
                <w:highlight w:val="yellow"/>
                <w:lang w:val="en-AU"/>
              </w:rPr>
            </w:pP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7C814B8E" w:rsidR="00DD4795" w:rsidRPr="00B31573" w:rsidRDefault="008A5E4D"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14CE2BBE" w:rsidR="00DD4795" w:rsidRPr="003A1CFA" w:rsidRDefault="002433B9"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School</w:t>
            </w:r>
            <w:r w:rsidR="00DD4795">
              <w:rPr>
                <w:rFonts w:asciiTheme="minorHAnsi" w:hAnsiTheme="minorHAnsi" w:cstheme="minorHAnsi"/>
                <w:b/>
                <w:color w:val="000000"/>
                <w:sz w:val="22"/>
                <w:szCs w:val="22"/>
                <w:lang w:val="en-AU"/>
              </w:rPr>
              <w:t>:</w:t>
            </w:r>
          </w:p>
        </w:tc>
        <w:tc>
          <w:tcPr>
            <w:tcW w:w="6040" w:type="dxa"/>
            <w:tcBorders>
              <w:left w:val="nil"/>
            </w:tcBorders>
          </w:tcPr>
          <w:p w14:paraId="7AA5B8CC" w14:textId="237BFF68" w:rsidR="00DD4795" w:rsidRDefault="008A5E4D"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Allied Health, Human Services and Sport</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F06F2AE" w14:textId="77777777" w:rsidR="008A5E4D" w:rsidRPr="002B7CCB" w:rsidRDefault="008A5E4D" w:rsidP="008A5E4D">
            <w:pPr>
              <w:rPr>
                <w:rFonts w:asciiTheme="minorHAnsi" w:hAnsiTheme="minorHAnsi" w:cstheme="minorHAnsi"/>
                <w:sz w:val="22"/>
                <w:szCs w:val="22"/>
                <w:lang w:val="en-AU"/>
              </w:rPr>
            </w:pPr>
            <w:r w:rsidRPr="002B7CCB">
              <w:rPr>
                <w:rFonts w:asciiTheme="minorHAnsi" w:hAnsiTheme="minorHAnsi" w:cstheme="minorHAnsi"/>
                <w:sz w:val="22"/>
                <w:szCs w:val="22"/>
                <w:lang w:eastAsia="en-GB"/>
              </w:rPr>
              <w:t>Sport, Exercise and Nutrition Sciences</w:t>
            </w:r>
          </w:p>
          <w:p w14:paraId="76FED497" w14:textId="77777777" w:rsidR="00156D50" w:rsidRDefault="00156D50" w:rsidP="00055C3B">
            <w:pPr>
              <w:rPr>
                <w:rFonts w:asciiTheme="minorHAnsi" w:hAnsiTheme="minorHAnsi" w:cstheme="minorHAnsi"/>
                <w:color w:val="000000"/>
                <w:sz w:val="22"/>
                <w:szCs w:val="22"/>
                <w:lang w:val="en-AU"/>
              </w:rPr>
            </w:pPr>
          </w:p>
          <w:p w14:paraId="48C936C9" w14:textId="0776C13B" w:rsidR="00156D50" w:rsidRPr="00B31573" w:rsidRDefault="00156D50" w:rsidP="00055C3B">
            <w:pPr>
              <w:rPr>
                <w:rFonts w:asciiTheme="minorHAnsi" w:hAnsiTheme="minorHAnsi" w:cstheme="minorHAnsi"/>
                <w:color w:val="000000"/>
                <w:sz w:val="22"/>
                <w:szCs w:val="22"/>
                <w:lang w:val="en-AU"/>
              </w:rPr>
            </w:pPr>
            <w:r w:rsidRPr="00156D50">
              <w:rPr>
                <w:rFonts w:asciiTheme="minorHAnsi" w:hAnsiTheme="minorHAnsi" w:cstheme="minorHAnsi"/>
                <w:color w:val="000000"/>
                <w:sz w:val="22"/>
                <w:szCs w:val="22"/>
                <w:lang w:val="en-AU"/>
              </w:rPr>
              <w:t>Level B Teaching &amp; Research</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1B0C81C0" w:rsidR="00676154" w:rsidRPr="00953B2A" w:rsidRDefault="005E4EF3" w:rsidP="00BA114A">
            <w:pPr>
              <w:rPr>
                <w:rFonts w:asciiTheme="minorHAnsi" w:hAnsiTheme="minorHAnsi" w:cstheme="minorHAnsi"/>
                <w:color w:val="000000"/>
                <w:sz w:val="22"/>
                <w:szCs w:val="22"/>
                <w:lang w:val="en-AU"/>
              </w:rPr>
            </w:pPr>
            <w:r w:rsidRPr="00953B2A">
              <w:rPr>
                <w:rFonts w:asciiTheme="minorHAnsi" w:hAnsiTheme="minorHAnsi" w:cstheme="minorHAnsi"/>
                <w:color w:val="000000"/>
                <w:sz w:val="22"/>
                <w:szCs w:val="22"/>
                <w:lang w:val="en-AU"/>
              </w:rPr>
              <w:t>1</w:t>
            </w:r>
            <w:r w:rsidR="00953B2A" w:rsidRPr="00953B2A">
              <w:rPr>
                <w:rFonts w:asciiTheme="minorHAnsi" w:hAnsiTheme="minorHAnsi" w:cstheme="minorHAnsi"/>
                <w:color w:val="000000"/>
                <w:sz w:val="22"/>
                <w:szCs w:val="22"/>
                <w:lang w:val="en-AU"/>
              </w:rPr>
              <w:t>.0</w:t>
            </w:r>
            <w:r w:rsidRPr="00953B2A">
              <w:rPr>
                <w:rFonts w:asciiTheme="minorHAnsi" w:hAnsiTheme="minorHAnsi" w:cstheme="minorHAnsi"/>
                <w:color w:val="000000"/>
                <w:sz w:val="22"/>
                <w:szCs w:val="22"/>
                <w:lang w:val="en-AU"/>
              </w:rPr>
              <w:t xml:space="preserve"> FTE </w:t>
            </w:r>
            <w:r w:rsidR="008A5E4D" w:rsidRPr="00953B2A">
              <w:rPr>
                <w:rFonts w:asciiTheme="minorHAnsi" w:hAnsiTheme="minorHAnsi" w:cstheme="minorHAnsi"/>
                <w:color w:val="000000"/>
                <w:sz w:val="22"/>
                <w:szCs w:val="22"/>
                <w:lang w:val="en-AU"/>
              </w:rPr>
              <w:t xml:space="preserve">Continuing </w:t>
            </w:r>
          </w:p>
          <w:p w14:paraId="5B49D3F3" w14:textId="77777777" w:rsidR="00676154" w:rsidRPr="00953B2A"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40D8AE25" w:rsidR="00DD4795" w:rsidRDefault="008A5E4D"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9A6D6C"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55E5"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2108BA1C" w:rsidR="00C73B62"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66D87519" w14:textId="19113160" w:rsidR="008A5E4D" w:rsidRDefault="008A5E4D" w:rsidP="00C73B62">
      <w:pPr>
        <w:pStyle w:val="Default"/>
        <w:rPr>
          <w:b/>
          <w:bCs/>
          <w:color w:val="auto"/>
          <w:sz w:val="22"/>
          <w:szCs w:val="22"/>
        </w:rPr>
      </w:pPr>
    </w:p>
    <w:p w14:paraId="6B909AF2" w14:textId="6AAA4A83" w:rsidR="008A5E4D" w:rsidRPr="008A5E4D" w:rsidRDefault="008A5E4D" w:rsidP="008A5E4D">
      <w:pPr>
        <w:pStyle w:val="BodyText"/>
        <w:spacing w:before="1"/>
        <w:ind w:right="248"/>
        <w:rPr>
          <w:rFonts w:asciiTheme="minorHAnsi" w:hAnsiTheme="minorHAnsi" w:cstheme="minorHAnsi"/>
          <w:sz w:val="22"/>
          <w:szCs w:val="22"/>
        </w:rPr>
      </w:pPr>
      <w:r w:rsidRPr="008A5E4D">
        <w:rPr>
          <w:rFonts w:asciiTheme="minorHAnsi" w:hAnsiTheme="minorHAnsi" w:cstheme="minorHAnsi"/>
          <w:sz w:val="22"/>
          <w:szCs w:val="22"/>
        </w:rPr>
        <w:t xml:space="preserve">This position will contribute to the design and delivery of the </w:t>
      </w:r>
      <w:proofErr w:type="gramStart"/>
      <w:r w:rsidRPr="008A5E4D">
        <w:rPr>
          <w:rFonts w:asciiTheme="minorHAnsi" w:hAnsiTheme="minorHAnsi" w:cstheme="minorHAnsi"/>
          <w:sz w:val="22"/>
          <w:szCs w:val="22"/>
        </w:rPr>
        <w:t>School's</w:t>
      </w:r>
      <w:proofErr w:type="gramEnd"/>
      <w:r w:rsidRPr="008A5E4D">
        <w:rPr>
          <w:rFonts w:asciiTheme="minorHAnsi" w:hAnsiTheme="minorHAnsi" w:cstheme="minorHAnsi"/>
          <w:sz w:val="22"/>
          <w:szCs w:val="22"/>
        </w:rPr>
        <w:t xml:space="preserve"> undergraduate and postgraduate</w:t>
      </w:r>
      <w:r w:rsidRPr="008A5E4D">
        <w:rPr>
          <w:rFonts w:asciiTheme="minorHAnsi" w:hAnsiTheme="minorHAnsi" w:cstheme="minorHAnsi"/>
          <w:spacing w:val="-4"/>
          <w:sz w:val="22"/>
          <w:szCs w:val="22"/>
        </w:rPr>
        <w:t xml:space="preserve"> </w:t>
      </w:r>
      <w:r w:rsidRPr="008A5E4D">
        <w:rPr>
          <w:rFonts w:asciiTheme="minorHAnsi" w:hAnsiTheme="minorHAnsi" w:cstheme="minorHAnsi"/>
          <w:sz w:val="22"/>
          <w:szCs w:val="22"/>
        </w:rPr>
        <w:t>coursework</w:t>
      </w:r>
      <w:r w:rsidRPr="008A5E4D">
        <w:rPr>
          <w:rFonts w:asciiTheme="minorHAnsi" w:hAnsiTheme="minorHAnsi" w:cstheme="minorHAnsi"/>
          <w:spacing w:val="-5"/>
          <w:sz w:val="22"/>
          <w:szCs w:val="22"/>
        </w:rPr>
        <w:t xml:space="preserve"> </w:t>
      </w:r>
      <w:r w:rsidRPr="008A5E4D">
        <w:rPr>
          <w:rFonts w:asciiTheme="minorHAnsi" w:hAnsiTheme="minorHAnsi" w:cstheme="minorHAnsi"/>
          <w:sz w:val="22"/>
          <w:szCs w:val="22"/>
        </w:rPr>
        <w:t>programs</w:t>
      </w:r>
      <w:r w:rsidRPr="008A5E4D">
        <w:rPr>
          <w:rFonts w:asciiTheme="minorHAnsi" w:hAnsiTheme="minorHAnsi" w:cstheme="minorHAnsi"/>
          <w:spacing w:val="-4"/>
          <w:sz w:val="22"/>
          <w:szCs w:val="22"/>
        </w:rPr>
        <w:t xml:space="preserve"> </w:t>
      </w:r>
      <w:r w:rsidRPr="008A5E4D">
        <w:rPr>
          <w:rFonts w:asciiTheme="minorHAnsi" w:hAnsiTheme="minorHAnsi" w:cstheme="minorHAnsi"/>
          <w:sz w:val="22"/>
          <w:szCs w:val="22"/>
        </w:rPr>
        <w:t>in</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food,</w:t>
      </w:r>
      <w:r w:rsidRPr="008A5E4D">
        <w:rPr>
          <w:rFonts w:asciiTheme="minorHAnsi" w:hAnsiTheme="minorHAnsi" w:cstheme="minorHAnsi"/>
          <w:spacing w:val="-2"/>
          <w:sz w:val="22"/>
          <w:szCs w:val="22"/>
        </w:rPr>
        <w:t xml:space="preserve"> </w:t>
      </w:r>
      <w:r w:rsidRPr="008A5E4D">
        <w:rPr>
          <w:rFonts w:asciiTheme="minorHAnsi" w:hAnsiTheme="minorHAnsi" w:cstheme="minorHAnsi"/>
          <w:sz w:val="22"/>
          <w:szCs w:val="22"/>
        </w:rPr>
        <w:t>nutrition</w:t>
      </w:r>
      <w:r w:rsidRPr="008A5E4D">
        <w:rPr>
          <w:rFonts w:asciiTheme="minorHAnsi" w:hAnsiTheme="minorHAnsi" w:cstheme="minorHAnsi"/>
          <w:spacing w:val="-5"/>
          <w:sz w:val="22"/>
          <w:szCs w:val="22"/>
        </w:rPr>
        <w:t xml:space="preserve"> </w:t>
      </w:r>
      <w:r w:rsidRPr="008A5E4D">
        <w:rPr>
          <w:rFonts w:asciiTheme="minorHAnsi" w:hAnsiTheme="minorHAnsi" w:cstheme="minorHAnsi"/>
          <w:sz w:val="22"/>
          <w:szCs w:val="22"/>
        </w:rPr>
        <w:t>and</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dietetics</w:t>
      </w:r>
      <w:r w:rsidR="00374F49">
        <w:rPr>
          <w:rFonts w:asciiTheme="minorHAnsi" w:hAnsiTheme="minorHAnsi" w:cstheme="minorHAnsi"/>
          <w:sz w:val="22"/>
          <w:szCs w:val="22"/>
        </w:rPr>
        <w:t xml:space="preserve"> (online, blended and face to face)</w:t>
      </w:r>
      <w:r w:rsidRPr="008A5E4D">
        <w:rPr>
          <w:rFonts w:asciiTheme="minorHAnsi" w:hAnsiTheme="minorHAnsi" w:cstheme="minorHAnsi"/>
          <w:spacing w:val="-2"/>
          <w:sz w:val="22"/>
          <w:szCs w:val="22"/>
        </w:rPr>
        <w:t xml:space="preserve"> </w:t>
      </w:r>
      <w:r w:rsidRPr="008A5E4D">
        <w:rPr>
          <w:rFonts w:asciiTheme="minorHAnsi" w:hAnsiTheme="minorHAnsi" w:cstheme="minorHAnsi"/>
          <w:sz w:val="22"/>
          <w:szCs w:val="22"/>
        </w:rPr>
        <w:t>and</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conduct</w:t>
      </w:r>
      <w:r w:rsidRPr="008A5E4D">
        <w:rPr>
          <w:rFonts w:asciiTheme="minorHAnsi" w:hAnsiTheme="minorHAnsi" w:cstheme="minorHAnsi"/>
          <w:spacing w:val="-4"/>
          <w:sz w:val="22"/>
          <w:szCs w:val="22"/>
        </w:rPr>
        <w:t xml:space="preserve"> </w:t>
      </w:r>
      <w:r w:rsidRPr="008A5E4D">
        <w:rPr>
          <w:rFonts w:asciiTheme="minorHAnsi" w:hAnsiTheme="minorHAnsi" w:cstheme="minorHAnsi"/>
          <w:sz w:val="22"/>
          <w:szCs w:val="22"/>
        </w:rPr>
        <w:t>research</w:t>
      </w:r>
      <w:r w:rsidRPr="008A5E4D">
        <w:rPr>
          <w:rFonts w:asciiTheme="minorHAnsi" w:hAnsiTheme="minorHAnsi" w:cstheme="minorHAnsi"/>
          <w:spacing w:val="-3"/>
          <w:sz w:val="22"/>
          <w:szCs w:val="22"/>
        </w:rPr>
        <w:t xml:space="preserve"> </w:t>
      </w:r>
      <w:r w:rsidRPr="008A5E4D">
        <w:rPr>
          <w:rFonts w:asciiTheme="minorHAnsi" w:hAnsiTheme="minorHAnsi" w:cstheme="minorHAnsi"/>
          <w:sz w:val="22"/>
          <w:szCs w:val="22"/>
        </w:rPr>
        <w:t>in</w:t>
      </w:r>
      <w:r w:rsidRPr="008A5E4D">
        <w:rPr>
          <w:rFonts w:asciiTheme="minorHAnsi" w:hAnsiTheme="minorHAnsi" w:cstheme="minorHAnsi"/>
          <w:spacing w:val="-5"/>
          <w:sz w:val="22"/>
          <w:szCs w:val="22"/>
        </w:rPr>
        <w:t xml:space="preserve"> </w:t>
      </w:r>
      <w:r w:rsidRPr="008A5E4D">
        <w:rPr>
          <w:rFonts w:asciiTheme="minorHAnsi" w:hAnsiTheme="minorHAnsi" w:cstheme="minorHAnsi"/>
          <w:sz w:val="22"/>
          <w:szCs w:val="22"/>
        </w:rPr>
        <w:t>the food, nutrition and dietetics discipline.</w:t>
      </w:r>
    </w:p>
    <w:p w14:paraId="1D2D3D60" w14:textId="77777777" w:rsidR="00B31573" w:rsidRDefault="00B31573" w:rsidP="00F874D8">
      <w:pPr>
        <w:pStyle w:val="Default"/>
        <w:rPr>
          <w:b/>
          <w:bCs/>
          <w:color w:val="auto"/>
          <w:sz w:val="22"/>
          <w:szCs w:val="22"/>
        </w:rPr>
      </w:pPr>
    </w:p>
    <w:p w14:paraId="3FEDE227" w14:textId="77777777" w:rsidR="008A5E4D" w:rsidRPr="0004587A" w:rsidRDefault="008A5E4D" w:rsidP="008A5E4D">
      <w:pPr>
        <w:pStyle w:val="Default"/>
        <w:ind w:right="170"/>
        <w:jc w:val="both"/>
        <w:rPr>
          <w:sz w:val="22"/>
          <w:szCs w:val="22"/>
        </w:rPr>
      </w:pPr>
      <w:r w:rsidRPr="0004587A">
        <w:rPr>
          <w:sz w:val="22"/>
          <w:szCs w:val="22"/>
        </w:rPr>
        <w:t xml:space="preserve">The School of Allied Health, Human Services and Sport offers a range of general and specialist undergraduate and postgraduate courses that are rigorous and attuned to meeting the needs of students in ensuring their readiness to work in changing environments. The </w:t>
      </w:r>
      <w:proofErr w:type="gramStart"/>
      <w:r w:rsidRPr="0004587A">
        <w:rPr>
          <w:sz w:val="22"/>
          <w:szCs w:val="22"/>
        </w:rPr>
        <w:t>School</w:t>
      </w:r>
      <w:proofErr w:type="gramEnd"/>
      <w:r w:rsidRPr="0004587A">
        <w:rPr>
          <w:sz w:val="22"/>
          <w:szCs w:val="22"/>
        </w:rPr>
        <w:t xml:space="preserve"> comprises three Departments and 11 disciplines across La Trobe’s multi campus operations and has an outstanding reputation for research excellence, research translation and for building strong relationships with industry partners. </w:t>
      </w:r>
    </w:p>
    <w:p w14:paraId="609618FC" w14:textId="77777777" w:rsidR="00C73B62" w:rsidRDefault="00C73B62" w:rsidP="00C73B62">
      <w:pPr>
        <w:pStyle w:val="Default"/>
        <w:rPr>
          <w:sz w:val="22"/>
          <w:szCs w:val="22"/>
        </w:rPr>
      </w:pPr>
    </w:p>
    <w:p w14:paraId="11AE0396" w14:textId="3163F110" w:rsidR="00BD10E7" w:rsidRPr="008A5E4D" w:rsidRDefault="00D67ADA" w:rsidP="00BD10E7">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r w:rsidR="00BD10E7" w:rsidRPr="00DC1CB7">
        <w:rPr>
          <w:b/>
          <w:bCs/>
          <w:sz w:val="22"/>
          <w:szCs w:val="22"/>
          <w:highlight w:val="yellow"/>
          <w:shd w:val="clear" w:color="auto" w:fill="F2DBDB" w:themeFill="accent2" w:themeFillTint="33"/>
        </w:rPr>
        <w:t xml:space="preserve"> </w:t>
      </w:r>
    </w:p>
    <w:p w14:paraId="0DDEE2D2" w14:textId="77777777" w:rsidR="006044D1" w:rsidRDefault="006044D1" w:rsidP="00C73B62">
      <w:pPr>
        <w:pStyle w:val="Default"/>
        <w:rPr>
          <w:b/>
          <w:bCs/>
          <w:sz w:val="22"/>
          <w:szCs w:val="22"/>
        </w:rPr>
      </w:pPr>
    </w:p>
    <w:p w14:paraId="7391E601" w14:textId="23573489"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Develop, coordinate and teach a high-quality learning experience that engages students through the conduct of tutorials, practical classes, demonstrations, workshops, student field excursions, clinical sessions and/or studio sessions</w:t>
      </w:r>
      <w:r w:rsidR="00374F49">
        <w:rPr>
          <w:rFonts w:ascii="Calibri" w:hAnsi="Calibri" w:cs="Calibri"/>
          <w:color w:val="000000"/>
          <w:sz w:val="22"/>
          <w:szCs w:val="22"/>
          <w:lang w:val="en-AU" w:eastAsia="en-AU"/>
        </w:rPr>
        <w:t xml:space="preserve"> </w:t>
      </w:r>
      <w:r w:rsidR="00374F49" w:rsidRPr="00374F49">
        <w:rPr>
          <w:rFonts w:ascii="Calibri" w:hAnsi="Calibri" w:cs="Calibri"/>
          <w:color w:val="000000"/>
          <w:sz w:val="22"/>
          <w:szCs w:val="22"/>
          <w:lang w:val="en-AU" w:eastAsia="en-AU"/>
        </w:rPr>
        <w:t>in online, blended and face to face modes.</w:t>
      </w:r>
    </w:p>
    <w:p w14:paraId="3F319C3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Demonstrate a scholarly approach to learning and teaching and contribute to disciplinary teaching pedagogy and research.</w:t>
      </w:r>
    </w:p>
    <w:p w14:paraId="6D42BA8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Keep abreast of innovations in teaching and learning in areas such as, but not restricted to, online and blended delivery and incorporate where appropriate, to continually develop professional practice skills/knowledge and expertise.</w:t>
      </w:r>
    </w:p>
    <w:p w14:paraId="33FAB100"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Participate in innovative course level curriculum design, development and review.</w:t>
      </w:r>
    </w:p>
    <w:p w14:paraId="33650C7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Conduct and publish, or otherwise disseminate high quality and/or high impact research as a member of a team or independently and produce conference/seminar papers and publications from that research.</w:t>
      </w:r>
    </w:p>
    <w:p w14:paraId="469C054D"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Contribute to a robust and ambitious research culture by participating in writing up research findings for publication and dissemination.</w:t>
      </w:r>
    </w:p>
    <w:p w14:paraId="6A842D2B"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Co-supervise or, where appropriate supervise Higher Degree by Research (HDR) postgraduate students as required.</w:t>
      </w:r>
    </w:p>
    <w:p w14:paraId="6BC5AE6C"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With mentoring support, obtain necessary research funding from external funding sources.</w:t>
      </w:r>
    </w:p>
    <w:p w14:paraId="19C1635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Contribute to building relationships at local and national level.</w:t>
      </w:r>
    </w:p>
    <w:p w14:paraId="2B0CCF0F" w14:textId="0D931494"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 xml:space="preserve">Undertake other duties and administrative functions commensurate with the classification and scope of the position as required by the Head of Department or </w:t>
      </w:r>
      <w:r w:rsidR="008A5E4D">
        <w:rPr>
          <w:rFonts w:ascii="Calibri" w:hAnsi="Calibri" w:cs="Calibri"/>
          <w:color w:val="000000"/>
          <w:sz w:val="22"/>
          <w:szCs w:val="22"/>
          <w:lang w:val="en-AU" w:eastAsia="en-AU"/>
        </w:rPr>
        <w:t>Dean</w:t>
      </w:r>
      <w:r w:rsidRPr="004E70CD">
        <w:rPr>
          <w:rFonts w:ascii="Calibri" w:hAnsi="Calibri" w:cs="Calibri"/>
          <w:color w:val="000000"/>
          <w:sz w:val="22"/>
          <w:szCs w:val="22"/>
          <w:lang w:val="en-AU" w:eastAsia="en-AU"/>
        </w:rPr>
        <w:t>.</w:t>
      </w:r>
    </w:p>
    <w:p w14:paraId="25702CBF" w14:textId="155343D4" w:rsidR="00156D50"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Develop and enable the capability of staff within the work area by monitoring and continuously managing their performance and mentor them to better meet current and future role requirements. In doing this, provide staff with constructive feedback and support for high quality performance contributions.</w:t>
      </w:r>
    </w:p>
    <w:p w14:paraId="365DEA47" w14:textId="101385AB" w:rsidR="009C73B0" w:rsidRDefault="000E5EDE" w:rsidP="00456786">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Contribute</w:t>
      </w:r>
      <w:r w:rsidR="009C73B0">
        <w:rPr>
          <w:rFonts w:ascii="Calibri" w:hAnsi="Calibri" w:cs="Calibri"/>
          <w:color w:val="000000"/>
          <w:sz w:val="22"/>
          <w:szCs w:val="22"/>
          <w:lang w:val="en-AU" w:eastAsia="en-AU"/>
        </w:rPr>
        <w:t xml:space="preserve"> to </w:t>
      </w:r>
      <w:r>
        <w:rPr>
          <w:rFonts w:ascii="Calibri" w:hAnsi="Calibri" w:cs="Calibri"/>
          <w:color w:val="000000"/>
          <w:sz w:val="22"/>
          <w:szCs w:val="22"/>
          <w:lang w:val="en-AU" w:eastAsia="en-AU"/>
        </w:rPr>
        <w:t>completing course reviews and external accreditation documentation.</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7F4A6C77" w14:textId="77777777" w:rsidR="00156D50" w:rsidRPr="00156D50" w:rsidRDefault="00156D50" w:rsidP="00456786">
      <w:pPr>
        <w:pStyle w:val="Default"/>
        <w:numPr>
          <w:ilvl w:val="0"/>
          <w:numId w:val="1"/>
        </w:numPr>
        <w:tabs>
          <w:tab w:val="left" w:pos="3300"/>
        </w:tabs>
        <w:spacing w:before="240"/>
        <w:rPr>
          <w:sz w:val="22"/>
          <w:szCs w:val="22"/>
        </w:rPr>
      </w:pPr>
      <w:r w:rsidRPr="00156D50">
        <w:rPr>
          <w:sz w:val="22"/>
          <w:szCs w:val="22"/>
        </w:rPr>
        <w:t>PhD or equivalent accreditation and standing recognised by the University/profession as appropriate for the relevant discipline areas.</w:t>
      </w:r>
    </w:p>
    <w:p w14:paraId="65ED451E"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Demonstrated competence in teaching and curriculum development.</w:t>
      </w:r>
    </w:p>
    <w:p w14:paraId="5A817FCD"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Evidence of high quality and/or high impact research conducted and published or otherwise disseminated, relative to opportunity.</w:t>
      </w:r>
    </w:p>
    <w:p w14:paraId="3510D336"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 xml:space="preserve">Demonstrated </w:t>
      </w:r>
      <w:proofErr w:type="gramStart"/>
      <w:r w:rsidRPr="004E70CD">
        <w:rPr>
          <w:rFonts w:asciiTheme="minorHAnsi" w:hAnsiTheme="minorHAnsi"/>
          <w:sz w:val="22"/>
          <w:szCs w:val="22"/>
          <w:lang w:val="en-AU"/>
        </w:rPr>
        <w:t>ability  to</w:t>
      </w:r>
      <w:proofErr w:type="gramEnd"/>
      <w:r w:rsidRPr="004E70CD">
        <w:rPr>
          <w:rFonts w:asciiTheme="minorHAnsi" w:hAnsiTheme="minorHAnsi"/>
          <w:sz w:val="22"/>
          <w:szCs w:val="22"/>
          <w:lang w:val="en-AU"/>
        </w:rPr>
        <w:t xml:space="preserve"> supervise, or co-supervise, honours and postgraduate students.</w:t>
      </w:r>
    </w:p>
    <w:p w14:paraId="0C3E0310"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High level organisational skills with the ability to set priorities, meet deadlines, initiate and follow-up actions, all with minimal or no supervision.</w:t>
      </w:r>
    </w:p>
    <w:p w14:paraId="42084711"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lastRenderedPageBreak/>
        <w:t>High level verbal and written communication skills, including the ability to interact effectively with people from a diverse range of backgrounds.</w:t>
      </w:r>
    </w:p>
    <w:p w14:paraId="26BCD7BD"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Experience in the preparation of research proposal submissions to external funding bodies and evidence of success in securing research funding.</w:t>
      </w:r>
    </w:p>
    <w:p w14:paraId="04F316E1" w14:textId="12F4A2B8" w:rsidR="00BD10E7" w:rsidRPr="00374F49" w:rsidRDefault="00156D50" w:rsidP="00BD10E7">
      <w:pPr>
        <w:pStyle w:val="ListParagraph"/>
        <w:numPr>
          <w:ilvl w:val="0"/>
          <w:numId w:val="2"/>
        </w:numPr>
        <w:spacing w:after="60" w:line="240" w:lineRule="atLeast"/>
        <w:contextualSpacing w:val="0"/>
        <w:jc w:val="both"/>
        <w:rPr>
          <w:rFonts w:asciiTheme="minorHAnsi" w:hAnsiTheme="minorHAnsi"/>
          <w:sz w:val="22"/>
          <w:szCs w:val="22"/>
          <w:lang w:val="en-AU"/>
        </w:rPr>
      </w:pPr>
      <w:r w:rsidRPr="004E70CD">
        <w:rPr>
          <w:rFonts w:asciiTheme="minorHAnsi" w:hAnsiTheme="minorHAnsi"/>
          <w:sz w:val="22"/>
          <w:szCs w:val="22"/>
          <w:lang w:val="en-AU"/>
        </w:rPr>
        <w:t>Proven experience and success in managing staff performance and development.</w:t>
      </w:r>
    </w:p>
    <w:p w14:paraId="2C377116" w14:textId="605E42B5" w:rsidR="00374F49" w:rsidRPr="00374F49" w:rsidRDefault="00374F49" w:rsidP="00374F49">
      <w:pPr>
        <w:pStyle w:val="ListParagraph"/>
        <w:numPr>
          <w:ilvl w:val="0"/>
          <w:numId w:val="6"/>
        </w:numPr>
        <w:spacing w:after="60" w:line="240" w:lineRule="atLeast"/>
        <w:jc w:val="both"/>
        <w:rPr>
          <w:rFonts w:ascii="Calibri" w:hAnsi="Calibri" w:cs="Calibri"/>
          <w:color w:val="000000"/>
          <w:sz w:val="22"/>
          <w:szCs w:val="22"/>
          <w:lang w:val="en-AU" w:eastAsia="en-AU"/>
        </w:rPr>
      </w:pPr>
      <w:r w:rsidRPr="00374F49">
        <w:rPr>
          <w:rFonts w:ascii="Calibri" w:hAnsi="Calibri" w:cs="Calibri"/>
          <w:color w:val="000000"/>
          <w:sz w:val="22"/>
          <w:szCs w:val="22"/>
          <w:lang w:val="en-AU" w:eastAsia="en-AU"/>
        </w:rPr>
        <w:t xml:space="preserve">Knowledge, </w:t>
      </w:r>
      <w:proofErr w:type="gramStart"/>
      <w:r w:rsidRPr="00374F49">
        <w:rPr>
          <w:rFonts w:ascii="Calibri" w:hAnsi="Calibri" w:cs="Calibri"/>
          <w:color w:val="000000"/>
          <w:sz w:val="22"/>
          <w:szCs w:val="22"/>
          <w:lang w:val="en-AU" w:eastAsia="en-AU"/>
        </w:rPr>
        <w:t>expertise</w:t>
      </w:r>
      <w:proofErr w:type="gramEnd"/>
      <w:r w:rsidRPr="00374F49">
        <w:rPr>
          <w:rFonts w:ascii="Calibri" w:hAnsi="Calibri" w:cs="Calibri"/>
          <w:color w:val="000000"/>
          <w:sz w:val="22"/>
          <w:szCs w:val="22"/>
          <w:lang w:val="en-AU" w:eastAsia="en-AU"/>
        </w:rPr>
        <w:t xml:space="preserve"> and skills in at least one of the following areas: </w:t>
      </w:r>
      <w:r w:rsidR="00454279">
        <w:rPr>
          <w:rFonts w:ascii="Calibri" w:hAnsi="Calibri" w:cs="Calibri"/>
          <w:color w:val="000000"/>
          <w:sz w:val="22"/>
          <w:szCs w:val="22"/>
          <w:lang w:val="en-AU" w:eastAsia="en-AU"/>
        </w:rPr>
        <w:t xml:space="preserve">sports nutrition or </w:t>
      </w:r>
      <w:r w:rsidRPr="00374F49">
        <w:rPr>
          <w:rFonts w:ascii="Calibri" w:hAnsi="Calibri" w:cs="Calibri"/>
          <w:color w:val="000000"/>
          <w:sz w:val="22"/>
          <w:szCs w:val="22"/>
          <w:lang w:val="en-AU" w:eastAsia="en-AU"/>
        </w:rPr>
        <w:t>food science and food product development</w:t>
      </w:r>
      <w:r w:rsidR="00454279">
        <w:rPr>
          <w:rFonts w:ascii="Calibri" w:hAnsi="Calibri" w:cs="Calibri"/>
          <w:color w:val="000000"/>
          <w:sz w:val="22"/>
          <w:szCs w:val="22"/>
          <w:lang w:val="en-AU" w:eastAsia="en-AU"/>
        </w:rPr>
        <w:t>/innovation</w:t>
      </w:r>
      <w:r w:rsidR="00FE7DDA">
        <w:rPr>
          <w:rFonts w:ascii="Calibri" w:hAnsi="Calibri" w:cs="Calibri"/>
          <w:color w:val="000000"/>
          <w:sz w:val="22"/>
          <w:szCs w:val="22"/>
          <w:lang w:val="en-AU" w:eastAsia="en-AU"/>
        </w:rPr>
        <w:t xml:space="preserve"> or public health or clinical nutrition</w:t>
      </w:r>
      <w:r w:rsidRPr="00374F49">
        <w:rPr>
          <w:rFonts w:ascii="Calibri" w:hAnsi="Calibri" w:cs="Calibri"/>
          <w:color w:val="000000"/>
          <w:sz w:val="22"/>
          <w:szCs w:val="22"/>
          <w:lang w:val="en-AU" w:eastAsia="en-AU"/>
        </w:rPr>
        <w:t>.</w:t>
      </w:r>
    </w:p>
    <w:p w14:paraId="65FA1D53" w14:textId="5E7FCE84" w:rsidR="00374F49" w:rsidRPr="00374F49" w:rsidRDefault="00374F49" w:rsidP="00374F49">
      <w:pPr>
        <w:pStyle w:val="ListParagraph"/>
        <w:numPr>
          <w:ilvl w:val="0"/>
          <w:numId w:val="6"/>
        </w:numPr>
        <w:spacing w:after="60" w:line="240" w:lineRule="atLeast"/>
        <w:jc w:val="both"/>
        <w:rPr>
          <w:rFonts w:ascii="Calibri" w:hAnsi="Calibri" w:cs="Calibri"/>
          <w:color w:val="000000"/>
          <w:sz w:val="22"/>
          <w:szCs w:val="22"/>
          <w:lang w:val="en-AU" w:eastAsia="en-AU"/>
        </w:rPr>
      </w:pPr>
      <w:r w:rsidRPr="00374F49">
        <w:rPr>
          <w:rFonts w:ascii="Calibri" w:hAnsi="Calibri" w:cs="Calibri"/>
          <w:color w:val="000000"/>
          <w:sz w:val="22"/>
          <w:szCs w:val="22"/>
          <w:lang w:val="en-AU" w:eastAsia="en-AU"/>
        </w:rPr>
        <w:t xml:space="preserve">Ability to teach </w:t>
      </w:r>
      <w:r w:rsidR="001A15F6">
        <w:rPr>
          <w:rFonts w:ascii="Calibri" w:hAnsi="Calibri" w:cs="Calibri"/>
          <w:color w:val="000000"/>
          <w:sz w:val="22"/>
          <w:szCs w:val="22"/>
          <w:lang w:val="en-AU" w:eastAsia="en-AU"/>
        </w:rPr>
        <w:t xml:space="preserve">into </w:t>
      </w:r>
      <w:r w:rsidR="00567B1B">
        <w:rPr>
          <w:rFonts w:ascii="Calibri" w:hAnsi="Calibri" w:cs="Calibri"/>
          <w:color w:val="000000"/>
          <w:sz w:val="22"/>
          <w:szCs w:val="22"/>
          <w:lang w:val="en-AU" w:eastAsia="en-AU"/>
        </w:rPr>
        <w:t xml:space="preserve">subjects </w:t>
      </w:r>
      <w:proofErr w:type="gramStart"/>
      <w:r w:rsidR="00567B1B">
        <w:rPr>
          <w:rFonts w:ascii="Calibri" w:hAnsi="Calibri" w:cs="Calibri"/>
          <w:color w:val="000000"/>
          <w:sz w:val="22"/>
          <w:szCs w:val="22"/>
          <w:lang w:val="en-AU" w:eastAsia="en-AU"/>
        </w:rPr>
        <w:t>including:</w:t>
      </w:r>
      <w:proofErr w:type="gramEnd"/>
      <w:r w:rsidR="00567B1B">
        <w:rPr>
          <w:rFonts w:ascii="Calibri" w:hAnsi="Calibri" w:cs="Calibri"/>
          <w:color w:val="000000"/>
          <w:sz w:val="22"/>
          <w:szCs w:val="22"/>
          <w:lang w:val="en-AU" w:eastAsia="en-AU"/>
        </w:rPr>
        <w:t xml:space="preserve"> lifespan nutrition, principles of nutrition</w:t>
      </w:r>
      <w:r w:rsidR="00CE0726">
        <w:rPr>
          <w:rFonts w:ascii="Calibri" w:hAnsi="Calibri" w:cs="Calibri"/>
          <w:color w:val="000000"/>
          <w:sz w:val="22"/>
          <w:szCs w:val="22"/>
          <w:lang w:val="en-AU" w:eastAsia="en-AU"/>
        </w:rPr>
        <w:t>,</w:t>
      </w:r>
      <w:r w:rsidR="00BA06EE">
        <w:rPr>
          <w:rFonts w:ascii="Calibri" w:hAnsi="Calibri" w:cs="Calibri"/>
          <w:color w:val="000000"/>
          <w:sz w:val="22"/>
          <w:szCs w:val="22"/>
          <w:lang w:val="en-AU" w:eastAsia="en-AU"/>
        </w:rPr>
        <w:t xml:space="preserve"> nutrition and disease,</w:t>
      </w:r>
      <w:r w:rsidR="00567B1B">
        <w:rPr>
          <w:rFonts w:ascii="Calibri" w:hAnsi="Calibri" w:cs="Calibri"/>
          <w:color w:val="000000"/>
          <w:sz w:val="22"/>
          <w:szCs w:val="22"/>
          <w:lang w:val="en-AU" w:eastAsia="en-AU"/>
        </w:rPr>
        <w:t xml:space="preserve"> sports nutrition</w:t>
      </w:r>
      <w:r w:rsidR="00831BCD">
        <w:rPr>
          <w:rFonts w:ascii="Calibri" w:hAnsi="Calibri" w:cs="Calibri"/>
          <w:color w:val="000000"/>
          <w:sz w:val="22"/>
          <w:szCs w:val="22"/>
          <w:lang w:val="en-AU" w:eastAsia="en-AU"/>
        </w:rPr>
        <w:t xml:space="preserve">, </w:t>
      </w:r>
      <w:r w:rsidR="00CC7EA5">
        <w:rPr>
          <w:rFonts w:ascii="Calibri" w:hAnsi="Calibri" w:cs="Calibri"/>
          <w:color w:val="000000"/>
          <w:sz w:val="22"/>
          <w:szCs w:val="22"/>
          <w:lang w:val="en-AU" w:eastAsia="en-AU"/>
        </w:rPr>
        <w:t>public health nutrition</w:t>
      </w:r>
      <w:r w:rsidR="001A15F6">
        <w:rPr>
          <w:rFonts w:ascii="Calibri" w:hAnsi="Calibri" w:cs="Calibri"/>
          <w:color w:val="000000"/>
          <w:sz w:val="22"/>
          <w:szCs w:val="22"/>
          <w:lang w:val="en-AU" w:eastAsia="en-AU"/>
        </w:rPr>
        <w:t>,</w:t>
      </w:r>
      <w:r w:rsidR="00CC7EA5">
        <w:rPr>
          <w:rFonts w:ascii="Calibri" w:hAnsi="Calibri" w:cs="Calibri"/>
          <w:color w:val="000000"/>
          <w:sz w:val="22"/>
          <w:szCs w:val="22"/>
          <w:lang w:val="en-AU" w:eastAsia="en-AU"/>
        </w:rPr>
        <w:t xml:space="preserve"> </w:t>
      </w:r>
      <w:r w:rsidR="00831BCD">
        <w:rPr>
          <w:rFonts w:ascii="Calibri" w:hAnsi="Calibri" w:cs="Calibri"/>
          <w:color w:val="000000"/>
          <w:sz w:val="22"/>
          <w:szCs w:val="22"/>
          <w:lang w:val="en-AU" w:eastAsia="en-AU"/>
        </w:rPr>
        <w:t>clinical nutrition</w:t>
      </w:r>
      <w:r w:rsidR="001A15F6">
        <w:rPr>
          <w:rFonts w:ascii="Calibri" w:hAnsi="Calibri" w:cs="Calibri"/>
          <w:color w:val="000000"/>
          <w:sz w:val="22"/>
          <w:szCs w:val="22"/>
          <w:lang w:val="en-AU" w:eastAsia="en-AU"/>
        </w:rPr>
        <w:t>/dietetics, research skills</w:t>
      </w:r>
      <w:r w:rsidR="00586A50">
        <w:rPr>
          <w:rFonts w:ascii="Calibri" w:hAnsi="Calibri" w:cs="Calibri"/>
          <w:color w:val="000000"/>
          <w:sz w:val="22"/>
          <w:szCs w:val="22"/>
          <w:lang w:val="en-AU" w:eastAsia="en-AU"/>
        </w:rPr>
        <w:t>, and food chemistry/science.</w:t>
      </w:r>
    </w:p>
    <w:p w14:paraId="19CBE203" w14:textId="71FAE852" w:rsidR="00BD10E7" w:rsidRDefault="00BD10E7" w:rsidP="00374F49">
      <w:pPr>
        <w:pStyle w:val="ListParagraph"/>
        <w:spacing w:after="60" w:line="240" w:lineRule="atLeast"/>
        <w:jc w:val="both"/>
        <w:rPr>
          <w:rFonts w:ascii="Calibri" w:hAnsi="Calibri" w:cs="Calibri"/>
          <w:b/>
          <w:bCs/>
          <w:color w:val="000000"/>
          <w:sz w:val="22"/>
          <w:szCs w:val="22"/>
          <w:lang w:val="en-AU" w:eastAsia="en-AU"/>
        </w:rPr>
      </w:pPr>
    </w:p>
    <w:p w14:paraId="146B1F74" w14:textId="7B72DDBA" w:rsidR="00BD10E7" w:rsidRPr="005402E9" w:rsidRDefault="005D100A" w:rsidP="00BD10E7">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25A0B1F0" w14:textId="6CA25372" w:rsidR="00D67ADA" w:rsidRDefault="00D67ADA" w:rsidP="00BD10E7">
      <w:pPr>
        <w:rPr>
          <w:rFonts w:asciiTheme="minorHAnsi" w:hAnsiTheme="minorHAnsi"/>
          <w:b/>
          <w:bCs/>
          <w:sz w:val="22"/>
          <w:szCs w:val="22"/>
          <w:lang w:val="en-AU"/>
        </w:rPr>
      </w:pPr>
    </w:p>
    <w:p w14:paraId="048BBD9D"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7FF5E7A1"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work collaboratively, recognise the value of diversity and model accountability, connectedness, innovation and care.</w:t>
      </w:r>
    </w:p>
    <w:p w14:paraId="17C40327"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think creatively, explore new ideas and respectfully challenge existing practices in order to improve current ways of working.</w:t>
      </w:r>
    </w:p>
    <w:p w14:paraId="5B5170D5"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enable a safe, inclusive, high-performing team culture, prioritising staff mental health and wellbeing.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456786">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55EDCC6A" w14:textId="1967DCA1" w:rsidR="00BD10E7" w:rsidRPr="00374F49" w:rsidRDefault="004C44DE" w:rsidP="00BD10E7">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EC7DB7F" w14:textId="1F12EB08" w:rsidR="00BD10E7" w:rsidRPr="005D100A" w:rsidRDefault="00BD10E7" w:rsidP="00884E50">
      <w:pPr>
        <w:pStyle w:val="ListParagraph"/>
        <w:spacing w:after="60" w:line="240" w:lineRule="atLeast"/>
        <w:jc w:val="both"/>
        <w:rPr>
          <w:rFonts w:asciiTheme="minorHAnsi" w:hAnsiTheme="minorHAnsi"/>
          <w:sz w:val="22"/>
          <w:szCs w:val="22"/>
          <w:lang w:val="en-AU"/>
        </w:rPr>
      </w:pP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3ADFFBB0" w14:textId="77777777" w:rsidR="00456786" w:rsidRDefault="00456786" w:rsidP="00456786">
      <w:pPr>
        <w:pStyle w:val="xmsonormal"/>
        <w:rPr>
          <w:b/>
          <w:bCs/>
        </w:rPr>
      </w:pPr>
      <w:bookmarkStart w:id="0" w:name="_Hlk97887926"/>
      <w:r>
        <w:rPr>
          <w:b/>
          <w:bCs/>
        </w:rPr>
        <w:t>Why La Trobe: </w:t>
      </w:r>
    </w:p>
    <w:p w14:paraId="3DC7694D" w14:textId="77777777" w:rsidR="00456786" w:rsidRDefault="00456786" w:rsidP="00456786">
      <w:pPr>
        <w:pStyle w:val="xmsonormal"/>
        <w:rPr>
          <w:b/>
          <w:bCs/>
        </w:rPr>
      </w:pPr>
    </w:p>
    <w:p w14:paraId="261F8B10" w14:textId="77777777" w:rsidR="00456786" w:rsidRDefault="00456786" w:rsidP="00456786">
      <w:pPr>
        <w:pStyle w:val="xmsonormal"/>
        <w:numPr>
          <w:ilvl w:val="0"/>
          <w:numId w:val="7"/>
        </w:numPr>
        <w:rPr>
          <w:rFonts w:eastAsia="Times New Roman"/>
        </w:rPr>
      </w:pPr>
      <w:r>
        <w:rPr>
          <w:rFonts w:ascii="Avenir" w:eastAsia="Times New Roman" w:hAnsi="Avenir"/>
        </w:rPr>
        <w:t>Develop your career at an innovative, global university where you’ll collaborate with community and industry to create impact. </w:t>
      </w:r>
    </w:p>
    <w:p w14:paraId="2326A15B" w14:textId="77777777" w:rsidR="00456786" w:rsidRDefault="00456786" w:rsidP="00456786">
      <w:pPr>
        <w:pStyle w:val="xmsonormal"/>
        <w:numPr>
          <w:ilvl w:val="0"/>
          <w:numId w:val="7"/>
        </w:numPr>
        <w:rPr>
          <w:rFonts w:eastAsia="Times New Roman"/>
        </w:rPr>
      </w:pPr>
      <w:r>
        <w:rPr>
          <w:rFonts w:ascii="Avenir" w:eastAsia="Times New Roman" w:hAnsi="Avenir"/>
        </w:rPr>
        <w:t>Enjoy working on our inspiring and stunning campuses – the perfect hub for industry, students and academics </w:t>
      </w:r>
    </w:p>
    <w:p w14:paraId="1C08F0E9" w14:textId="77777777" w:rsidR="00456786" w:rsidRDefault="00456786" w:rsidP="00456786">
      <w:pPr>
        <w:pStyle w:val="xmsonormal"/>
        <w:numPr>
          <w:ilvl w:val="0"/>
          <w:numId w:val="7"/>
        </w:numPr>
        <w:rPr>
          <w:rFonts w:eastAsia="Times New Roman"/>
        </w:rPr>
      </w:pPr>
      <w:r>
        <w:rPr>
          <w:rFonts w:ascii="Avenir" w:eastAsia="Times New Roman" w:hAnsi="Avenir"/>
        </w:rPr>
        <w:t>Help transform the lives of students, partners and communities now and in the future</w:t>
      </w:r>
    </w:p>
    <w:p w14:paraId="1E0ECDBF" w14:textId="77777777" w:rsidR="00456786" w:rsidRDefault="00456786" w:rsidP="00456786">
      <w:pPr>
        <w:pStyle w:val="xmsonormal"/>
      </w:pPr>
      <w:r>
        <w:rPr>
          <w:rFonts w:ascii="Avenir" w:hAnsi="Avenir"/>
        </w:rPr>
        <w:t> </w:t>
      </w:r>
    </w:p>
    <w:p w14:paraId="38F7ED95" w14:textId="77777777" w:rsidR="00456786" w:rsidRDefault="00456786" w:rsidP="00456786">
      <w:pPr>
        <w:pStyle w:val="xmsonormal"/>
      </w:pPr>
      <w:r>
        <w:rPr>
          <w:rFonts w:ascii="Avenir" w:hAnsi="Avenir"/>
        </w:rPr>
        <w:t>This is more than just a job. Working at La Trobe offers opportunities to demonstrate excellence and transform lives. </w:t>
      </w:r>
    </w:p>
    <w:p w14:paraId="1A6234C3" w14:textId="77777777" w:rsidR="00456786" w:rsidRDefault="00456786" w:rsidP="00456786">
      <w:pPr>
        <w:pStyle w:val="xmsonormal"/>
      </w:pPr>
      <w:r>
        <w:rPr>
          <w:rFonts w:ascii="Avenir" w:hAnsi="Avenir"/>
        </w:rPr>
        <w:lastRenderedPageBreak/>
        <w:t> </w:t>
      </w:r>
    </w:p>
    <w:p w14:paraId="448EE931" w14:textId="77777777" w:rsidR="00456786" w:rsidRDefault="00456786" w:rsidP="00456786">
      <w:pPr>
        <w:pStyle w:val="xmsonormal"/>
      </w:pPr>
      <w:r>
        <w:rPr>
          <w:rFonts w:ascii="Avenir" w:hAnsi="Avenir"/>
        </w:rPr>
        <w:t>Here, you’ll join exceptional people, partners and communities, who power our operations with ambition and purpose. </w:t>
      </w:r>
    </w:p>
    <w:p w14:paraId="3994DA2A" w14:textId="77777777" w:rsidR="00456786" w:rsidRDefault="00456786" w:rsidP="00456786">
      <w:pPr>
        <w:pStyle w:val="xmsonormal"/>
      </w:pPr>
      <w:r>
        <w:rPr>
          <w:rFonts w:ascii="Avenir" w:hAnsi="Avenir"/>
        </w:rPr>
        <w:t> </w:t>
      </w:r>
    </w:p>
    <w:p w14:paraId="1E823D2D" w14:textId="77777777" w:rsidR="00456786" w:rsidRDefault="00456786" w:rsidP="00456786">
      <w:pPr>
        <w:pStyle w:val="xmsonormal"/>
      </w:pPr>
      <w:r>
        <w:rPr>
          <w:rFonts w:ascii="Avenir" w:hAnsi="Avenir"/>
        </w:rPr>
        <w:t xml:space="preserve">We are forward-looking and culturally inclusive. We continuously review, improve and transform our processes to embrace new, flexible approaches. That means you’ll always </w:t>
      </w:r>
      <w:proofErr w:type="gramStart"/>
      <w:r>
        <w:rPr>
          <w:rFonts w:ascii="Avenir" w:hAnsi="Avenir"/>
        </w:rPr>
        <w:t>have the opportunity to</w:t>
      </w:r>
      <w:proofErr w:type="gramEnd"/>
      <w:r>
        <w:rPr>
          <w:rFonts w:ascii="Avenir" w:hAnsi="Avenir"/>
        </w:rPr>
        <w:t xml:space="preserve"> succeed and make a difference</w:t>
      </w:r>
      <w:r>
        <w:t>.</w:t>
      </w:r>
    </w:p>
    <w:p w14:paraId="05719881" w14:textId="77777777" w:rsidR="00456786" w:rsidRDefault="00456786" w:rsidP="00456786">
      <w:pPr>
        <w:pStyle w:val="xmsonormal"/>
      </w:pPr>
      <w:r>
        <w:t> </w:t>
      </w:r>
    </w:p>
    <w:p w14:paraId="71F44655" w14:textId="77777777" w:rsidR="00456786" w:rsidRDefault="00456786" w:rsidP="00456786">
      <w:pPr>
        <w:pStyle w:val="xmsonormal"/>
        <w:rPr>
          <w:b/>
          <w:bCs/>
        </w:rPr>
      </w:pPr>
      <w:r>
        <w:rPr>
          <w:b/>
          <w:bCs/>
        </w:rPr>
        <w:t>La Trobe’s Cultural Qualities:</w:t>
      </w:r>
    </w:p>
    <w:p w14:paraId="433B10EE" w14:textId="2960F347" w:rsidR="00456786" w:rsidRDefault="00456786" w:rsidP="00456786">
      <w:r>
        <w:rPr>
          <w:noProof/>
        </w:rPr>
        <w:drawing>
          <wp:inline distT="0" distB="0" distL="0" distR="0" wp14:anchorId="4301E5F7" wp14:editId="3306DD34">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F41ABE">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8CF3" w14:textId="77777777" w:rsidR="00F41ABE" w:rsidRDefault="00F41ABE">
      <w:r>
        <w:separator/>
      </w:r>
    </w:p>
  </w:endnote>
  <w:endnote w:type="continuationSeparator" w:id="0">
    <w:p w14:paraId="643BF8D8" w14:textId="77777777" w:rsidR="00F41ABE" w:rsidRDefault="00F4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72F0" w14:textId="77777777" w:rsidR="00F41ABE" w:rsidRDefault="00F41ABE">
      <w:r>
        <w:separator/>
      </w:r>
    </w:p>
  </w:footnote>
  <w:footnote w:type="continuationSeparator" w:id="0">
    <w:p w14:paraId="2E59D603" w14:textId="77777777" w:rsidR="00F41ABE" w:rsidRDefault="00F4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1912718">
    <w:abstractNumId w:val="3"/>
  </w:num>
  <w:num w:numId="2" w16cid:durableId="2019652854">
    <w:abstractNumId w:val="2"/>
  </w:num>
  <w:num w:numId="3" w16cid:durableId="2068872883">
    <w:abstractNumId w:val="5"/>
  </w:num>
  <w:num w:numId="4" w16cid:durableId="639041564">
    <w:abstractNumId w:val="4"/>
  </w:num>
  <w:num w:numId="5" w16cid:durableId="1118335997">
    <w:abstractNumId w:val="6"/>
  </w:num>
  <w:num w:numId="6" w16cid:durableId="1598052440">
    <w:abstractNumId w:val="0"/>
  </w:num>
  <w:num w:numId="7" w16cid:durableId="7351317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1E98"/>
    <w:rsid w:val="0004599F"/>
    <w:rsid w:val="000500BC"/>
    <w:rsid w:val="00051E2D"/>
    <w:rsid w:val="000525D6"/>
    <w:rsid w:val="000525D9"/>
    <w:rsid w:val="00053F53"/>
    <w:rsid w:val="00054C61"/>
    <w:rsid w:val="00055C3B"/>
    <w:rsid w:val="00061F2F"/>
    <w:rsid w:val="00070A22"/>
    <w:rsid w:val="0007151C"/>
    <w:rsid w:val="00075BE2"/>
    <w:rsid w:val="00077090"/>
    <w:rsid w:val="000846E2"/>
    <w:rsid w:val="000963C3"/>
    <w:rsid w:val="00097C85"/>
    <w:rsid w:val="000A332A"/>
    <w:rsid w:val="000C3CB6"/>
    <w:rsid w:val="000D56F3"/>
    <w:rsid w:val="000D6A8C"/>
    <w:rsid w:val="000D7DE6"/>
    <w:rsid w:val="000E1206"/>
    <w:rsid w:val="000E282C"/>
    <w:rsid w:val="000E5EDE"/>
    <w:rsid w:val="00101A69"/>
    <w:rsid w:val="00102234"/>
    <w:rsid w:val="00105A71"/>
    <w:rsid w:val="0011340D"/>
    <w:rsid w:val="0011381E"/>
    <w:rsid w:val="00120397"/>
    <w:rsid w:val="001213E0"/>
    <w:rsid w:val="001216BC"/>
    <w:rsid w:val="00121803"/>
    <w:rsid w:val="00134DC7"/>
    <w:rsid w:val="001375C6"/>
    <w:rsid w:val="00137E95"/>
    <w:rsid w:val="00147849"/>
    <w:rsid w:val="00156D50"/>
    <w:rsid w:val="0016575B"/>
    <w:rsid w:val="00166A9D"/>
    <w:rsid w:val="00177008"/>
    <w:rsid w:val="001908D2"/>
    <w:rsid w:val="001A044F"/>
    <w:rsid w:val="001A15D3"/>
    <w:rsid w:val="001A15F6"/>
    <w:rsid w:val="001A68F1"/>
    <w:rsid w:val="001A722E"/>
    <w:rsid w:val="001B2C1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433B9"/>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A4FC9"/>
    <w:rsid w:val="002B0B9A"/>
    <w:rsid w:val="002B422D"/>
    <w:rsid w:val="002B6353"/>
    <w:rsid w:val="002B7179"/>
    <w:rsid w:val="002C0A2F"/>
    <w:rsid w:val="002C106D"/>
    <w:rsid w:val="002C3B27"/>
    <w:rsid w:val="002C51DB"/>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74F49"/>
    <w:rsid w:val="003A1CFA"/>
    <w:rsid w:val="003A4BD5"/>
    <w:rsid w:val="003B2F32"/>
    <w:rsid w:val="003B55DC"/>
    <w:rsid w:val="003C1EB5"/>
    <w:rsid w:val="003C5EA7"/>
    <w:rsid w:val="003D41DF"/>
    <w:rsid w:val="003E545A"/>
    <w:rsid w:val="003F1778"/>
    <w:rsid w:val="003F7038"/>
    <w:rsid w:val="003F7F26"/>
    <w:rsid w:val="0040183D"/>
    <w:rsid w:val="00402D7E"/>
    <w:rsid w:val="0040435D"/>
    <w:rsid w:val="00404F41"/>
    <w:rsid w:val="00411506"/>
    <w:rsid w:val="0041194F"/>
    <w:rsid w:val="00412293"/>
    <w:rsid w:val="004223A6"/>
    <w:rsid w:val="00422D57"/>
    <w:rsid w:val="00431135"/>
    <w:rsid w:val="00434DBC"/>
    <w:rsid w:val="00435F63"/>
    <w:rsid w:val="00437F2C"/>
    <w:rsid w:val="00440CB4"/>
    <w:rsid w:val="004521AB"/>
    <w:rsid w:val="00454279"/>
    <w:rsid w:val="00455EC5"/>
    <w:rsid w:val="00456786"/>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05E9"/>
    <w:rsid w:val="004F12B6"/>
    <w:rsid w:val="005034AC"/>
    <w:rsid w:val="00521405"/>
    <w:rsid w:val="00522086"/>
    <w:rsid w:val="00524467"/>
    <w:rsid w:val="005274EB"/>
    <w:rsid w:val="005350D7"/>
    <w:rsid w:val="005402E9"/>
    <w:rsid w:val="00545851"/>
    <w:rsid w:val="00560D9F"/>
    <w:rsid w:val="00567B1B"/>
    <w:rsid w:val="00573BF8"/>
    <w:rsid w:val="00581B8D"/>
    <w:rsid w:val="00586A50"/>
    <w:rsid w:val="00587393"/>
    <w:rsid w:val="0059602C"/>
    <w:rsid w:val="005A771D"/>
    <w:rsid w:val="005B0A21"/>
    <w:rsid w:val="005B2180"/>
    <w:rsid w:val="005C69DB"/>
    <w:rsid w:val="005C7C84"/>
    <w:rsid w:val="005D100A"/>
    <w:rsid w:val="005E4EF3"/>
    <w:rsid w:val="005F03E3"/>
    <w:rsid w:val="005F3321"/>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188D"/>
    <w:rsid w:val="006C3AEF"/>
    <w:rsid w:val="006C45D9"/>
    <w:rsid w:val="006D31A5"/>
    <w:rsid w:val="006D4583"/>
    <w:rsid w:val="006D6D72"/>
    <w:rsid w:val="006F0613"/>
    <w:rsid w:val="006F3406"/>
    <w:rsid w:val="006F5C66"/>
    <w:rsid w:val="007011D4"/>
    <w:rsid w:val="00706981"/>
    <w:rsid w:val="0071300D"/>
    <w:rsid w:val="00725112"/>
    <w:rsid w:val="00725B2D"/>
    <w:rsid w:val="00736020"/>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4AD8"/>
    <w:rsid w:val="007A58EF"/>
    <w:rsid w:val="007B75FB"/>
    <w:rsid w:val="007C44D9"/>
    <w:rsid w:val="007C6192"/>
    <w:rsid w:val="007C7369"/>
    <w:rsid w:val="007C77A3"/>
    <w:rsid w:val="007E34F2"/>
    <w:rsid w:val="007E4E5D"/>
    <w:rsid w:val="007F39E2"/>
    <w:rsid w:val="007F512E"/>
    <w:rsid w:val="007F6575"/>
    <w:rsid w:val="008019A4"/>
    <w:rsid w:val="0081535C"/>
    <w:rsid w:val="00823B6A"/>
    <w:rsid w:val="00830291"/>
    <w:rsid w:val="00831BCD"/>
    <w:rsid w:val="008336BC"/>
    <w:rsid w:val="00842B6E"/>
    <w:rsid w:val="008458BD"/>
    <w:rsid w:val="00846C18"/>
    <w:rsid w:val="00865AF9"/>
    <w:rsid w:val="00875269"/>
    <w:rsid w:val="00884E50"/>
    <w:rsid w:val="00884F4D"/>
    <w:rsid w:val="008A248A"/>
    <w:rsid w:val="008A4B2E"/>
    <w:rsid w:val="008A5260"/>
    <w:rsid w:val="008A5E4D"/>
    <w:rsid w:val="008B0034"/>
    <w:rsid w:val="008B1944"/>
    <w:rsid w:val="008C0614"/>
    <w:rsid w:val="008C2C73"/>
    <w:rsid w:val="008C371B"/>
    <w:rsid w:val="008C4509"/>
    <w:rsid w:val="008D0E7A"/>
    <w:rsid w:val="008D1AF6"/>
    <w:rsid w:val="008D7276"/>
    <w:rsid w:val="008F1341"/>
    <w:rsid w:val="008F1A53"/>
    <w:rsid w:val="008F4F33"/>
    <w:rsid w:val="008F76F5"/>
    <w:rsid w:val="00901F4B"/>
    <w:rsid w:val="0090541D"/>
    <w:rsid w:val="0090633E"/>
    <w:rsid w:val="009064E1"/>
    <w:rsid w:val="0091323E"/>
    <w:rsid w:val="0091410B"/>
    <w:rsid w:val="00915AC0"/>
    <w:rsid w:val="00920A96"/>
    <w:rsid w:val="00924773"/>
    <w:rsid w:val="009253AE"/>
    <w:rsid w:val="00932CDD"/>
    <w:rsid w:val="009344DA"/>
    <w:rsid w:val="00953B2A"/>
    <w:rsid w:val="00954EE6"/>
    <w:rsid w:val="009554D9"/>
    <w:rsid w:val="00966DE0"/>
    <w:rsid w:val="00970335"/>
    <w:rsid w:val="00970F02"/>
    <w:rsid w:val="0098228A"/>
    <w:rsid w:val="0098359C"/>
    <w:rsid w:val="00990932"/>
    <w:rsid w:val="009A15BA"/>
    <w:rsid w:val="009A6D6C"/>
    <w:rsid w:val="009B2F16"/>
    <w:rsid w:val="009B6BB5"/>
    <w:rsid w:val="009C11A7"/>
    <w:rsid w:val="009C73B0"/>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C2033"/>
    <w:rsid w:val="00AC23EB"/>
    <w:rsid w:val="00AC3447"/>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06EE"/>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444B1"/>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C7EA5"/>
    <w:rsid w:val="00CE0217"/>
    <w:rsid w:val="00CE0726"/>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40B2"/>
    <w:rsid w:val="00F37068"/>
    <w:rsid w:val="00F41ABE"/>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 w:val="00FE7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456786"/>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778257806">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27D5.86F0E0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943</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7077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2024-03-24T22:18:00Z</dcterms:created>
  <dcterms:modified xsi:type="dcterms:W3CDTF">2024-03-24T22:18:00Z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